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3AC85" w14:textId="51CD82E6" w:rsidR="00E00AD2" w:rsidRDefault="00E00AD2" w:rsidP="00057BE5">
      <w:pPr>
        <w:spacing w:after="0" w:line="240" w:lineRule="auto"/>
        <w:rPr>
          <w:rFonts w:ascii="Times New Roman" w:eastAsia="Times New Roman" w:hAnsi="Times New Roman" w:cs="Times New Roman"/>
          <w:b/>
          <w:sz w:val="24"/>
          <w:szCs w:val="24"/>
          <w:lang w:eastAsia="ru-RU"/>
        </w:rPr>
      </w:pPr>
      <w:bookmarkStart w:id="0" w:name="_Toc521608756"/>
      <w:bookmarkStart w:id="1" w:name="_GoBack"/>
      <w:bookmarkEnd w:id="1"/>
      <w:r w:rsidRPr="00E00AD2">
        <w:rPr>
          <w:rFonts w:ascii="Times New Roman" w:eastAsia="Times New Roman" w:hAnsi="Times New Roman" w:cs="Times New Roman"/>
          <w:b/>
          <w:noProof/>
          <w:sz w:val="24"/>
          <w:szCs w:val="24"/>
          <w:lang w:eastAsia="ru-RU"/>
        </w:rPr>
        <w:drawing>
          <wp:inline distT="0" distB="0" distL="0" distR="0" wp14:anchorId="70C2A99B" wp14:editId="3845E18D">
            <wp:extent cx="6119495" cy="9123458"/>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9123458"/>
                    </a:xfrm>
                    <a:prstGeom prst="rect">
                      <a:avLst/>
                    </a:prstGeom>
                    <a:noFill/>
                    <a:ln>
                      <a:noFill/>
                    </a:ln>
                  </pic:spPr>
                </pic:pic>
              </a:graphicData>
            </a:graphic>
          </wp:inline>
        </w:drawing>
      </w:r>
    </w:p>
    <w:p w14:paraId="0F0A086B" w14:textId="6F24588C" w:rsidR="00E00AD2" w:rsidRDefault="00E00AD2" w:rsidP="00057BE5">
      <w:pPr>
        <w:spacing w:after="0" w:line="240" w:lineRule="auto"/>
        <w:rPr>
          <w:rFonts w:ascii="Times New Roman" w:eastAsia="Times New Roman" w:hAnsi="Times New Roman" w:cs="Times New Roman"/>
          <w:b/>
          <w:sz w:val="24"/>
          <w:szCs w:val="24"/>
          <w:lang w:eastAsia="ru-RU"/>
        </w:rPr>
      </w:pPr>
      <w:r w:rsidRPr="00E00AD2">
        <w:rPr>
          <w:rFonts w:ascii="Times New Roman" w:eastAsia="Times New Roman" w:hAnsi="Times New Roman" w:cs="Times New Roman"/>
          <w:b/>
          <w:noProof/>
          <w:sz w:val="24"/>
          <w:szCs w:val="24"/>
          <w:lang w:eastAsia="ru-RU"/>
        </w:rPr>
        <w:lastRenderedPageBreak/>
        <w:drawing>
          <wp:inline distT="0" distB="0" distL="0" distR="0" wp14:anchorId="51FB6EEA" wp14:editId="737AD804">
            <wp:extent cx="6119495" cy="9060238"/>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9060238"/>
                    </a:xfrm>
                    <a:prstGeom prst="rect">
                      <a:avLst/>
                    </a:prstGeom>
                    <a:noFill/>
                    <a:ln>
                      <a:noFill/>
                    </a:ln>
                  </pic:spPr>
                </pic:pic>
              </a:graphicData>
            </a:graphic>
          </wp:inline>
        </w:drawing>
      </w:r>
    </w:p>
    <w:p w14:paraId="6065E57F" w14:textId="28F4E248" w:rsidR="00E00AD2" w:rsidRDefault="00B72497" w:rsidP="00057BE5">
      <w:pPr>
        <w:spacing w:after="0" w:line="240" w:lineRule="auto"/>
        <w:rPr>
          <w:rFonts w:ascii="Times New Roman" w:eastAsia="Times New Roman" w:hAnsi="Times New Roman" w:cs="Times New Roman"/>
          <w:b/>
          <w:sz w:val="24"/>
          <w:szCs w:val="24"/>
          <w:lang w:eastAsia="ru-RU"/>
        </w:rPr>
      </w:pPr>
      <w:r w:rsidRPr="00B72497">
        <w:rPr>
          <w:rFonts w:ascii="Times New Roman" w:eastAsia="Times New Roman" w:hAnsi="Times New Roman" w:cs="Times New Roman"/>
          <w:b/>
          <w:noProof/>
          <w:sz w:val="24"/>
          <w:szCs w:val="24"/>
          <w:lang w:eastAsia="ru-RU"/>
        </w:rPr>
        <w:lastRenderedPageBreak/>
        <w:drawing>
          <wp:inline distT="0" distB="0" distL="0" distR="0" wp14:anchorId="498A4098" wp14:editId="5599A9C3">
            <wp:extent cx="6119495" cy="876937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8769373"/>
                    </a:xfrm>
                    <a:prstGeom prst="rect">
                      <a:avLst/>
                    </a:prstGeom>
                    <a:noFill/>
                    <a:ln>
                      <a:noFill/>
                    </a:ln>
                  </pic:spPr>
                </pic:pic>
              </a:graphicData>
            </a:graphic>
          </wp:inline>
        </w:drawing>
      </w:r>
    </w:p>
    <w:p w14:paraId="787562E3" w14:textId="4C86E59B" w:rsidR="00B72497" w:rsidRPr="005C53F5" w:rsidRDefault="00377566" w:rsidP="00057BE5">
      <w:pPr>
        <w:spacing w:after="0" w:line="240" w:lineRule="auto"/>
        <w:rPr>
          <w:rFonts w:ascii="Times New Roman" w:eastAsia="Times New Roman" w:hAnsi="Times New Roman" w:cs="Times New Roman"/>
          <w:b/>
          <w:sz w:val="24"/>
          <w:szCs w:val="24"/>
          <w:lang w:eastAsia="ru-RU"/>
        </w:rPr>
      </w:pPr>
      <w:r w:rsidRPr="00B72497">
        <w:rPr>
          <w:rFonts w:ascii="Times New Roman" w:eastAsia="Times New Roman" w:hAnsi="Times New Roman" w:cs="Times New Roman"/>
          <w:b/>
          <w:noProof/>
          <w:sz w:val="24"/>
          <w:szCs w:val="24"/>
          <w:lang w:eastAsia="ru-RU"/>
        </w:rPr>
        <w:lastRenderedPageBreak/>
        <w:drawing>
          <wp:inline distT="0" distB="0" distL="0" distR="0" wp14:anchorId="6E234692" wp14:editId="6FE8729F">
            <wp:extent cx="6119495" cy="832040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8320405"/>
                    </a:xfrm>
                    <a:prstGeom prst="rect">
                      <a:avLst/>
                    </a:prstGeom>
                    <a:noFill/>
                    <a:ln>
                      <a:noFill/>
                    </a:ln>
                  </pic:spPr>
                </pic:pic>
              </a:graphicData>
            </a:graphic>
          </wp:inline>
        </w:drawing>
      </w:r>
    </w:p>
    <w:p w14:paraId="28099C42" w14:textId="77777777" w:rsidR="00377566" w:rsidRDefault="00377566" w:rsidP="00057BE5">
      <w:pPr>
        <w:pStyle w:val="ConsPlusNormal"/>
        <w:jc w:val="both"/>
        <w:rPr>
          <w:rFonts w:ascii="Times New Roman" w:hAnsi="Times New Roman" w:cs="Times New Roman"/>
          <w:b/>
          <w:sz w:val="24"/>
          <w:szCs w:val="24"/>
        </w:rPr>
      </w:pPr>
      <w:bookmarkStart w:id="2" w:name="_Toc533784439"/>
    </w:p>
    <w:p w14:paraId="788FD8A6" w14:textId="77777777" w:rsidR="00377566" w:rsidRDefault="00377566" w:rsidP="00057BE5">
      <w:pPr>
        <w:pStyle w:val="ConsPlusNormal"/>
        <w:jc w:val="both"/>
        <w:rPr>
          <w:rFonts w:ascii="Times New Roman" w:hAnsi="Times New Roman" w:cs="Times New Roman"/>
          <w:b/>
          <w:sz w:val="24"/>
          <w:szCs w:val="24"/>
        </w:rPr>
      </w:pPr>
    </w:p>
    <w:p w14:paraId="3148B4B0" w14:textId="77777777" w:rsidR="00377566" w:rsidRDefault="00377566" w:rsidP="00057BE5">
      <w:pPr>
        <w:pStyle w:val="ConsPlusNormal"/>
        <w:jc w:val="both"/>
        <w:rPr>
          <w:rFonts w:ascii="Times New Roman" w:hAnsi="Times New Roman" w:cs="Times New Roman"/>
          <w:b/>
          <w:sz w:val="24"/>
          <w:szCs w:val="24"/>
        </w:rPr>
      </w:pPr>
    </w:p>
    <w:p w14:paraId="7910460A" w14:textId="6A5DF339" w:rsidR="007F68E4" w:rsidRPr="005C53F5" w:rsidRDefault="007F68E4" w:rsidP="00057BE5">
      <w:pPr>
        <w:pStyle w:val="ConsPlusNormal"/>
        <w:jc w:val="both"/>
        <w:rPr>
          <w:rFonts w:ascii="Times New Roman" w:hAnsi="Times New Roman" w:cs="Times New Roman"/>
          <w:b/>
          <w:sz w:val="24"/>
          <w:szCs w:val="24"/>
        </w:rPr>
      </w:pPr>
      <w:r w:rsidRPr="005C53F5">
        <w:rPr>
          <w:rFonts w:ascii="Times New Roman" w:hAnsi="Times New Roman" w:cs="Times New Roman"/>
          <w:b/>
          <w:sz w:val="24"/>
          <w:szCs w:val="24"/>
        </w:rPr>
        <w:lastRenderedPageBreak/>
        <w:t>Оглавление</w:t>
      </w:r>
      <w:bookmarkEnd w:id="0"/>
      <w:bookmarkEnd w:id="2"/>
    </w:p>
    <w:sdt>
      <w:sdtPr>
        <w:rPr>
          <w:sz w:val="24"/>
          <w:szCs w:val="24"/>
        </w:rPr>
        <w:id w:val="-1294901127"/>
        <w:docPartObj>
          <w:docPartGallery w:val="Table of Contents"/>
          <w:docPartUnique/>
        </w:docPartObj>
      </w:sdtPr>
      <w:sdtEndPr>
        <w:rPr>
          <w:rFonts w:ascii="Times New Roman" w:hAnsi="Times New Roman" w:cs="Times New Roman"/>
          <w:b/>
          <w:bCs/>
        </w:rPr>
      </w:sdtEndPr>
      <w:sdtContent>
        <w:p w14:paraId="4763999A" w14:textId="089BA4B1" w:rsidR="00EF73D8" w:rsidRPr="005C53F5" w:rsidRDefault="001B4B5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r w:rsidRPr="005C53F5">
            <w:rPr>
              <w:rFonts w:ascii="Times New Roman" w:hAnsi="Times New Roman"/>
              <w:sz w:val="24"/>
            </w:rPr>
            <w:fldChar w:fldCharType="begin"/>
          </w:r>
          <w:r w:rsidRPr="005C53F5">
            <w:rPr>
              <w:rFonts w:ascii="Times New Roman" w:hAnsi="Times New Roman" w:cs="Times New Roman"/>
              <w:sz w:val="24"/>
              <w:szCs w:val="24"/>
            </w:rPr>
            <w:instrText xml:space="preserve"> TOC \o "1-3" \h \z \u </w:instrText>
          </w:r>
          <w:r w:rsidRPr="005C53F5">
            <w:rPr>
              <w:rFonts w:ascii="Times New Roman" w:hAnsi="Times New Roman"/>
              <w:sz w:val="24"/>
            </w:rPr>
            <w:fldChar w:fldCharType="separate"/>
          </w:r>
          <w:hyperlink w:anchor="_Toc39616324" w:history="1">
            <w:r w:rsidR="00EF73D8" w:rsidRPr="005C53F5">
              <w:rPr>
                <w:rStyle w:val="ae"/>
                <w:rFonts w:ascii="Times New Roman" w:hAnsi="Times New Roman" w:cs="Times New Roman"/>
                <w:noProof/>
                <w:sz w:val="24"/>
                <w:szCs w:val="24"/>
              </w:rPr>
              <w:t>Введение</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_Toc39616324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w:t>
            </w:r>
            <w:r w:rsidR="00EF73D8" w:rsidRPr="005C53F5">
              <w:rPr>
                <w:rFonts w:ascii="Times New Roman" w:hAnsi="Times New Roman" w:cs="Times New Roman"/>
                <w:noProof/>
                <w:webHidden/>
                <w:sz w:val="24"/>
                <w:szCs w:val="24"/>
              </w:rPr>
              <w:fldChar w:fldCharType="end"/>
            </w:r>
          </w:hyperlink>
        </w:p>
        <w:p w14:paraId="530880FC" w14:textId="0CD2ED30" w:rsidR="00EF73D8" w:rsidRPr="005C53F5" w:rsidRDefault="008E399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25" w:history="1">
            <w:r w:rsidR="00EF73D8" w:rsidRPr="005C53F5">
              <w:rPr>
                <w:rStyle w:val="ae"/>
                <w:rFonts w:ascii="Times New Roman" w:hAnsi="Times New Roman" w:cs="Times New Roman"/>
                <w:noProof/>
                <w:sz w:val="24"/>
                <w:szCs w:val="24"/>
              </w:rPr>
              <w:t>Раздел I. Сведения о банковских счетах, об аудиторе (аудиторской организации), оценщике и о финансовом консультанте эмитента, а также об иных лицах, подписавших проспект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_Toc39616325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31</w:t>
            </w:r>
            <w:r w:rsidR="00EF73D8" w:rsidRPr="005C53F5">
              <w:rPr>
                <w:rFonts w:ascii="Times New Roman" w:hAnsi="Times New Roman" w:cs="Times New Roman"/>
                <w:noProof/>
                <w:webHidden/>
                <w:sz w:val="24"/>
                <w:szCs w:val="24"/>
              </w:rPr>
              <w:fldChar w:fldCharType="end"/>
            </w:r>
          </w:hyperlink>
        </w:p>
        <w:p w14:paraId="08492DCD" w14:textId="4A3102DE"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26" w:history="1">
            <w:r w:rsidR="00EF73D8" w:rsidRPr="005C53F5">
              <w:rPr>
                <w:rStyle w:val="ae"/>
                <w:rFonts w:ascii="Times New Roman" w:hAnsi="Times New Roman" w:cs="Times New Roman"/>
                <w:noProof/>
                <w:sz w:val="24"/>
                <w:szCs w:val="24"/>
              </w:rPr>
              <w:t>1.1. Сведения о банковских счетах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_Toc39616326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31</w:t>
            </w:r>
            <w:r w:rsidR="00EF73D8" w:rsidRPr="005C53F5">
              <w:rPr>
                <w:rFonts w:ascii="Times New Roman" w:hAnsi="Times New Roman" w:cs="Times New Roman"/>
                <w:noProof/>
                <w:webHidden/>
                <w:sz w:val="24"/>
                <w:szCs w:val="24"/>
              </w:rPr>
              <w:fldChar w:fldCharType="end"/>
            </w:r>
          </w:hyperlink>
        </w:p>
        <w:p w14:paraId="7A6EB450" w14:textId="6386DF98"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27" w:history="1">
            <w:r w:rsidR="00EF73D8" w:rsidRPr="005C53F5">
              <w:rPr>
                <w:rStyle w:val="ae"/>
                <w:rFonts w:ascii="Times New Roman" w:hAnsi="Times New Roman" w:cs="Times New Roman"/>
                <w:noProof/>
                <w:sz w:val="24"/>
                <w:szCs w:val="24"/>
              </w:rPr>
              <w:t>1.2. Сведения об аудиторе (аудиторской организации)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_Toc39616327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31</w:t>
            </w:r>
            <w:r w:rsidR="00EF73D8" w:rsidRPr="005C53F5">
              <w:rPr>
                <w:rFonts w:ascii="Times New Roman" w:hAnsi="Times New Roman" w:cs="Times New Roman"/>
                <w:noProof/>
                <w:webHidden/>
                <w:sz w:val="24"/>
                <w:szCs w:val="24"/>
              </w:rPr>
              <w:fldChar w:fldCharType="end"/>
            </w:r>
          </w:hyperlink>
        </w:p>
        <w:p w14:paraId="04084CAA" w14:textId="6CB79BD0"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28" w:history="1">
            <w:r w:rsidR="00EF73D8" w:rsidRPr="005C53F5">
              <w:rPr>
                <w:rStyle w:val="ae"/>
                <w:rFonts w:ascii="Times New Roman" w:hAnsi="Times New Roman" w:cs="Times New Roman"/>
                <w:noProof/>
                <w:sz w:val="24"/>
                <w:szCs w:val="24"/>
              </w:rPr>
              <w:t>1.3. Сведения об оценщике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_Toc39616328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31</w:t>
            </w:r>
            <w:r w:rsidR="00EF73D8" w:rsidRPr="005C53F5">
              <w:rPr>
                <w:rFonts w:ascii="Times New Roman" w:hAnsi="Times New Roman" w:cs="Times New Roman"/>
                <w:noProof/>
                <w:webHidden/>
                <w:sz w:val="24"/>
                <w:szCs w:val="24"/>
              </w:rPr>
              <w:fldChar w:fldCharType="end"/>
            </w:r>
          </w:hyperlink>
        </w:p>
        <w:p w14:paraId="4D71C2F0" w14:textId="3E47943D"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29" w:history="1">
            <w:r w:rsidR="00EF73D8" w:rsidRPr="005C53F5">
              <w:rPr>
                <w:rStyle w:val="ae"/>
                <w:rFonts w:ascii="Times New Roman" w:hAnsi="Times New Roman" w:cs="Times New Roman"/>
                <w:noProof/>
                <w:sz w:val="24"/>
                <w:szCs w:val="24"/>
              </w:rPr>
              <w:t>1.4. Сведения о консультантах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_Toc39616329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31</w:t>
            </w:r>
            <w:r w:rsidR="00EF73D8" w:rsidRPr="005C53F5">
              <w:rPr>
                <w:rFonts w:ascii="Times New Roman" w:hAnsi="Times New Roman" w:cs="Times New Roman"/>
                <w:noProof/>
                <w:webHidden/>
                <w:sz w:val="24"/>
                <w:szCs w:val="24"/>
              </w:rPr>
              <w:fldChar w:fldCharType="end"/>
            </w:r>
          </w:hyperlink>
        </w:p>
        <w:p w14:paraId="20505F56" w14:textId="2D2EF886"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30" w:history="1">
            <w:r w:rsidR="00EF73D8" w:rsidRPr="005C53F5">
              <w:rPr>
                <w:rStyle w:val="ae"/>
                <w:rFonts w:ascii="Times New Roman" w:hAnsi="Times New Roman" w:cs="Times New Roman"/>
                <w:noProof/>
                <w:sz w:val="24"/>
                <w:szCs w:val="24"/>
              </w:rPr>
              <w:t>1.5. Сведения об иных лицах, подписавших проспект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_Toc39616330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31</w:t>
            </w:r>
            <w:r w:rsidR="00EF73D8" w:rsidRPr="005C53F5">
              <w:rPr>
                <w:rFonts w:ascii="Times New Roman" w:hAnsi="Times New Roman" w:cs="Times New Roman"/>
                <w:noProof/>
                <w:webHidden/>
                <w:sz w:val="24"/>
                <w:szCs w:val="24"/>
              </w:rPr>
              <w:fldChar w:fldCharType="end"/>
            </w:r>
          </w:hyperlink>
        </w:p>
        <w:p w14:paraId="46661A2B" w14:textId="5D65CF9A" w:rsidR="00EF73D8" w:rsidRPr="005C53F5" w:rsidRDefault="008E399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31" w:history="1">
            <w:r w:rsidR="00EF73D8" w:rsidRPr="005C53F5">
              <w:rPr>
                <w:rStyle w:val="ae"/>
                <w:rFonts w:ascii="Times New Roman" w:hAnsi="Times New Roman" w:cs="Times New Roman"/>
                <w:noProof/>
                <w:sz w:val="24"/>
                <w:szCs w:val="24"/>
              </w:rPr>
              <w:t>Раздел II. Основная информация о финансово-экономическом состоянии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_Toc39616331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32</w:t>
            </w:r>
            <w:r w:rsidR="00EF73D8" w:rsidRPr="005C53F5">
              <w:rPr>
                <w:rFonts w:ascii="Times New Roman" w:hAnsi="Times New Roman" w:cs="Times New Roman"/>
                <w:noProof/>
                <w:webHidden/>
                <w:sz w:val="24"/>
                <w:szCs w:val="24"/>
              </w:rPr>
              <w:fldChar w:fldCharType="end"/>
            </w:r>
          </w:hyperlink>
        </w:p>
        <w:p w14:paraId="5606B8BD" w14:textId="43755AA8"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32" w:history="1">
            <w:r w:rsidR="00EF73D8" w:rsidRPr="005C53F5">
              <w:rPr>
                <w:rStyle w:val="ae"/>
                <w:rFonts w:ascii="Times New Roman" w:hAnsi="Times New Roman" w:cs="Times New Roman"/>
                <w:noProof/>
                <w:sz w:val="24"/>
                <w:szCs w:val="24"/>
              </w:rPr>
              <w:t>2.1. Показатели финансово-экономической деятельности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_Toc39616332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32</w:t>
            </w:r>
            <w:r w:rsidR="00EF73D8" w:rsidRPr="005C53F5">
              <w:rPr>
                <w:rFonts w:ascii="Times New Roman" w:hAnsi="Times New Roman" w:cs="Times New Roman"/>
                <w:noProof/>
                <w:webHidden/>
                <w:sz w:val="24"/>
                <w:szCs w:val="24"/>
              </w:rPr>
              <w:fldChar w:fldCharType="end"/>
            </w:r>
          </w:hyperlink>
        </w:p>
        <w:p w14:paraId="5AEA11AF" w14:textId="609938AF"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33" w:history="1">
            <w:r w:rsidR="00EF73D8" w:rsidRPr="005C53F5">
              <w:rPr>
                <w:rStyle w:val="ae"/>
                <w:rFonts w:ascii="Times New Roman" w:hAnsi="Times New Roman" w:cs="Times New Roman"/>
                <w:noProof/>
                <w:sz w:val="24"/>
                <w:szCs w:val="24"/>
              </w:rPr>
              <w:t>2.2. Рыночная капитализация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_Toc39616333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45</w:t>
            </w:r>
            <w:r w:rsidR="00EF73D8" w:rsidRPr="005C53F5">
              <w:rPr>
                <w:rFonts w:ascii="Times New Roman" w:hAnsi="Times New Roman" w:cs="Times New Roman"/>
                <w:noProof/>
                <w:webHidden/>
                <w:sz w:val="24"/>
                <w:szCs w:val="24"/>
              </w:rPr>
              <w:fldChar w:fldCharType="end"/>
            </w:r>
          </w:hyperlink>
        </w:p>
        <w:p w14:paraId="60B55D69" w14:textId="7E5070BB"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34" w:history="1">
            <w:r w:rsidR="00EF73D8" w:rsidRPr="005C53F5">
              <w:rPr>
                <w:rStyle w:val="ae"/>
                <w:rFonts w:ascii="Times New Roman" w:hAnsi="Times New Roman" w:cs="Times New Roman"/>
                <w:noProof/>
                <w:sz w:val="24"/>
                <w:szCs w:val="24"/>
              </w:rPr>
              <w:t>2.3. Обязательства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_Toc39616334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45</w:t>
            </w:r>
            <w:r w:rsidR="00EF73D8" w:rsidRPr="005C53F5">
              <w:rPr>
                <w:rFonts w:ascii="Times New Roman" w:hAnsi="Times New Roman" w:cs="Times New Roman"/>
                <w:noProof/>
                <w:webHidden/>
                <w:sz w:val="24"/>
                <w:szCs w:val="24"/>
              </w:rPr>
              <w:fldChar w:fldCharType="end"/>
            </w:r>
          </w:hyperlink>
        </w:p>
        <w:p w14:paraId="28CD6222" w14:textId="6C6DE1F1"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35" w:history="1">
            <w:r w:rsidR="00EF73D8" w:rsidRPr="005C53F5">
              <w:rPr>
                <w:rStyle w:val="ae"/>
                <w:rFonts w:ascii="Times New Roman" w:hAnsi="Times New Roman" w:cs="Times New Roman"/>
                <w:noProof/>
                <w:sz w:val="24"/>
                <w:szCs w:val="24"/>
              </w:rPr>
              <w:t>2.4. Цели эмиссии и направления использования средств, полученных в результате размещения эмиссионных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_Toc39616335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45</w:t>
            </w:r>
            <w:r w:rsidR="00EF73D8" w:rsidRPr="005C53F5">
              <w:rPr>
                <w:rFonts w:ascii="Times New Roman" w:hAnsi="Times New Roman" w:cs="Times New Roman"/>
                <w:noProof/>
                <w:webHidden/>
                <w:sz w:val="24"/>
                <w:szCs w:val="24"/>
              </w:rPr>
              <w:fldChar w:fldCharType="end"/>
            </w:r>
          </w:hyperlink>
        </w:p>
        <w:p w14:paraId="6A3A75C9" w14:textId="149F5482"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36" w:history="1">
            <w:r w:rsidR="00EF73D8" w:rsidRPr="005C53F5">
              <w:rPr>
                <w:rStyle w:val="ae"/>
                <w:rFonts w:ascii="Times New Roman" w:hAnsi="Times New Roman" w:cs="Times New Roman"/>
                <w:noProof/>
                <w:sz w:val="24"/>
                <w:szCs w:val="24"/>
              </w:rPr>
              <w:t>2.5. Риски, связанные с приобретением размещаемых эмиссионных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_Toc39616336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46</w:t>
            </w:r>
            <w:r w:rsidR="00EF73D8" w:rsidRPr="005C53F5">
              <w:rPr>
                <w:rFonts w:ascii="Times New Roman" w:hAnsi="Times New Roman" w:cs="Times New Roman"/>
                <w:noProof/>
                <w:webHidden/>
                <w:sz w:val="24"/>
                <w:szCs w:val="24"/>
              </w:rPr>
              <w:fldChar w:fldCharType="end"/>
            </w:r>
          </w:hyperlink>
        </w:p>
        <w:p w14:paraId="5FC58C24" w14:textId="16F4A1FB"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37" w:history="1">
            <w:r w:rsidR="00EF73D8" w:rsidRPr="005C53F5">
              <w:rPr>
                <w:rStyle w:val="ae"/>
                <w:rFonts w:ascii="Times New Roman" w:hAnsi="Times New Roman" w:cs="Times New Roman"/>
                <w:noProof/>
                <w:sz w:val="24"/>
                <w:szCs w:val="24"/>
              </w:rPr>
              <w:t>2.5.1. Отраслевые риски</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_Toc39616337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46</w:t>
            </w:r>
            <w:r w:rsidR="00EF73D8" w:rsidRPr="005C53F5">
              <w:rPr>
                <w:rFonts w:ascii="Times New Roman" w:hAnsi="Times New Roman" w:cs="Times New Roman"/>
                <w:noProof/>
                <w:webHidden/>
                <w:sz w:val="24"/>
                <w:szCs w:val="24"/>
              </w:rPr>
              <w:fldChar w:fldCharType="end"/>
            </w:r>
          </w:hyperlink>
        </w:p>
        <w:p w14:paraId="389E1F0A" w14:textId="0845A770"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38" w:history="1">
            <w:r w:rsidR="00EF73D8" w:rsidRPr="005C53F5">
              <w:rPr>
                <w:rStyle w:val="ae"/>
                <w:rFonts w:ascii="Times New Roman" w:hAnsi="Times New Roman" w:cs="Times New Roman"/>
                <w:noProof/>
                <w:sz w:val="24"/>
                <w:szCs w:val="24"/>
              </w:rPr>
              <w:t>2.5.2. Страновые и региональные риски</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_Toc39616338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57</w:t>
            </w:r>
            <w:r w:rsidR="00EF73D8" w:rsidRPr="005C53F5">
              <w:rPr>
                <w:rFonts w:ascii="Times New Roman" w:hAnsi="Times New Roman" w:cs="Times New Roman"/>
                <w:noProof/>
                <w:webHidden/>
                <w:sz w:val="24"/>
                <w:szCs w:val="24"/>
              </w:rPr>
              <w:fldChar w:fldCharType="end"/>
            </w:r>
          </w:hyperlink>
        </w:p>
        <w:p w14:paraId="251993EF" w14:textId="7736ED3F"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39" w:history="1">
            <w:r w:rsidR="00EF73D8" w:rsidRPr="005C53F5">
              <w:rPr>
                <w:rStyle w:val="ae"/>
                <w:rFonts w:ascii="Times New Roman" w:hAnsi="Times New Roman" w:cs="Times New Roman"/>
                <w:noProof/>
                <w:sz w:val="24"/>
                <w:szCs w:val="24"/>
              </w:rPr>
              <w:t>2.5.3. Финансовые риски</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_Toc39616339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60</w:t>
            </w:r>
            <w:r w:rsidR="00EF73D8" w:rsidRPr="005C53F5">
              <w:rPr>
                <w:rFonts w:ascii="Times New Roman" w:hAnsi="Times New Roman" w:cs="Times New Roman"/>
                <w:noProof/>
                <w:webHidden/>
                <w:sz w:val="24"/>
                <w:szCs w:val="24"/>
              </w:rPr>
              <w:fldChar w:fldCharType="end"/>
            </w:r>
          </w:hyperlink>
        </w:p>
        <w:p w14:paraId="614CEE5F" w14:textId="75BCDB6D"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40" w:history="1">
            <w:r w:rsidR="00EF73D8" w:rsidRPr="005C53F5">
              <w:rPr>
                <w:rStyle w:val="ae"/>
                <w:rFonts w:ascii="Times New Roman" w:hAnsi="Times New Roman" w:cs="Times New Roman"/>
                <w:noProof/>
                <w:sz w:val="24"/>
                <w:szCs w:val="24"/>
              </w:rPr>
              <w:t>2.5.4. Правовые риски</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_Toc39616340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65</w:t>
            </w:r>
            <w:r w:rsidR="00EF73D8" w:rsidRPr="005C53F5">
              <w:rPr>
                <w:rFonts w:ascii="Times New Roman" w:hAnsi="Times New Roman" w:cs="Times New Roman"/>
                <w:noProof/>
                <w:webHidden/>
                <w:sz w:val="24"/>
                <w:szCs w:val="24"/>
              </w:rPr>
              <w:fldChar w:fldCharType="end"/>
            </w:r>
          </w:hyperlink>
        </w:p>
        <w:p w14:paraId="5F619557" w14:textId="785761A6"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41" w:history="1">
            <w:r w:rsidR="00EF73D8" w:rsidRPr="005C53F5">
              <w:rPr>
                <w:rStyle w:val="ae"/>
                <w:rFonts w:ascii="Times New Roman" w:hAnsi="Times New Roman" w:cs="Times New Roman"/>
                <w:noProof/>
                <w:sz w:val="24"/>
                <w:szCs w:val="24"/>
              </w:rPr>
              <w:t>2.5.5. Риск потери деловой репутации (репутационный риск)</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_Toc39616341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69</w:t>
            </w:r>
            <w:r w:rsidR="00EF73D8" w:rsidRPr="005C53F5">
              <w:rPr>
                <w:rFonts w:ascii="Times New Roman" w:hAnsi="Times New Roman" w:cs="Times New Roman"/>
                <w:noProof/>
                <w:webHidden/>
                <w:sz w:val="24"/>
                <w:szCs w:val="24"/>
              </w:rPr>
              <w:fldChar w:fldCharType="end"/>
            </w:r>
          </w:hyperlink>
        </w:p>
        <w:p w14:paraId="3DAB1AD9" w14:textId="6888C209"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42" w:history="1">
            <w:r w:rsidR="00EF73D8" w:rsidRPr="005C53F5">
              <w:rPr>
                <w:rStyle w:val="ae"/>
                <w:rFonts w:ascii="Times New Roman" w:hAnsi="Times New Roman" w:cs="Times New Roman"/>
                <w:noProof/>
                <w:sz w:val="24"/>
                <w:szCs w:val="24"/>
              </w:rPr>
              <w:t>2.5.6. Стратегический риск</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_Toc39616342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69</w:t>
            </w:r>
            <w:r w:rsidR="00EF73D8" w:rsidRPr="005C53F5">
              <w:rPr>
                <w:rFonts w:ascii="Times New Roman" w:hAnsi="Times New Roman" w:cs="Times New Roman"/>
                <w:noProof/>
                <w:webHidden/>
                <w:sz w:val="24"/>
                <w:szCs w:val="24"/>
              </w:rPr>
              <w:fldChar w:fldCharType="end"/>
            </w:r>
          </w:hyperlink>
        </w:p>
        <w:p w14:paraId="6831D46A" w14:textId="508A446C"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43" w:history="1">
            <w:r w:rsidR="00EF73D8" w:rsidRPr="005C53F5">
              <w:rPr>
                <w:rStyle w:val="ae"/>
                <w:rFonts w:ascii="Times New Roman" w:hAnsi="Times New Roman" w:cs="Times New Roman"/>
                <w:noProof/>
                <w:sz w:val="24"/>
                <w:szCs w:val="24"/>
              </w:rPr>
              <w:t>2.5.7. Риски, связанные с деятельностью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_Toc39616343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70</w:t>
            </w:r>
            <w:r w:rsidR="00EF73D8" w:rsidRPr="005C53F5">
              <w:rPr>
                <w:rFonts w:ascii="Times New Roman" w:hAnsi="Times New Roman" w:cs="Times New Roman"/>
                <w:noProof/>
                <w:webHidden/>
                <w:sz w:val="24"/>
                <w:szCs w:val="24"/>
              </w:rPr>
              <w:fldChar w:fldCharType="end"/>
            </w:r>
          </w:hyperlink>
        </w:p>
        <w:p w14:paraId="5AAEE1B0" w14:textId="08368D91"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44" w:history="1">
            <w:r w:rsidR="00EF73D8" w:rsidRPr="005C53F5">
              <w:rPr>
                <w:rStyle w:val="ae"/>
                <w:rFonts w:ascii="Times New Roman" w:hAnsi="Times New Roman" w:cs="Times New Roman"/>
                <w:noProof/>
                <w:sz w:val="24"/>
                <w:szCs w:val="24"/>
              </w:rPr>
              <w:t>2.5.8. Банковские риски</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_Toc39616344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78</w:t>
            </w:r>
            <w:r w:rsidR="00EF73D8" w:rsidRPr="005C53F5">
              <w:rPr>
                <w:rFonts w:ascii="Times New Roman" w:hAnsi="Times New Roman" w:cs="Times New Roman"/>
                <w:noProof/>
                <w:webHidden/>
                <w:sz w:val="24"/>
                <w:szCs w:val="24"/>
              </w:rPr>
              <w:fldChar w:fldCharType="end"/>
            </w:r>
          </w:hyperlink>
        </w:p>
        <w:p w14:paraId="02150E75" w14:textId="22784D4A" w:rsidR="00EF73D8" w:rsidRPr="005C53F5" w:rsidRDefault="008E399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45" w:history="1">
            <w:r w:rsidR="00EF73D8" w:rsidRPr="005C53F5">
              <w:rPr>
                <w:rStyle w:val="ae"/>
                <w:rFonts w:ascii="Times New Roman" w:hAnsi="Times New Roman" w:cs="Times New Roman"/>
                <w:noProof/>
                <w:sz w:val="24"/>
                <w:szCs w:val="24"/>
              </w:rPr>
              <w:t>Раздел III. Подробная информация об эмитенте</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_Toc39616345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79</w:t>
            </w:r>
            <w:r w:rsidR="00EF73D8" w:rsidRPr="005C53F5">
              <w:rPr>
                <w:rFonts w:ascii="Times New Roman" w:hAnsi="Times New Roman" w:cs="Times New Roman"/>
                <w:noProof/>
                <w:webHidden/>
                <w:sz w:val="24"/>
                <w:szCs w:val="24"/>
              </w:rPr>
              <w:fldChar w:fldCharType="end"/>
            </w:r>
          </w:hyperlink>
        </w:p>
        <w:p w14:paraId="7CD85918" w14:textId="66083E44"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46" w:history="1">
            <w:r w:rsidR="00EF73D8" w:rsidRPr="005C53F5">
              <w:rPr>
                <w:rStyle w:val="ae"/>
                <w:rFonts w:ascii="Times New Roman" w:hAnsi="Times New Roman" w:cs="Times New Roman"/>
                <w:noProof/>
                <w:sz w:val="24"/>
                <w:szCs w:val="24"/>
              </w:rPr>
              <w:t>3.1. История создания и развитие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_Toc39616346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79</w:t>
            </w:r>
            <w:r w:rsidR="00EF73D8" w:rsidRPr="005C53F5">
              <w:rPr>
                <w:rFonts w:ascii="Times New Roman" w:hAnsi="Times New Roman" w:cs="Times New Roman"/>
                <w:noProof/>
                <w:webHidden/>
                <w:sz w:val="24"/>
                <w:szCs w:val="24"/>
              </w:rPr>
              <w:fldChar w:fldCharType="end"/>
            </w:r>
          </w:hyperlink>
        </w:p>
        <w:p w14:paraId="12DEEF93" w14:textId="460EAA13"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47" w:history="1">
            <w:r w:rsidR="00EF73D8" w:rsidRPr="005C53F5">
              <w:rPr>
                <w:rStyle w:val="ae"/>
                <w:rFonts w:ascii="Times New Roman" w:hAnsi="Times New Roman" w:cs="Times New Roman"/>
                <w:noProof/>
                <w:sz w:val="24"/>
                <w:szCs w:val="24"/>
              </w:rPr>
              <w:t>3.1.1. Данные о фирменном наименовании (наименовании)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_Toc39616347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79</w:t>
            </w:r>
            <w:r w:rsidR="00EF73D8" w:rsidRPr="005C53F5">
              <w:rPr>
                <w:rFonts w:ascii="Times New Roman" w:hAnsi="Times New Roman" w:cs="Times New Roman"/>
                <w:noProof/>
                <w:webHidden/>
                <w:sz w:val="24"/>
                <w:szCs w:val="24"/>
              </w:rPr>
              <w:fldChar w:fldCharType="end"/>
            </w:r>
          </w:hyperlink>
        </w:p>
        <w:p w14:paraId="0D999C91" w14:textId="6E44443C"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48" w:history="1">
            <w:r w:rsidR="00EF73D8" w:rsidRPr="005C53F5">
              <w:rPr>
                <w:rStyle w:val="ae"/>
                <w:rFonts w:ascii="Times New Roman" w:hAnsi="Times New Roman" w:cs="Times New Roman"/>
                <w:noProof/>
                <w:sz w:val="24"/>
                <w:szCs w:val="24"/>
              </w:rPr>
              <w:t>3.1.2. Сведения о государственной регистрации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_Toc39616348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79</w:t>
            </w:r>
            <w:r w:rsidR="00EF73D8" w:rsidRPr="005C53F5">
              <w:rPr>
                <w:rFonts w:ascii="Times New Roman" w:hAnsi="Times New Roman" w:cs="Times New Roman"/>
                <w:noProof/>
                <w:webHidden/>
                <w:sz w:val="24"/>
                <w:szCs w:val="24"/>
              </w:rPr>
              <w:fldChar w:fldCharType="end"/>
            </w:r>
          </w:hyperlink>
        </w:p>
        <w:p w14:paraId="59182910" w14:textId="54052C83"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49" w:history="1">
            <w:r w:rsidR="00EF73D8" w:rsidRPr="005C53F5">
              <w:rPr>
                <w:rStyle w:val="ae"/>
                <w:rFonts w:ascii="Times New Roman" w:hAnsi="Times New Roman" w:cs="Times New Roman"/>
                <w:noProof/>
                <w:sz w:val="24"/>
                <w:szCs w:val="24"/>
              </w:rPr>
              <w:t>3.1.3. Сведения о создании и развитии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_Toc39616349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79</w:t>
            </w:r>
            <w:r w:rsidR="00EF73D8" w:rsidRPr="005C53F5">
              <w:rPr>
                <w:rFonts w:ascii="Times New Roman" w:hAnsi="Times New Roman" w:cs="Times New Roman"/>
                <w:noProof/>
                <w:webHidden/>
                <w:sz w:val="24"/>
                <w:szCs w:val="24"/>
              </w:rPr>
              <w:fldChar w:fldCharType="end"/>
            </w:r>
          </w:hyperlink>
        </w:p>
        <w:p w14:paraId="0EEC221B" w14:textId="4933C01D"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50" w:history="1">
            <w:r w:rsidR="00EF73D8" w:rsidRPr="005C53F5">
              <w:rPr>
                <w:rStyle w:val="ae"/>
                <w:rFonts w:ascii="Times New Roman" w:hAnsi="Times New Roman" w:cs="Times New Roman"/>
                <w:noProof/>
                <w:sz w:val="24"/>
                <w:szCs w:val="24"/>
              </w:rPr>
              <w:t>3.1.4. Контактная информация</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_Toc39616350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80</w:t>
            </w:r>
            <w:r w:rsidR="00EF73D8" w:rsidRPr="005C53F5">
              <w:rPr>
                <w:rFonts w:ascii="Times New Roman" w:hAnsi="Times New Roman" w:cs="Times New Roman"/>
                <w:noProof/>
                <w:webHidden/>
                <w:sz w:val="24"/>
                <w:szCs w:val="24"/>
              </w:rPr>
              <w:fldChar w:fldCharType="end"/>
            </w:r>
          </w:hyperlink>
        </w:p>
        <w:p w14:paraId="13E530BD" w14:textId="0F557C95"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51" w:history="1">
            <w:r w:rsidR="00EF73D8" w:rsidRPr="005C53F5">
              <w:rPr>
                <w:rStyle w:val="ae"/>
                <w:rFonts w:ascii="Times New Roman" w:hAnsi="Times New Roman" w:cs="Times New Roman"/>
                <w:noProof/>
                <w:sz w:val="24"/>
                <w:szCs w:val="24"/>
              </w:rPr>
              <w:t>3.1.5. Идентификационный номер налогоплательщика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_Toc39616351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81</w:t>
            </w:r>
            <w:r w:rsidR="00EF73D8" w:rsidRPr="005C53F5">
              <w:rPr>
                <w:rFonts w:ascii="Times New Roman" w:hAnsi="Times New Roman" w:cs="Times New Roman"/>
                <w:noProof/>
                <w:webHidden/>
                <w:sz w:val="24"/>
                <w:szCs w:val="24"/>
              </w:rPr>
              <w:fldChar w:fldCharType="end"/>
            </w:r>
          </w:hyperlink>
        </w:p>
        <w:p w14:paraId="5A8B8EB6" w14:textId="1FEDE2F2"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52" w:history="1">
            <w:r w:rsidR="00EF73D8" w:rsidRPr="005C53F5">
              <w:rPr>
                <w:rStyle w:val="ae"/>
                <w:rFonts w:ascii="Times New Roman" w:hAnsi="Times New Roman" w:cs="Times New Roman"/>
                <w:noProof/>
                <w:sz w:val="24"/>
                <w:szCs w:val="24"/>
              </w:rPr>
              <w:t>3.1.6. Филиалы и представительства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_Toc39616352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81</w:t>
            </w:r>
            <w:r w:rsidR="00EF73D8" w:rsidRPr="005C53F5">
              <w:rPr>
                <w:rFonts w:ascii="Times New Roman" w:hAnsi="Times New Roman" w:cs="Times New Roman"/>
                <w:noProof/>
                <w:webHidden/>
                <w:sz w:val="24"/>
                <w:szCs w:val="24"/>
              </w:rPr>
              <w:fldChar w:fldCharType="end"/>
            </w:r>
          </w:hyperlink>
        </w:p>
        <w:p w14:paraId="36EEC3F8" w14:textId="19B70739"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53" w:history="1">
            <w:r w:rsidR="00EF73D8" w:rsidRPr="005C53F5">
              <w:rPr>
                <w:rStyle w:val="ae"/>
                <w:rFonts w:ascii="Times New Roman" w:hAnsi="Times New Roman" w:cs="Times New Roman"/>
                <w:noProof/>
                <w:sz w:val="24"/>
                <w:szCs w:val="24"/>
              </w:rPr>
              <w:t>3.2. Основная хозяйственная деятельность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_Toc39616353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82</w:t>
            </w:r>
            <w:r w:rsidR="00EF73D8" w:rsidRPr="005C53F5">
              <w:rPr>
                <w:rFonts w:ascii="Times New Roman" w:hAnsi="Times New Roman" w:cs="Times New Roman"/>
                <w:noProof/>
                <w:webHidden/>
                <w:sz w:val="24"/>
                <w:szCs w:val="24"/>
              </w:rPr>
              <w:fldChar w:fldCharType="end"/>
            </w:r>
          </w:hyperlink>
        </w:p>
        <w:p w14:paraId="00E0D17F" w14:textId="0CC712DF"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54" w:history="1">
            <w:r w:rsidR="00EF73D8" w:rsidRPr="005C53F5">
              <w:rPr>
                <w:rStyle w:val="ae"/>
                <w:rFonts w:ascii="Times New Roman" w:hAnsi="Times New Roman" w:cs="Times New Roman"/>
                <w:noProof/>
                <w:sz w:val="24"/>
                <w:szCs w:val="24"/>
              </w:rPr>
              <w:t>3.3. Планы будущей деятельности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_Toc39616354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82</w:t>
            </w:r>
            <w:r w:rsidR="00EF73D8" w:rsidRPr="005C53F5">
              <w:rPr>
                <w:rFonts w:ascii="Times New Roman" w:hAnsi="Times New Roman" w:cs="Times New Roman"/>
                <w:noProof/>
                <w:webHidden/>
                <w:sz w:val="24"/>
                <w:szCs w:val="24"/>
              </w:rPr>
              <w:fldChar w:fldCharType="end"/>
            </w:r>
          </w:hyperlink>
        </w:p>
        <w:p w14:paraId="4BD1A4CA" w14:textId="44341C74"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55" w:history="1">
            <w:r w:rsidR="00EF73D8" w:rsidRPr="005C53F5">
              <w:rPr>
                <w:rStyle w:val="ae"/>
                <w:rFonts w:ascii="Times New Roman" w:hAnsi="Times New Roman" w:cs="Times New Roman"/>
                <w:noProof/>
                <w:sz w:val="24"/>
                <w:szCs w:val="24"/>
              </w:rPr>
              <w:t>3.4. Участие эмитента в банковских группах, банковских холдингах, холдингах и ассоциациях</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_Toc39616355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82</w:t>
            </w:r>
            <w:r w:rsidR="00EF73D8" w:rsidRPr="005C53F5">
              <w:rPr>
                <w:rFonts w:ascii="Times New Roman" w:hAnsi="Times New Roman" w:cs="Times New Roman"/>
                <w:noProof/>
                <w:webHidden/>
                <w:sz w:val="24"/>
                <w:szCs w:val="24"/>
              </w:rPr>
              <w:fldChar w:fldCharType="end"/>
            </w:r>
          </w:hyperlink>
        </w:p>
        <w:p w14:paraId="44ABC74E" w14:textId="061AF902"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56" w:history="1">
            <w:r w:rsidR="00EF73D8" w:rsidRPr="005C53F5">
              <w:rPr>
                <w:rStyle w:val="ae"/>
                <w:rFonts w:ascii="Times New Roman" w:hAnsi="Times New Roman" w:cs="Times New Roman"/>
                <w:noProof/>
                <w:sz w:val="24"/>
                <w:szCs w:val="24"/>
              </w:rPr>
              <w:t>3.5. Дочерние и зависимые хозяйственные общества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_Toc39616356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84</w:t>
            </w:r>
            <w:r w:rsidR="00EF73D8" w:rsidRPr="005C53F5">
              <w:rPr>
                <w:rFonts w:ascii="Times New Roman" w:hAnsi="Times New Roman" w:cs="Times New Roman"/>
                <w:noProof/>
                <w:webHidden/>
                <w:sz w:val="24"/>
                <w:szCs w:val="24"/>
              </w:rPr>
              <w:fldChar w:fldCharType="end"/>
            </w:r>
          </w:hyperlink>
        </w:p>
        <w:p w14:paraId="0D09CC30" w14:textId="1985C6F9"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57" w:history="1">
            <w:r w:rsidR="00EF73D8" w:rsidRPr="005C53F5">
              <w:rPr>
                <w:rStyle w:val="ae"/>
                <w:rFonts w:ascii="Times New Roman" w:hAnsi="Times New Roman" w:cs="Times New Roman"/>
                <w:noProof/>
                <w:sz w:val="24"/>
                <w:szCs w:val="24"/>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_Toc39616357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84</w:t>
            </w:r>
            <w:r w:rsidR="00EF73D8" w:rsidRPr="005C53F5">
              <w:rPr>
                <w:rFonts w:ascii="Times New Roman" w:hAnsi="Times New Roman" w:cs="Times New Roman"/>
                <w:noProof/>
                <w:webHidden/>
                <w:sz w:val="24"/>
                <w:szCs w:val="24"/>
              </w:rPr>
              <w:fldChar w:fldCharType="end"/>
            </w:r>
          </w:hyperlink>
        </w:p>
        <w:p w14:paraId="4BEB008A" w14:textId="5762E8D1"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58" w:history="1">
            <w:r w:rsidR="00EF73D8" w:rsidRPr="005C53F5">
              <w:rPr>
                <w:rStyle w:val="ae"/>
                <w:rFonts w:ascii="Times New Roman" w:hAnsi="Times New Roman" w:cs="Times New Roman"/>
                <w:noProof/>
                <w:sz w:val="24"/>
                <w:szCs w:val="24"/>
              </w:rPr>
              <w:t>3.7. Подконтрольные эмитенту организации, имеющие для него существенное значение</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_Toc39616358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84</w:t>
            </w:r>
            <w:r w:rsidR="00EF73D8" w:rsidRPr="005C53F5">
              <w:rPr>
                <w:rFonts w:ascii="Times New Roman" w:hAnsi="Times New Roman" w:cs="Times New Roman"/>
                <w:noProof/>
                <w:webHidden/>
                <w:sz w:val="24"/>
                <w:szCs w:val="24"/>
              </w:rPr>
              <w:fldChar w:fldCharType="end"/>
            </w:r>
          </w:hyperlink>
        </w:p>
        <w:p w14:paraId="11808354" w14:textId="200DA807" w:rsidR="00EF73D8" w:rsidRPr="005C53F5" w:rsidRDefault="008E399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59" w:history="1">
            <w:r w:rsidR="00EF73D8" w:rsidRPr="005C53F5">
              <w:rPr>
                <w:rStyle w:val="ae"/>
                <w:rFonts w:ascii="Times New Roman" w:hAnsi="Times New Roman" w:cs="Times New Roman"/>
                <w:noProof/>
                <w:sz w:val="24"/>
                <w:szCs w:val="24"/>
              </w:rPr>
              <w:t>Раздел IV. Сведения о финансово-хозяйственной деятельности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_Toc39616359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85</w:t>
            </w:r>
            <w:r w:rsidR="00EF73D8" w:rsidRPr="005C53F5">
              <w:rPr>
                <w:rFonts w:ascii="Times New Roman" w:hAnsi="Times New Roman" w:cs="Times New Roman"/>
                <w:noProof/>
                <w:webHidden/>
                <w:sz w:val="24"/>
                <w:szCs w:val="24"/>
              </w:rPr>
              <w:fldChar w:fldCharType="end"/>
            </w:r>
          </w:hyperlink>
        </w:p>
        <w:p w14:paraId="0A3AF527" w14:textId="526C2802"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60" w:history="1">
            <w:r w:rsidR="00EF73D8" w:rsidRPr="005C53F5">
              <w:rPr>
                <w:rStyle w:val="ae"/>
                <w:rFonts w:ascii="Times New Roman" w:hAnsi="Times New Roman" w:cs="Times New Roman"/>
                <w:noProof/>
                <w:sz w:val="24"/>
                <w:szCs w:val="24"/>
              </w:rPr>
              <w:t>4.1. Результаты финансово-хозяйственной деятельности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_Toc39616360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85</w:t>
            </w:r>
            <w:r w:rsidR="00EF73D8" w:rsidRPr="005C53F5">
              <w:rPr>
                <w:rFonts w:ascii="Times New Roman" w:hAnsi="Times New Roman" w:cs="Times New Roman"/>
                <w:noProof/>
                <w:webHidden/>
                <w:sz w:val="24"/>
                <w:szCs w:val="24"/>
              </w:rPr>
              <w:fldChar w:fldCharType="end"/>
            </w:r>
          </w:hyperlink>
        </w:p>
        <w:p w14:paraId="12DB7F29" w14:textId="7CA31BB2"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61" w:history="1">
            <w:r w:rsidR="00EF73D8" w:rsidRPr="005C53F5">
              <w:rPr>
                <w:rStyle w:val="ae"/>
                <w:rFonts w:ascii="Times New Roman" w:hAnsi="Times New Roman" w:cs="Times New Roman"/>
                <w:noProof/>
                <w:sz w:val="24"/>
                <w:szCs w:val="24"/>
              </w:rPr>
              <w:t>4.2. Ликвидность эмитента, достаточность капитала и оборотных средств</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_Toc39616361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85</w:t>
            </w:r>
            <w:r w:rsidR="00EF73D8" w:rsidRPr="005C53F5">
              <w:rPr>
                <w:rFonts w:ascii="Times New Roman" w:hAnsi="Times New Roman" w:cs="Times New Roman"/>
                <w:noProof/>
                <w:webHidden/>
                <w:sz w:val="24"/>
                <w:szCs w:val="24"/>
              </w:rPr>
              <w:fldChar w:fldCharType="end"/>
            </w:r>
          </w:hyperlink>
        </w:p>
        <w:p w14:paraId="09A9FEE5" w14:textId="1C9100B8"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62" w:history="1">
            <w:r w:rsidR="00EF73D8" w:rsidRPr="005C53F5">
              <w:rPr>
                <w:rStyle w:val="ae"/>
                <w:rFonts w:ascii="Times New Roman" w:hAnsi="Times New Roman" w:cs="Times New Roman"/>
                <w:noProof/>
                <w:sz w:val="24"/>
                <w:szCs w:val="24"/>
              </w:rPr>
              <w:t>4.3. Размер и структура капитала и оборотных средств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_Toc39616362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85</w:t>
            </w:r>
            <w:r w:rsidR="00EF73D8" w:rsidRPr="005C53F5">
              <w:rPr>
                <w:rFonts w:ascii="Times New Roman" w:hAnsi="Times New Roman" w:cs="Times New Roman"/>
                <w:noProof/>
                <w:webHidden/>
                <w:sz w:val="24"/>
                <w:szCs w:val="24"/>
              </w:rPr>
              <w:fldChar w:fldCharType="end"/>
            </w:r>
          </w:hyperlink>
        </w:p>
        <w:p w14:paraId="59A4571B" w14:textId="6372383D"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63" w:history="1">
            <w:r w:rsidR="00EF73D8" w:rsidRPr="005C53F5">
              <w:rPr>
                <w:rStyle w:val="ae"/>
                <w:rFonts w:ascii="Times New Roman" w:hAnsi="Times New Roman" w:cs="Times New Roman"/>
                <w:noProof/>
                <w:sz w:val="24"/>
                <w:szCs w:val="24"/>
              </w:rPr>
              <w:t>4.4.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_Toc39616363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85</w:t>
            </w:r>
            <w:r w:rsidR="00EF73D8" w:rsidRPr="005C53F5">
              <w:rPr>
                <w:rFonts w:ascii="Times New Roman" w:hAnsi="Times New Roman" w:cs="Times New Roman"/>
                <w:noProof/>
                <w:webHidden/>
                <w:sz w:val="24"/>
                <w:szCs w:val="24"/>
              </w:rPr>
              <w:fldChar w:fldCharType="end"/>
            </w:r>
          </w:hyperlink>
        </w:p>
        <w:p w14:paraId="10AE7E54" w14:textId="74423118"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64" w:history="1">
            <w:r w:rsidR="00EF73D8" w:rsidRPr="005C53F5">
              <w:rPr>
                <w:rStyle w:val="ae"/>
                <w:rFonts w:ascii="Times New Roman" w:hAnsi="Times New Roman" w:cs="Times New Roman"/>
                <w:noProof/>
                <w:sz w:val="24"/>
                <w:szCs w:val="24"/>
              </w:rPr>
              <w:t>4.5. Анализ тенденций развития в сфере основной деятельности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_Toc39616364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85</w:t>
            </w:r>
            <w:r w:rsidR="00EF73D8" w:rsidRPr="005C53F5">
              <w:rPr>
                <w:rFonts w:ascii="Times New Roman" w:hAnsi="Times New Roman" w:cs="Times New Roman"/>
                <w:noProof/>
                <w:webHidden/>
                <w:sz w:val="24"/>
                <w:szCs w:val="24"/>
              </w:rPr>
              <w:fldChar w:fldCharType="end"/>
            </w:r>
          </w:hyperlink>
        </w:p>
        <w:p w14:paraId="113115FD" w14:textId="794240F4"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65" w:history="1">
            <w:r w:rsidR="00EF73D8" w:rsidRPr="005C53F5">
              <w:rPr>
                <w:rStyle w:val="ae"/>
                <w:rFonts w:ascii="Times New Roman" w:hAnsi="Times New Roman" w:cs="Times New Roman"/>
                <w:noProof/>
                <w:sz w:val="24"/>
                <w:szCs w:val="24"/>
              </w:rPr>
              <w:t>4.6. Анализ факторов и условий, влияющих на деятельность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_Toc39616365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85</w:t>
            </w:r>
            <w:r w:rsidR="00EF73D8" w:rsidRPr="005C53F5">
              <w:rPr>
                <w:rFonts w:ascii="Times New Roman" w:hAnsi="Times New Roman" w:cs="Times New Roman"/>
                <w:noProof/>
                <w:webHidden/>
                <w:sz w:val="24"/>
                <w:szCs w:val="24"/>
              </w:rPr>
              <w:fldChar w:fldCharType="end"/>
            </w:r>
          </w:hyperlink>
        </w:p>
        <w:p w14:paraId="23254A9A" w14:textId="263283A3"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66" w:history="1">
            <w:r w:rsidR="00EF73D8" w:rsidRPr="005C53F5">
              <w:rPr>
                <w:rStyle w:val="ae"/>
                <w:rFonts w:ascii="Times New Roman" w:hAnsi="Times New Roman" w:cs="Times New Roman"/>
                <w:noProof/>
                <w:sz w:val="24"/>
                <w:szCs w:val="24"/>
              </w:rPr>
              <w:t>4.7. Конкуренты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_Toc39616366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85</w:t>
            </w:r>
            <w:r w:rsidR="00EF73D8" w:rsidRPr="005C53F5">
              <w:rPr>
                <w:rFonts w:ascii="Times New Roman" w:hAnsi="Times New Roman" w:cs="Times New Roman"/>
                <w:noProof/>
                <w:webHidden/>
                <w:sz w:val="24"/>
                <w:szCs w:val="24"/>
              </w:rPr>
              <w:fldChar w:fldCharType="end"/>
            </w:r>
          </w:hyperlink>
        </w:p>
        <w:p w14:paraId="68ABB88E" w14:textId="399748D2" w:rsidR="00EF73D8" w:rsidRPr="005C53F5" w:rsidRDefault="008E399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67" w:history="1">
            <w:r w:rsidR="00EF73D8" w:rsidRPr="005C53F5">
              <w:rPr>
                <w:rStyle w:val="ae"/>
                <w:rFonts w:ascii="Times New Roman" w:hAnsi="Times New Roman" w:cs="Times New Roman"/>
                <w:noProof/>
                <w:sz w:val="24"/>
                <w:szCs w:val="24"/>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_Toc39616367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86</w:t>
            </w:r>
            <w:r w:rsidR="00EF73D8" w:rsidRPr="005C53F5">
              <w:rPr>
                <w:rFonts w:ascii="Times New Roman" w:hAnsi="Times New Roman" w:cs="Times New Roman"/>
                <w:noProof/>
                <w:webHidden/>
                <w:sz w:val="24"/>
                <w:szCs w:val="24"/>
              </w:rPr>
              <w:fldChar w:fldCharType="end"/>
            </w:r>
          </w:hyperlink>
        </w:p>
        <w:p w14:paraId="1ED40BC9" w14:textId="5C41394F"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68" w:history="1">
            <w:r w:rsidR="00EF73D8" w:rsidRPr="005C53F5">
              <w:rPr>
                <w:rStyle w:val="ae"/>
                <w:rFonts w:ascii="Times New Roman" w:hAnsi="Times New Roman" w:cs="Times New Roman"/>
                <w:noProof/>
                <w:sz w:val="24"/>
                <w:szCs w:val="24"/>
              </w:rPr>
              <w:t>5.1. Сведения о структуре и компетенции органов управления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_Toc39616368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86</w:t>
            </w:r>
            <w:r w:rsidR="00EF73D8" w:rsidRPr="005C53F5">
              <w:rPr>
                <w:rFonts w:ascii="Times New Roman" w:hAnsi="Times New Roman" w:cs="Times New Roman"/>
                <w:noProof/>
                <w:webHidden/>
                <w:sz w:val="24"/>
                <w:szCs w:val="24"/>
              </w:rPr>
              <w:fldChar w:fldCharType="end"/>
            </w:r>
          </w:hyperlink>
        </w:p>
        <w:p w14:paraId="47D4DC96" w14:textId="71F4E828"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69" w:history="1">
            <w:r w:rsidR="00EF73D8" w:rsidRPr="005C53F5">
              <w:rPr>
                <w:rStyle w:val="ae"/>
                <w:rFonts w:ascii="Times New Roman" w:hAnsi="Times New Roman" w:cs="Times New Roman"/>
                <w:noProof/>
                <w:sz w:val="24"/>
                <w:szCs w:val="24"/>
              </w:rPr>
              <w:t>5.2. Информация о лицах, входящих в состав органов управления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_Toc39616369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90</w:t>
            </w:r>
            <w:r w:rsidR="00EF73D8" w:rsidRPr="005C53F5">
              <w:rPr>
                <w:rFonts w:ascii="Times New Roman" w:hAnsi="Times New Roman" w:cs="Times New Roman"/>
                <w:noProof/>
                <w:webHidden/>
                <w:sz w:val="24"/>
                <w:szCs w:val="24"/>
              </w:rPr>
              <w:fldChar w:fldCharType="end"/>
            </w:r>
          </w:hyperlink>
        </w:p>
        <w:p w14:paraId="4C1F33AB" w14:textId="00340CE9"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70" w:history="1">
            <w:r w:rsidR="00EF73D8" w:rsidRPr="005C53F5">
              <w:rPr>
                <w:rStyle w:val="ae"/>
                <w:rFonts w:ascii="Times New Roman" w:hAnsi="Times New Roman" w:cs="Times New Roman"/>
                <w:noProof/>
                <w:sz w:val="24"/>
                <w:szCs w:val="24"/>
              </w:rPr>
              <w:t>5.3. Сведения о размере вознаграждения, льгот и (или) компенсации расходов по каждому органу управления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_Toc39616370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96</w:t>
            </w:r>
            <w:r w:rsidR="00EF73D8" w:rsidRPr="005C53F5">
              <w:rPr>
                <w:rFonts w:ascii="Times New Roman" w:hAnsi="Times New Roman" w:cs="Times New Roman"/>
                <w:noProof/>
                <w:webHidden/>
                <w:sz w:val="24"/>
                <w:szCs w:val="24"/>
              </w:rPr>
              <w:fldChar w:fldCharType="end"/>
            </w:r>
          </w:hyperlink>
        </w:p>
        <w:p w14:paraId="640E0468" w14:textId="0E9CD060"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71" w:history="1">
            <w:r w:rsidR="00EF73D8" w:rsidRPr="005C53F5">
              <w:rPr>
                <w:rStyle w:val="ae"/>
                <w:rFonts w:ascii="Times New Roman" w:hAnsi="Times New Roman" w:cs="Times New Roman"/>
                <w:noProof/>
                <w:sz w:val="24"/>
                <w:szCs w:val="24"/>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_Toc39616371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96</w:t>
            </w:r>
            <w:r w:rsidR="00EF73D8" w:rsidRPr="005C53F5">
              <w:rPr>
                <w:rFonts w:ascii="Times New Roman" w:hAnsi="Times New Roman" w:cs="Times New Roman"/>
                <w:noProof/>
                <w:webHidden/>
                <w:sz w:val="24"/>
                <w:szCs w:val="24"/>
              </w:rPr>
              <w:fldChar w:fldCharType="end"/>
            </w:r>
          </w:hyperlink>
        </w:p>
        <w:p w14:paraId="08CBE918" w14:textId="073D0C67"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72" w:history="1">
            <w:r w:rsidR="00EF73D8" w:rsidRPr="005C53F5">
              <w:rPr>
                <w:rStyle w:val="ae"/>
                <w:rFonts w:ascii="Times New Roman" w:hAnsi="Times New Roman" w:cs="Times New Roman"/>
                <w:noProof/>
                <w:sz w:val="24"/>
                <w:szCs w:val="24"/>
              </w:rPr>
              <w:t>5.5. Информация о лицах, входящих в состав органов контроля за финансово-хозяйственной деятельностью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_Toc39616372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96</w:t>
            </w:r>
            <w:r w:rsidR="00EF73D8" w:rsidRPr="005C53F5">
              <w:rPr>
                <w:rFonts w:ascii="Times New Roman" w:hAnsi="Times New Roman" w:cs="Times New Roman"/>
                <w:noProof/>
                <w:webHidden/>
                <w:sz w:val="24"/>
                <w:szCs w:val="24"/>
              </w:rPr>
              <w:fldChar w:fldCharType="end"/>
            </w:r>
          </w:hyperlink>
        </w:p>
        <w:p w14:paraId="11B9F2FF" w14:textId="161C56EE"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73" w:history="1">
            <w:r w:rsidR="00EF73D8" w:rsidRPr="005C53F5">
              <w:rPr>
                <w:rStyle w:val="ae"/>
                <w:rFonts w:ascii="Times New Roman" w:hAnsi="Times New Roman" w:cs="Times New Roman"/>
                <w:noProof/>
                <w:sz w:val="24"/>
                <w:szCs w:val="24"/>
              </w:rPr>
              <w:t>5.6. Сведения о размере вознаграждения и (или) компенсации расходов по органу контроля за финансово-хозяйственной деятельностью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_Toc39616373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96</w:t>
            </w:r>
            <w:r w:rsidR="00EF73D8" w:rsidRPr="005C53F5">
              <w:rPr>
                <w:rFonts w:ascii="Times New Roman" w:hAnsi="Times New Roman" w:cs="Times New Roman"/>
                <w:noProof/>
                <w:webHidden/>
                <w:sz w:val="24"/>
                <w:szCs w:val="24"/>
              </w:rPr>
              <w:fldChar w:fldCharType="end"/>
            </w:r>
          </w:hyperlink>
        </w:p>
        <w:p w14:paraId="25ABD9BC" w14:textId="27598387"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74" w:history="1">
            <w:r w:rsidR="00EF73D8" w:rsidRPr="005C53F5">
              <w:rPr>
                <w:rStyle w:val="ae"/>
                <w:rFonts w:ascii="Times New Roman" w:hAnsi="Times New Roman" w:cs="Times New Roman"/>
                <w:noProof/>
                <w:sz w:val="24"/>
                <w:szCs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_Toc39616374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96</w:t>
            </w:r>
            <w:r w:rsidR="00EF73D8" w:rsidRPr="005C53F5">
              <w:rPr>
                <w:rFonts w:ascii="Times New Roman" w:hAnsi="Times New Roman" w:cs="Times New Roman"/>
                <w:noProof/>
                <w:webHidden/>
                <w:sz w:val="24"/>
                <w:szCs w:val="24"/>
              </w:rPr>
              <w:fldChar w:fldCharType="end"/>
            </w:r>
          </w:hyperlink>
        </w:p>
        <w:p w14:paraId="4CCCC482" w14:textId="7DC19A44"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75" w:history="1">
            <w:r w:rsidR="00EF73D8" w:rsidRPr="005C53F5">
              <w:rPr>
                <w:rStyle w:val="ae"/>
                <w:rFonts w:ascii="Times New Roman" w:hAnsi="Times New Roman" w:cs="Times New Roman"/>
                <w:noProof/>
                <w:sz w:val="24"/>
                <w:szCs w:val="24"/>
              </w:rPr>
              <w:t>5.8. Сведения о любых обязательствах эмитента перед сотрудниками (работниками), касающихся возможности их участия в уставном капитале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_Toc39616375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96</w:t>
            </w:r>
            <w:r w:rsidR="00EF73D8" w:rsidRPr="005C53F5">
              <w:rPr>
                <w:rFonts w:ascii="Times New Roman" w:hAnsi="Times New Roman" w:cs="Times New Roman"/>
                <w:noProof/>
                <w:webHidden/>
                <w:sz w:val="24"/>
                <w:szCs w:val="24"/>
              </w:rPr>
              <w:fldChar w:fldCharType="end"/>
            </w:r>
          </w:hyperlink>
        </w:p>
        <w:p w14:paraId="669B8671" w14:textId="30FC0293" w:rsidR="00EF73D8" w:rsidRPr="005C53F5" w:rsidRDefault="008E399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76" w:history="1">
            <w:r w:rsidR="00EF73D8" w:rsidRPr="005C53F5">
              <w:rPr>
                <w:rStyle w:val="ae"/>
                <w:rFonts w:ascii="Times New Roman" w:hAnsi="Times New Roman" w:cs="Times New Roman"/>
                <w:noProof/>
                <w:sz w:val="24"/>
                <w:szCs w:val="24"/>
              </w:rPr>
              <w:t>Раздел VI. Сведения об участниках (акционерах) эмитента и о совершенных эмитентом сделках, в совершении которых имелась заинтересованность</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_Toc39616376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97</w:t>
            </w:r>
            <w:r w:rsidR="00EF73D8" w:rsidRPr="005C53F5">
              <w:rPr>
                <w:rFonts w:ascii="Times New Roman" w:hAnsi="Times New Roman" w:cs="Times New Roman"/>
                <w:noProof/>
                <w:webHidden/>
                <w:sz w:val="24"/>
                <w:szCs w:val="24"/>
              </w:rPr>
              <w:fldChar w:fldCharType="end"/>
            </w:r>
          </w:hyperlink>
        </w:p>
        <w:p w14:paraId="7781875F" w14:textId="563AC24A"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77" w:history="1">
            <w:r w:rsidR="00EF73D8" w:rsidRPr="005C53F5">
              <w:rPr>
                <w:rStyle w:val="ae"/>
                <w:rFonts w:ascii="Times New Roman" w:hAnsi="Times New Roman" w:cs="Times New Roman"/>
                <w:noProof/>
                <w:sz w:val="24"/>
                <w:szCs w:val="24"/>
              </w:rPr>
              <w:t>6.1. Сведения об общем количестве акционеров (участников)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_Toc39616377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97</w:t>
            </w:r>
            <w:r w:rsidR="00EF73D8" w:rsidRPr="005C53F5">
              <w:rPr>
                <w:rFonts w:ascii="Times New Roman" w:hAnsi="Times New Roman" w:cs="Times New Roman"/>
                <w:noProof/>
                <w:webHidden/>
                <w:sz w:val="24"/>
                <w:szCs w:val="24"/>
              </w:rPr>
              <w:fldChar w:fldCharType="end"/>
            </w:r>
          </w:hyperlink>
        </w:p>
        <w:p w14:paraId="3F333E0C" w14:textId="64A7AAD3"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78" w:history="1">
            <w:r w:rsidR="00EF73D8" w:rsidRPr="005C53F5">
              <w:rPr>
                <w:rStyle w:val="ae"/>
                <w:rFonts w:ascii="Times New Roman" w:hAnsi="Times New Roman" w:cs="Times New Roman"/>
                <w:noProof/>
                <w:sz w:val="24"/>
                <w:szCs w:val="24"/>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их лицах, а в случае 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 таких участников (акционеров)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_Toc39616378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97</w:t>
            </w:r>
            <w:r w:rsidR="00EF73D8" w:rsidRPr="005C53F5">
              <w:rPr>
                <w:rFonts w:ascii="Times New Roman" w:hAnsi="Times New Roman" w:cs="Times New Roman"/>
                <w:noProof/>
                <w:webHidden/>
                <w:sz w:val="24"/>
                <w:szCs w:val="24"/>
              </w:rPr>
              <w:fldChar w:fldCharType="end"/>
            </w:r>
          </w:hyperlink>
        </w:p>
        <w:p w14:paraId="2BE039FD" w14:textId="4EAAA749"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79" w:history="1">
            <w:r w:rsidR="00EF73D8" w:rsidRPr="005C53F5">
              <w:rPr>
                <w:rStyle w:val="ae"/>
                <w:rFonts w:ascii="Times New Roman" w:hAnsi="Times New Roman" w:cs="Times New Roman"/>
                <w:noProof/>
                <w:sz w:val="24"/>
                <w:szCs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_Toc39616379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97</w:t>
            </w:r>
            <w:r w:rsidR="00EF73D8" w:rsidRPr="005C53F5">
              <w:rPr>
                <w:rFonts w:ascii="Times New Roman" w:hAnsi="Times New Roman" w:cs="Times New Roman"/>
                <w:noProof/>
                <w:webHidden/>
                <w:sz w:val="24"/>
                <w:szCs w:val="24"/>
              </w:rPr>
              <w:fldChar w:fldCharType="end"/>
            </w:r>
          </w:hyperlink>
        </w:p>
        <w:p w14:paraId="541D5A67" w14:textId="6792EE67"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80" w:history="1">
            <w:r w:rsidR="00EF73D8" w:rsidRPr="005C53F5">
              <w:rPr>
                <w:rStyle w:val="ae"/>
                <w:rFonts w:ascii="Times New Roman" w:hAnsi="Times New Roman" w:cs="Times New Roman"/>
                <w:noProof/>
                <w:sz w:val="24"/>
                <w:szCs w:val="24"/>
              </w:rPr>
              <w:t>6.4. Сведения об ограничениях на участие в уставном капитале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_Toc39616380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97</w:t>
            </w:r>
            <w:r w:rsidR="00EF73D8" w:rsidRPr="005C53F5">
              <w:rPr>
                <w:rFonts w:ascii="Times New Roman" w:hAnsi="Times New Roman" w:cs="Times New Roman"/>
                <w:noProof/>
                <w:webHidden/>
                <w:sz w:val="24"/>
                <w:szCs w:val="24"/>
              </w:rPr>
              <w:fldChar w:fldCharType="end"/>
            </w:r>
          </w:hyperlink>
        </w:p>
        <w:p w14:paraId="052203CD" w14:textId="7A7CAE23"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81" w:history="1">
            <w:r w:rsidR="00EF73D8" w:rsidRPr="005C53F5">
              <w:rPr>
                <w:rStyle w:val="ae"/>
                <w:rFonts w:ascii="Times New Roman" w:hAnsi="Times New Roman" w:cs="Times New Roman"/>
                <w:noProof/>
                <w:sz w:val="24"/>
                <w:szCs w:val="24"/>
              </w:rPr>
              <w:t>6.5. Сведения об изменениях в составе и размере участия участников (акционеров) эмитента, владеющих не менее чем пятью процентами его уставного капитала или не менее чем пятью процентами его обыкновенных акций</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_Toc39616381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97</w:t>
            </w:r>
            <w:r w:rsidR="00EF73D8" w:rsidRPr="005C53F5">
              <w:rPr>
                <w:rFonts w:ascii="Times New Roman" w:hAnsi="Times New Roman" w:cs="Times New Roman"/>
                <w:noProof/>
                <w:webHidden/>
                <w:sz w:val="24"/>
                <w:szCs w:val="24"/>
              </w:rPr>
              <w:fldChar w:fldCharType="end"/>
            </w:r>
          </w:hyperlink>
        </w:p>
        <w:p w14:paraId="04F895E9" w14:textId="32975988"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82" w:history="1">
            <w:r w:rsidR="00EF73D8" w:rsidRPr="005C53F5">
              <w:rPr>
                <w:rStyle w:val="ae"/>
                <w:rFonts w:ascii="Times New Roman" w:hAnsi="Times New Roman" w:cs="Times New Roman"/>
                <w:noProof/>
                <w:sz w:val="24"/>
                <w:szCs w:val="24"/>
              </w:rPr>
              <w:t>6.6. Сведения о совершенных эмитентом сделках, в совершении которых имелась заинтересованность</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_Toc39616382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97</w:t>
            </w:r>
            <w:r w:rsidR="00EF73D8" w:rsidRPr="005C53F5">
              <w:rPr>
                <w:rFonts w:ascii="Times New Roman" w:hAnsi="Times New Roman" w:cs="Times New Roman"/>
                <w:noProof/>
                <w:webHidden/>
                <w:sz w:val="24"/>
                <w:szCs w:val="24"/>
              </w:rPr>
              <w:fldChar w:fldCharType="end"/>
            </w:r>
          </w:hyperlink>
        </w:p>
        <w:p w14:paraId="4F9BB53B" w14:textId="5416F1FC"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83" w:history="1">
            <w:r w:rsidR="00EF73D8" w:rsidRPr="005C53F5">
              <w:rPr>
                <w:rStyle w:val="ae"/>
                <w:rFonts w:ascii="Times New Roman" w:hAnsi="Times New Roman" w:cs="Times New Roman"/>
                <w:noProof/>
                <w:sz w:val="24"/>
                <w:szCs w:val="24"/>
              </w:rPr>
              <w:t>6.7. Сведения о размере дебиторской задолженности</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_Toc39616383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97</w:t>
            </w:r>
            <w:r w:rsidR="00EF73D8" w:rsidRPr="005C53F5">
              <w:rPr>
                <w:rFonts w:ascii="Times New Roman" w:hAnsi="Times New Roman" w:cs="Times New Roman"/>
                <w:noProof/>
                <w:webHidden/>
                <w:sz w:val="24"/>
                <w:szCs w:val="24"/>
              </w:rPr>
              <w:fldChar w:fldCharType="end"/>
            </w:r>
          </w:hyperlink>
        </w:p>
        <w:p w14:paraId="23846B02" w14:textId="33E349D8" w:rsidR="00EF73D8" w:rsidRPr="005C53F5" w:rsidRDefault="008E399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84" w:history="1">
            <w:r w:rsidR="00EF73D8" w:rsidRPr="005C53F5">
              <w:rPr>
                <w:rStyle w:val="ae"/>
                <w:rFonts w:ascii="Times New Roman" w:hAnsi="Times New Roman" w:cs="Times New Roman"/>
                <w:noProof/>
                <w:sz w:val="24"/>
                <w:szCs w:val="24"/>
              </w:rPr>
              <w:t>Раздел VII. Бухгалтерская (финансовая) отчетность эмитента и иная финансовая информация</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_Toc39616384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98</w:t>
            </w:r>
            <w:r w:rsidR="00EF73D8" w:rsidRPr="005C53F5">
              <w:rPr>
                <w:rFonts w:ascii="Times New Roman" w:hAnsi="Times New Roman" w:cs="Times New Roman"/>
                <w:noProof/>
                <w:webHidden/>
                <w:sz w:val="24"/>
                <w:szCs w:val="24"/>
              </w:rPr>
              <w:fldChar w:fldCharType="end"/>
            </w:r>
          </w:hyperlink>
        </w:p>
        <w:p w14:paraId="2A09E5A6" w14:textId="76807503"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85" w:history="1">
            <w:r w:rsidR="00EF73D8" w:rsidRPr="005C53F5">
              <w:rPr>
                <w:rStyle w:val="ae"/>
                <w:rFonts w:ascii="Times New Roman" w:hAnsi="Times New Roman" w:cs="Times New Roman"/>
                <w:noProof/>
                <w:sz w:val="24"/>
                <w:szCs w:val="24"/>
              </w:rPr>
              <w:t>7.1. Годовая бухгалтерская (финансовая) отчетность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_Toc39616385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98</w:t>
            </w:r>
            <w:r w:rsidR="00EF73D8" w:rsidRPr="005C53F5">
              <w:rPr>
                <w:rFonts w:ascii="Times New Roman" w:hAnsi="Times New Roman" w:cs="Times New Roman"/>
                <w:noProof/>
                <w:webHidden/>
                <w:sz w:val="24"/>
                <w:szCs w:val="24"/>
              </w:rPr>
              <w:fldChar w:fldCharType="end"/>
            </w:r>
          </w:hyperlink>
        </w:p>
        <w:p w14:paraId="58BBD470" w14:textId="7D25B054"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86" w:history="1">
            <w:r w:rsidR="00EF73D8" w:rsidRPr="005C53F5">
              <w:rPr>
                <w:rStyle w:val="ae"/>
                <w:rFonts w:ascii="Times New Roman" w:hAnsi="Times New Roman" w:cs="Times New Roman"/>
                <w:noProof/>
                <w:sz w:val="24"/>
                <w:szCs w:val="24"/>
              </w:rPr>
              <w:t>7.2. Промежуточная бухгалтерская (финансовая) отчетность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_Toc39616386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98</w:t>
            </w:r>
            <w:r w:rsidR="00EF73D8" w:rsidRPr="005C53F5">
              <w:rPr>
                <w:rFonts w:ascii="Times New Roman" w:hAnsi="Times New Roman" w:cs="Times New Roman"/>
                <w:noProof/>
                <w:webHidden/>
                <w:sz w:val="24"/>
                <w:szCs w:val="24"/>
              </w:rPr>
              <w:fldChar w:fldCharType="end"/>
            </w:r>
          </w:hyperlink>
        </w:p>
        <w:p w14:paraId="38D1C34D" w14:textId="4C924A0E"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87" w:history="1">
            <w:r w:rsidR="00EF73D8" w:rsidRPr="005C53F5">
              <w:rPr>
                <w:rStyle w:val="ae"/>
                <w:rFonts w:ascii="Times New Roman" w:hAnsi="Times New Roman" w:cs="Times New Roman"/>
                <w:noProof/>
                <w:sz w:val="24"/>
                <w:szCs w:val="24"/>
              </w:rPr>
              <w:t>7.4. Сведения об учетной политике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_Toc39616387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98</w:t>
            </w:r>
            <w:r w:rsidR="00EF73D8" w:rsidRPr="005C53F5">
              <w:rPr>
                <w:rFonts w:ascii="Times New Roman" w:hAnsi="Times New Roman" w:cs="Times New Roman"/>
                <w:noProof/>
                <w:webHidden/>
                <w:sz w:val="24"/>
                <w:szCs w:val="24"/>
              </w:rPr>
              <w:fldChar w:fldCharType="end"/>
            </w:r>
          </w:hyperlink>
        </w:p>
        <w:p w14:paraId="623E290D" w14:textId="5BB7D926"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88" w:history="1">
            <w:r w:rsidR="00EF73D8" w:rsidRPr="005C53F5">
              <w:rPr>
                <w:rStyle w:val="ae"/>
                <w:rFonts w:ascii="Times New Roman" w:hAnsi="Times New Roman" w:cs="Times New Roman"/>
                <w:noProof/>
                <w:sz w:val="24"/>
                <w:szCs w:val="24"/>
              </w:rPr>
              <w:t>7.5. Сведения об общей сумме экспорта, а также о доле, которую составляет экспорт в общем объеме продаж</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_Toc39616388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98</w:t>
            </w:r>
            <w:r w:rsidR="00EF73D8" w:rsidRPr="005C53F5">
              <w:rPr>
                <w:rFonts w:ascii="Times New Roman" w:hAnsi="Times New Roman" w:cs="Times New Roman"/>
                <w:noProof/>
                <w:webHidden/>
                <w:sz w:val="24"/>
                <w:szCs w:val="24"/>
              </w:rPr>
              <w:fldChar w:fldCharType="end"/>
            </w:r>
          </w:hyperlink>
        </w:p>
        <w:p w14:paraId="05B9CDE3" w14:textId="0A137E38"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89" w:history="1">
            <w:r w:rsidR="00EF73D8" w:rsidRPr="005C53F5">
              <w:rPr>
                <w:rStyle w:val="ae"/>
                <w:rFonts w:ascii="Times New Roman" w:hAnsi="Times New Roman" w:cs="Times New Roman"/>
                <w:noProof/>
                <w:sz w:val="24"/>
                <w:szCs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_Toc39616389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98</w:t>
            </w:r>
            <w:r w:rsidR="00EF73D8" w:rsidRPr="005C53F5">
              <w:rPr>
                <w:rFonts w:ascii="Times New Roman" w:hAnsi="Times New Roman" w:cs="Times New Roman"/>
                <w:noProof/>
                <w:webHidden/>
                <w:sz w:val="24"/>
                <w:szCs w:val="24"/>
              </w:rPr>
              <w:fldChar w:fldCharType="end"/>
            </w:r>
          </w:hyperlink>
        </w:p>
        <w:p w14:paraId="441C4219" w14:textId="4AFD4D9C"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90" w:history="1">
            <w:r w:rsidR="00EF73D8" w:rsidRPr="005C53F5">
              <w:rPr>
                <w:rStyle w:val="ae"/>
                <w:rFonts w:ascii="Times New Roman" w:hAnsi="Times New Roman" w:cs="Times New Roman"/>
                <w:noProof/>
                <w:sz w:val="24"/>
                <w:szCs w:val="24"/>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_Toc39616390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98</w:t>
            </w:r>
            <w:r w:rsidR="00EF73D8" w:rsidRPr="005C53F5">
              <w:rPr>
                <w:rFonts w:ascii="Times New Roman" w:hAnsi="Times New Roman" w:cs="Times New Roman"/>
                <w:noProof/>
                <w:webHidden/>
                <w:sz w:val="24"/>
                <w:szCs w:val="24"/>
              </w:rPr>
              <w:fldChar w:fldCharType="end"/>
            </w:r>
          </w:hyperlink>
        </w:p>
        <w:p w14:paraId="0B20A19C" w14:textId="1CE7E920" w:rsidR="00EF73D8" w:rsidRPr="005C53F5" w:rsidRDefault="008E399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391" w:history="1">
            <w:r w:rsidR="00EF73D8" w:rsidRPr="005C53F5">
              <w:rPr>
                <w:rStyle w:val="ae"/>
                <w:rFonts w:ascii="Times New Roman" w:hAnsi="Times New Roman" w:cs="Times New Roman"/>
                <w:noProof/>
                <w:sz w:val="24"/>
                <w:szCs w:val="24"/>
              </w:rPr>
              <w:t>Раздел VIII. Сведения о размещаемых эмиссионных ценных бумагах, а также об объеме, о сроке, об условиях и о порядке их размещения</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_Toc39616391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101</w:t>
            </w:r>
            <w:r w:rsidR="00EF73D8" w:rsidRPr="005C53F5">
              <w:rPr>
                <w:rFonts w:ascii="Times New Roman" w:hAnsi="Times New Roman" w:cs="Times New Roman"/>
                <w:noProof/>
                <w:webHidden/>
                <w:sz w:val="24"/>
                <w:szCs w:val="24"/>
              </w:rPr>
              <w:fldChar w:fldCharType="end"/>
            </w:r>
          </w:hyperlink>
        </w:p>
        <w:p w14:paraId="7DE4A00E" w14:textId="037F7A28"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92" w:history="1">
            <w:r w:rsidR="00EF73D8" w:rsidRPr="005C53F5">
              <w:rPr>
                <w:rStyle w:val="ae"/>
                <w:rFonts w:ascii="Times New Roman" w:hAnsi="Times New Roman" w:cs="Times New Roman"/>
                <w:noProof/>
                <w:sz w:val="24"/>
                <w:szCs w:val="24"/>
              </w:rPr>
              <w:t>8.1. Вид, категория (тип)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_Toc39616392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101</w:t>
            </w:r>
            <w:r w:rsidR="00EF73D8" w:rsidRPr="005C53F5">
              <w:rPr>
                <w:rFonts w:ascii="Times New Roman" w:hAnsi="Times New Roman" w:cs="Times New Roman"/>
                <w:noProof/>
                <w:webHidden/>
                <w:sz w:val="24"/>
                <w:szCs w:val="24"/>
              </w:rPr>
              <w:fldChar w:fldCharType="end"/>
            </w:r>
          </w:hyperlink>
        </w:p>
        <w:p w14:paraId="46DD36BE" w14:textId="0E6F35B5"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93" w:history="1">
            <w:r w:rsidR="00EF73D8" w:rsidRPr="005C53F5">
              <w:rPr>
                <w:rStyle w:val="ae"/>
                <w:rFonts w:ascii="Times New Roman" w:hAnsi="Times New Roman" w:cs="Times New Roman"/>
                <w:noProof/>
                <w:sz w:val="24"/>
                <w:szCs w:val="24"/>
              </w:rPr>
              <w:t>8.2. Форма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_Toc39616393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103</w:t>
            </w:r>
            <w:r w:rsidR="00EF73D8" w:rsidRPr="005C53F5">
              <w:rPr>
                <w:rFonts w:ascii="Times New Roman" w:hAnsi="Times New Roman" w:cs="Times New Roman"/>
                <w:noProof/>
                <w:webHidden/>
                <w:sz w:val="24"/>
                <w:szCs w:val="24"/>
              </w:rPr>
              <w:fldChar w:fldCharType="end"/>
            </w:r>
          </w:hyperlink>
        </w:p>
        <w:p w14:paraId="2F89E207" w14:textId="47697F65"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94" w:history="1">
            <w:r w:rsidR="00EF73D8" w:rsidRPr="005C53F5">
              <w:rPr>
                <w:rStyle w:val="ae"/>
                <w:rFonts w:ascii="Times New Roman" w:hAnsi="Times New Roman" w:cs="Times New Roman"/>
                <w:noProof/>
                <w:sz w:val="24"/>
                <w:szCs w:val="24"/>
              </w:rPr>
              <w:t>8.3. Указание на обязательное централизованное хранение</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_Toc39616394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103</w:t>
            </w:r>
            <w:r w:rsidR="00EF73D8" w:rsidRPr="005C53F5">
              <w:rPr>
                <w:rFonts w:ascii="Times New Roman" w:hAnsi="Times New Roman" w:cs="Times New Roman"/>
                <w:noProof/>
                <w:webHidden/>
                <w:sz w:val="24"/>
                <w:szCs w:val="24"/>
              </w:rPr>
              <w:fldChar w:fldCharType="end"/>
            </w:r>
          </w:hyperlink>
        </w:p>
        <w:p w14:paraId="57B0F990" w14:textId="4AD9AFA1"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95" w:history="1">
            <w:r w:rsidR="00EF73D8" w:rsidRPr="005C53F5">
              <w:rPr>
                <w:rStyle w:val="ae"/>
                <w:rFonts w:ascii="Times New Roman" w:hAnsi="Times New Roman" w:cs="Times New Roman"/>
                <w:noProof/>
                <w:sz w:val="24"/>
                <w:szCs w:val="24"/>
              </w:rPr>
              <w:t>8.4. Номинальная стоимость каждой ценной бумаги выпуска (дополнительного выпуска)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_Toc39616395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104</w:t>
            </w:r>
            <w:r w:rsidR="00EF73D8" w:rsidRPr="005C53F5">
              <w:rPr>
                <w:rFonts w:ascii="Times New Roman" w:hAnsi="Times New Roman" w:cs="Times New Roman"/>
                <w:noProof/>
                <w:webHidden/>
                <w:sz w:val="24"/>
                <w:szCs w:val="24"/>
              </w:rPr>
              <w:fldChar w:fldCharType="end"/>
            </w:r>
          </w:hyperlink>
        </w:p>
        <w:p w14:paraId="3B62ED0B" w14:textId="11277FA2"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96" w:history="1">
            <w:r w:rsidR="00EF73D8" w:rsidRPr="005C53F5">
              <w:rPr>
                <w:rStyle w:val="ae"/>
                <w:rFonts w:ascii="Times New Roman" w:hAnsi="Times New Roman" w:cs="Times New Roman"/>
                <w:noProof/>
                <w:sz w:val="24"/>
                <w:szCs w:val="24"/>
              </w:rPr>
              <w:t>8.5. Количество ценных бумаг выпуска (дополнительного выпуска)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_Toc39616396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104</w:t>
            </w:r>
            <w:r w:rsidR="00EF73D8" w:rsidRPr="005C53F5">
              <w:rPr>
                <w:rFonts w:ascii="Times New Roman" w:hAnsi="Times New Roman" w:cs="Times New Roman"/>
                <w:noProof/>
                <w:webHidden/>
                <w:sz w:val="24"/>
                <w:szCs w:val="24"/>
              </w:rPr>
              <w:fldChar w:fldCharType="end"/>
            </w:r>
          </w:hyperlink>
        </w:p>
        <w:p w14:paraId="5D2C8FC4" w14:textId="24810214"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97" w:history="1">
            <w:r w:rsidR="00EF73D8" w:rsidRPr="005C53F5">
              <w:rPr>
                <w:rStyle w:val="ae"/>
                <w:rFonts w:ascii="Times New Roman" w:hAnsi="Times New Roman" w:cs="Times New Roman"/>
                <w:noProof/>
                <w:sz w:val="24"/>
                <w:szCs w:val="24"/>
              </w:rPr>
              <w:t>8.6. Общее количество ценных бумаг данного выпуска, размещенных ранее</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_Toc39616397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104</w:t>
            </w:r>
            <w:r w:rsidR="00EF73D8" w:rsidRPr="005C53F5">
              <w:rPr>
                <w:rFonts w:ascii="Times New Roman" w:hAnsi="Times New Roman" w:cs="Times New Roman"/>
                <w:noProof/>
                <w:webHidden/>
                <w:sz w:val="24"/>
                <w:szCs w:val="24"/>
              </w:rPr>
              <w:fldChar w:fldCharType="end"/>
            </w:r>
          </w:hyperlink>
        </w:p>
        <w:p w14:paraId="11944B11" w14:textId="3C76057E"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98" w:history="1">
            <w:r w:rsidR="00EF73D8" w:rsidRPr="005C53F5">
              <w:rPr>
                <w:rStyle w:val="ae"/>
                <w:rFonts w:ascii="Times New Roman" w:hAnsi="Times New Roman" w:cs="Times New Roman"/>
                <w:noProof/>
                <w:sz w:val="24"/>
                <w:szCs w:val="24"/>
              </w:rPr>
              <w:t>8.7. Права владельца каждой ценной бумаги выпуска (дополнительного выпуска)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_Toc39616398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104</w:t>
            </w:r>
            <w:r w:rsidR="00EF73D8" w:rsidRPr="005C53F5">
              <w:rPr>
                <w:rFonts w:ascii="Times New Roman" w:hAnsi="Times New Roman" w:cs="Times New Roman"/>
                <w:noProof/>
                <w:webHidden/>
                <w:sz w:val="24"/>
                <w:szCs w:val="24"/>
              </w:rPr>
              <w:fldChar w:fldCharType="end"/>
            </w:r>
          </w:hyperlink>
        </w:p>
        <w:p w14:paraId="01107E22" w14:textId="117CD74B"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399" w:history="1">
            <w:r w:rsidR="00EF73D8" w:rsidRPr="005C53F5">
              <w:rPr>
                <w:rStyle w:val="ae"/>
                <w:rFonts w:ascii="Times New Roman" w:hAnsi="Times New Roman" w:cs="Times New Roman"/>
                <w:noProof/>
                <w:sz w:val="24"/>
                <w:szCs w:val="24"/>
              </w:rPr>
              <w:t>8.8. Условия и порядок размещения ценных бумаг выпуска (дополнительного выпуска)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_Toc39616399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105</w:t>
            </w:r>
            <w:r w:rsidR="00EF73D8" w:rsidRPr="005C53F5">
              <w:rPr>
                <w:rFonts w:ascii="Times New Roman" w:hAnsi="Times New Roman" w:cs="Times New Roman"/>
                <w:noProof/>
                <w:webHidden/>
                <w:sz w:val="24"/>
                <w:szCs w:val="24"/>
              </w:rPr>
              <w:fldChar w:fldCharType="end"/>
            </w:r>
          </w:hyperlink>
        </w:p>
        <w:p w14:paraId="70C37F3E" w14:textId="132ECC29"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00" w:history="1">
            <w:r w:rsidR="00EF73D8" w:rsidRPr="005C53F5">
              <w:rPr>
                <w:rStyle w:val="ae"/>
                <w:rFonts w:ascii="Times New Roman" w:hAnsi="Times New Roman" w:cs="Times New Roman"/>
                <w:noProof/>
                <w:sz w:val="24"/>
                <w:szCs w:val="24"/>
              </w:rPr>
              <w:t>8.8.1. Способ размещения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_Toc39616400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105</w:t>
            </w:r>
            <w:r w:rsidR="00EF73D8" w:rsidRPr="005C53F5">
              <w:rPr>
                <w:rFonts w:ascii="Times New Roman" w:hAnsi="Times New Roman" w:cs="Times New Roman"/>
                <w:noProof/>
                <w:webHidden/>
                <w:sz w:val="24"/>
                <w:szCs w:val="24"/>
              </w:rPr>
              <w:fldChar w:fldCharType="end"/>
            </w:r>
          </w:hyperlink>
        </w:p>
        <w:p w14:paraId="16F563C4" w14:textId="52466A55"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01" w:history="1">
            <w:r w:rsidR="00EF73D8" w:rsidRPr="005C53F5">
              <w:rPr>
                <w:rStyle w:val="ae"/>
                <w:rFonts w:ascii="Times New Roman" w:hAnsi="Times New Roman" w:cs="Times New Roman"/>
                <w:noProof/>
                <w:sz w:val="24"/>
                <w:szCs w:val="24"/>
              </w:rPr>
              <w:t>8.8.2. Срок размещения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_Toc39616401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106</w:t>
            </w:r>
            <w:r w:rsidR="00EF73D8" w:rsidRPr="005C53F5">
              <w:rPr>
                <w:rFonts w:ascii="Times New Roman" w:hAnsi="Times New Roman" w:cs="Times New Roman"/>
                <w:noProof/>
                <w:webHidden/>
                <w:sz w:val="24"/>
                <w:szCs w:val="24"/>
              </w:rPr>
              <w:fldChar w:fldCharType="end"/>
            </w:r>
          </w:hyperlink>
        </w:p>
        <w:p w14:paraId="5F0106FB" w14:textId="6D106BBE"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02" w:history="1">
            <w:r w:rsidR="00EF73D8" w:rsidRPr="005C53F5">
              <w:rPr>
                <w:rStyle w:val="ae"/>
                <w:rFonts w:ascii="Times New Roman" w:hAnsi="Times New Roman" w:cs="Times New Roman"/>
                <w:noProof/>
                <w:sz w:val="24"/>
                <w:szCs w:val="24"/>
              </w:rPr>
              <w:t>8.8.3. Порядок размещения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_Toc39616402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106</w:t>
            </w:r>
            <w:r w:rsidR="00EF73D8" w:rsidRPr="005C53F5">
              <w:rPr>
                <w:rFonts w:ascii="Times New Roman" w:hAnsi="Times New Roman" w:cs="Times New Roman"/>
                <w:noProof/>
                <w:webHidden/>
                <w:sz w:val="24"/>
                <w:szCs w:val="24"/>
              </w:rPr>
              <w:fldChar w:fldCharType="end"/>
            </w:r>
          </w:hyperlink>
        </w:p>
        <w:p w14:paraId="4575AE8A" w14:textId="34121005"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03" w:history="1">
            <w:r w:rsidR="00EF73D8" w:rsidRPr="005C53F5">
              <w:rPr>
                <w:rStyle w:val="ae"/>
                <w:rFonts w:ascii="Times New Roman" w:hAnsi="Times New Roman" w:cs="Times New Roman"/>
                <w:noProof/>
                <w:sz w:val="24"/>
                <w:szCs w:val="24"/>
              </w:rPr>
              <w:t>8.8.4. Цена (цены) или порядок определения цены размещения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_Toc39616403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118</w:t>
            </w:r>
            <w:r w:rsidR="00EF73D8" w:rsidRPr="005C53F5">
              <w:rPr>
                <w:rFonts w:ascii="Times New Roman" w:hAnsi="Times New Roman" w:cs="Times New Roman"/>
                <w:noProof/>
                <w:webHidden/>
                <w:sz w:val="24"/>
                <w:szCs w:val="24"/>
              </w:rPr>
              <w:fldChar w:fldCharType="end"/>
            </w:r>
          </w:hyperlink>
        </w:p>
        <w:p w14:paraId="4EB5B86D" w14:textId="1296877F"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04" w:history="1">
            <w:r w:rsidR="00EF73D8" w:rsidRPr="005C53F5">
              <w:rPr>
                <w:rStyle w:val="ae"/>
                <w:rFonts w:ascii="Times New Roman" w:hAnsi="Times New Roman" w:cs="Times New Roman"/>
                <w:noProof/>
                <w:sz w:val="24"/>
                <w:szCs w:val="24"/>
              </w:rPr>
              <w:t>8.8.5. Порядок осуществления преимущественного права приобретения размещаемых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_Toc39616404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119</w:t>
            </w:r>
            <w:r w:rsidR="00EF73D8" w:rsidRPr="005C53F5">
              <w:rPr>
                <w:rFonts w:ascii="Times New Roman" w:hAnsi="Times New Roman" w:cs="Times New Roman"/>
                <w:noProof/>
                <w:webHidden/>
                <w:sz w:val="24"/>
                <w:szCs w:val="24"/>
              </w:rPr>
              <w:fldChar w:fldCharType="end"/>
            </w:r>
          </w:hyperlink>
        </w:p>
        <w:p w14:paraId="2C7114B3" w14:textId="4007CEB1"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05" w:history="1">
            <w:r w:rsidR="00EF73D8" w:rsidRPr="005C53F5">
              <w:rPr>
                <w:rStyle w:val="ae"/>
                <w:rFonts w:ascii="Times New Roman" w:hAnsi="Times New Roman" w:cs="Times New Roman"/>
                <w:noProof/>
                <w:sz w:val="24"/>
                <w:szCs w:val="24"/>
              </w:rPr>
              <w:t>8.8.6. Условия и порядок оплаты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_Toc39616405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119</w:t>
            </w:r>
            <w:r w:rsidR="00EF73D8" w:rsidRPr="005C53F5">
              <w:rPr>
                <w:rFonts w:ascii="Times New Roman" w:hAnsi="Times New Roman" w:cs="Times New Roman"/>
                <w:noProof/>
                <w:webHidden/>
                <w:sz w:val="24"/>
                <w:szCs w:val="24"/>
              </w:rPr>
              <w:fldChar w:fldCharType="end"/>
            </w:r>
          </w:hyperlink>
        </w:p>
        <w:p w14:paraId="0933EE79" w14:textId="1A2E8BD6"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06" w:history="1">
            <w:r w:rsidR="00EF73D8" w:rsidRPr="005C53F5">
              <w:rPr>
                <w:rStyle w:val="ae"/>
                <w:rFonts w:ascii="Times New Roman" w:hAnsi="Times New Roman" w:cs="Times New Roman"/>
                <w:noProof/>
                <w:sz w:val="24"/>
                <w:szCs w:val="24"/>
              </w:rPr>
              <w:t>8.8.7. Сведения о документе, содержащем фактические итоги размещения ценных бумаг, который представляется после завершения размещения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_Toc39616406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120</w:t>
            </w:r>
            <w:r w:rsidR="00EF73D8" w:rsidRPr="005C53F5">
              <w:rPr>
                <w:rFonts w:ascii="Times New Roman" w:hAnsi="Times New Roman" w:cs="Times New Roman"/>
                <w:noProof/>
                <w:webHidden/>
                <w:sz w:val="24"/>
                <w:szCs w:val="24"/>
              </w:rPr>
              <w:fldChar w:fldCharType="end"/>
            </w:r>
          </w:hyperlink>
        </w:p>
        <w:p w14:paraId="28504A76" w14:textId="1DF21B3D"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07" w:history="1">
            <w:r w:rsidR="00EF73D8" w:rsidRPr="005C53F5">
              <w:rPr>
                <w:rStyle w:val="ae"/>
                <w:rFonts w:ascii="Times New Roman" w:hAnsi="Times New Roman" w:cs="Times New Roman"/>
                <w:noProof/>
                <w:sz w:val="24"/>
                <w:szCs w:val="24"/>
              </w:rPr>
              <w:t>8.9. Порядок и условия погашения и выплаты доходов по облигациям</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_Toc39616407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120</w:t>
            </w:r>
            <w:r w:rsidR="00EF73D8" w:rsidRPr="005C53F5">
              <w:rPr>
                <w:rFonts w:ascii="Times New Roman" w:hAnsi="Times New Roman" w:cs="Times New Roman"/>
                <w:noProof/>
                <w:webHidden/>
                <w:sz w:val="24"/>
                <w:szCs w:val="24"/>
              </w:rPr>
              <w:fldChar w:fldCharType="end"/>
            </w:r>
          </w:hyperlink>
        </w:p>
        <w:p w14:paraId="2B4554AE" w14:textId="165DDCC4"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08" w:history="1">
            <w:r w:rsidR="00EF73D8" w:rsidRPr="005C53F5">
              <w:rPr>
                <w:rStyle w:val="ae"/>
                <w:rFonts w:ascii="Times New Roman" w:hAnsi="Times New Roman" w:cs="Times New Roman"/>
                <w:noProof/>
                <w:sz w:val="24"/>
                <w:szCs w:val="24"/>
              </w:rPr>
              <w:t>8.9.1. Форма погашения облигаций</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_Toc39616408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120</w:t>
            </w:r>
            <w:r w:rsidR="00EF73D8" w:rsidRPr="005C53F5">
              <w:rPr>
                <w:rFonts w:ascii="Times New Roman" w:hAnsi="Times New Roman" w:cs="Times New Roman"/>
                <w:noProof/>
                <w:webHidden/>
                <w:sz w:val="24"/>
                <w:szCs w:val="24"/>
              </w:rPr>
              <w:fldChar w:fldCharType="end"/>
            </w:r>
          </w:hyperlink>
        </w:p>
        <w:p w14:paraId="1DCE5973" w14:textId="6C4D8AF8"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09" w:history="1">
            <w:r w:rsidR="00EF73D8" w:rsidRPr="005C53F5">
              <w:rPr>
                <w:rStyle w:val="ae"/>
                <w:rFonts w:ascii="Times New Roman" w:hAnsi="Times New Roman" w:cs="Times New Roman"/>
                <w:noProof/>
                <w:sz w:val="24"/>
                <w:szCs w:val="24"/>
              </w:rPr>
              <w:t>8.9.2. Порядок и условия погашения облигаций</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_Toc39616409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120</w:t>
            </w:r>
            <w:r w:rsidR="00EF73D8" w:rsidRPr="005C53F5">
              <w:rPr>
                <w:rFonts w:ascii="Times New Roman" w:hAnsi="Times New Roman" w:cs="Times New Roman"/>
                <w:noProof/>
                <w:webHidden/>
                <w:sz w:val="24"/>
                <w:szCs w:val="24"/>
              </w:rPr>
              <w:fldChar w:fldCharType="end"/>
            </w:r>
          </w:hyperlink>
        </w:p>
        <w:p w14:paraId="104A5A23" w14:textId="5546F2DC"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10" w:history="1">
            <w:r w:rsidR="00EF73D8" w:rsidRPr="005C53F5">
              <w:rPr>
                <w:rStyle w:val="ae"/>
                <w:rFonts w:ascii="Times New Roman" w:hAnsi="Times New Roman" w:cs="Times New Roman"/>
                <w:noProof/>
                <w:sz w:val="24"/>
                <w:szCs w:val="24"/>
              </w:rPr>
              <w:t>8.9.3. Порядок определения дохода, выплачиваемого по каждой облигации</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_Toc39616410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121</w:t>
            </w:r>
            <w:r w:rsidR="00EF73D8" w:rsidRPr="005C53F5">
              <w:rPr>
                <w:rFonts w:ascii="Times New Roman" w:hAnsi="Times New Roman" w:cs="Times New Roman"/>
                <w:noProof/>
                <w:webHidden/>
                <w:sz w:val="24"/>
                <w:szCs w:val="24"/>
              </w:rPr>
              <w:fldChar w:fldCharType="end"/>
            </w:r>
          </w:hyperlink>
        </w:p>
        <w:p w14:paraId="0F709D86" w14:textId="3A08A6A8"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11" w:history="1">
            <w:r w:rsidR="00EF73D8" w:rsidRPr="005C53F5">
              <w:rPr>
                <w:rStyle w:val="ae"/>
                <w:rFonts w:ascii="Times New Roman" w:hAnsi="Times New Roman" w:cs="Times New Roman"/>
                <w:noProof/>
                <w:sz w:val="24"/>
                <w:szCs w:val="24"/>
              </w:rPr>
              <w:t>8.9.4. Порядок и срок выплаты дохода по облигациям</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_Toc39616411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128</w:t>
            </w:r>
            <w:r w:rsidR="00EF73D8" w:rsidRPr="005C53F5">
              <w:rPr>
                <w:rFonts w:ascii="Times New Roman" w:hAnsi="Times New Roman" w:cs="Times New Roman"/>
                <w:noProof/>
                <w:webHidden/>
                <w:sz w:val="24"/>
                <w:szCs w:val="24"/>
              </w:rPr>
              <w:fldChar w:fldCharType="end"/>
            </w:r>
          </w:hyperlink>
        </w:p>
        <w:p w14:paraId="6E57E8FB" w14:textId="67AD7F69"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12" w:history="1">
            <w:r w:rsidR="00EF73D8" w:rsidRPr="005C53F5">
              <w:rPr>
                <w:rStyle w:val="ae"/>
                <w:rFonts w:ascii="Times New Roman" w:hAnsi="Times New Roman" w:cs="Times New Roman"/>
                <w:noProof/>
                <w:sz w:val="24"/>
                <w:szCs w:val="24"/>
              </w:rPr>
              <w:t>8.9.5. Порядок и условия досрочного погашения облигаций</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_Toc39616412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129</w:t>
            </w:r>
            <w:r w:rsidR="00EF73D8" w:rsidRPr="005C53F5">
              <w:rPr>
                <w:rFonts w:ascii="Times New Roman" w:hAnsi="Times New Roman" w:cs="Times New Roman"/>
                <w:noProof/>
                <w:webHidden/>
                <w:sz w:val="24"/>
                <w:szCs w:val="24"/>
              </w:rPr>
              <w:fldChar w:fldCharType="end"/>
            </w:r>
          </w:hyperlink>
        </w:p>
        <w:p w14:paraId="3D91D414" w14:textId="48E026EC"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13" w:history="1">
            <w:r w:rsidR="00EF73D8" w:rsidRPr="005C53F5">
              <w:rPr>
                <w:rStyle w:val="ae"/>
                <w:rFonts w:ascii="Times New Roman" w:hAnsi="Times New Roman" w:cs="Times New Roman"/>
                <w:noProof/>
                <w:sz w:val="24"/>
                <w:szCs w:val="24"/>
              </w:rPr>
              <w:t>8.9.6. Сведения о платежных агентах по облигациям</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_Toc39616413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129</w:t>
            </w:r>
            <w:r w:rsidR="00EF73D8" w:rsidRPr="005C53F5">
              <w:rPr>
                <w:rFonts w:ascii="Times New Roman" w:hAnsi="Times New Roman" w:cs="Times New Roman"/>
                <w:noProof/>
                <w:webHidden/>
                <w:sz w:val="24"/>
                <w:szCs w:val="24"/>
              </w:rPr>
              <w:fldChar w:fldCharType="end"/>
            </w:r>
          </w:hyperlink>
        </w:p>
        <w:p w14:paraId="1E81D683" w14:textId="73C0C819"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14" w:history="1">
            <w:r w:rsidR="00EF73D8" w:rsidRPr="005C53F5">
              <w:rPr>
                <w:rStyle w:val="ae"/>
                <w:rFonts w:ascii="Times New Roman" w:hAnsi="Times New Roman" w:cs="Times New Roman"/>
                <w:noProof/>
                <w:sz w:val="24"/>
                <w:szCs w:val="24"/>
              </w:rPr>
              <w:t>8.10. Сведения о приобретении облигаций</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_Toc39616414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129</w:t>
            </w:r>
            <w:r w:rsidR="00EF73D8" w:rsidRPr="005C53F5">
              <w:rPr>
                <w:rFonts w:ascii="Times New Roman" w:hAnsi="Times New Roman" w:cs="Times New Roman"/>
                <w:noProof/>
                <w:webHidden/>
                <w:sz w:val="24"/>
                <w:szCs w:val="24"/>
              </w:rPr>
              <w:fldChar w:fldCharType="end"/>
            </w:r>
          </w:hyperlink>
        </w:p>
        <w:p w14:paraId="760F31DC" w14:textId="7A58D832"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15" w:history="1">
            <w:r w:rsidR="00EF73D8" w:rsidRPr="005C53F5">
              <w:rPr>
                <w:rStyle w:val="ae"/>
                <w:rFonts w:ascii="Times New Roman" w:hAnsi="Times New Roman" w:cs="Times New Roman"/>
                <w:noProof/>
                <w:sz w:val="24"/>
                <w:szCs w:val="24"/>
              </w:rPr>
              <w:t>8.11. Порядок раскрытия эмитентом информации о выпуске (дополнительном выпуске)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_Toc39616415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130</w:t>
            </w:r>
            <w:r w:rsidR="00EF73D8" w:rsidRPr="005C53F5">
              <w:rPr>
                <w:rFonts w:ascii="Times New Roman" w:hAnsi="Times New Roman" w:cs="Times New Roman"/>
                <w:noProof/>
                <w:webHidden/>
                <w:sz w:val="24"/>
                <w:szCs w:val="24"/>
              </w:rPr>
              <w:fldChar w:fldCharType="end"/>
            </w:r>
          </w:hyperlink>
        </w:p>
        <w:p w14:paraId="3FF8AFB2" w14:textId="5C313B94"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16" w:history="1">
            <w:r w:rsidR="00EF73D8" w:rsidRPr="005C53F5">
              <w:rPr>
                <w:rStyle w:val="ae"/>
                <w:rFonts w:ascii="Times New Roman" w:hAnsi="Times New Roman" w:cs="Times New Roman"/>
                <w:noProof/>
                <w:sz w:val="24"/>
                <w:szCs w:val="24"/>
              </w:rPr>
              <w:t>8.12. Сведения об обеспечении исполнения обязательств по облигациям выпуска (дополнительного выпуска)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_Toc39616416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139</w:t>
            </w:r>
            <w:r w:rsidR="00EF73D8" w:rsidRPr="005C53F5">
              <w:rPr>
                <w:rFonts w:ascii="Times New Roman" w:hAnsi="Times New Roman" w:cs="Times New Roman"/>
                <w:noProof/>
                <w:webHidden/>
                <w:sz w:val="24"/>
                <w:szCs w:val="24"/>
              </w:rPr>
              <w:fldChar w:fldCharType="end"/>
            </w:r>
          </w:hyperlink>
        </w:p>
        <w:p w14:paraId="4279135C" w14:textId="1C73E3B4"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17" w:history="1">
            <w:r w:rsidR="00EF73D8" w:rsidRPr="005C53F5">
              <w:rPr>
                <w:rStyle w:val="ae"/>
                <w:rFonts w:ascii="Times New Roman" w:hAnsi="Times New Roman" w:cs="Times New Roman"/>
                <w:noProof/>
                <w:sz w:val="24"/>
                <w:szCs w:val="24"/>
              </w:rPr>
              <w:t>8.13. Сведения о представителе владельцев облигаций</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_Toc39616417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139</w:t>
            </w:r>
            <w:r w:rsidR="00EF73D8" w:rsidRPr="005C53F5">
              <w:rPr>
                <w:rFonts w:ascii="Times New Roman" w:hAnsi="Times New Roman" w:cs="Times New Roman"/>
                <w:noProof/>
                <w:webHidden/>
                <w:sz w:val="24"/>
                <w:szCs w:val="24"/>
              </w:rPr>
              <w:fldChar w:fldCharType="end"/>
            </w:r>
          </w:hyperlink>
        </w:p>
        <w:p w14:paraId="39E88624" w14:textId="2F81D1A8"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18" w:history="1">
            <w:r w:rsidR="00EF73D8" w:rsidRPr="005C53F5">
              <w:rPr>
                <w:rStyle w:val="ae"/>
                <w:rFonts w:ascii="Times New Roman" w:hAnsi="Times New Roman" w:cs="Times New Roman"/>
                <w:noProof/>
                <w:sz w:val="24"/>
                <w:szCs w:val="24"/>
              </w:rPr>
              <w:t>8.14. Сведения об отнесении приобретения облигаций к категории инвестиций с повышенным риском</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_Toc39616418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139</w:t>
            </w:r>
            <w:r w:rsidR="00EF73D8" w:rsidRPr="005C53F5">
              <w:rPr>
                <w:rFonts w:ascii="Times New Roman" w:hAnsi="Times New Roman" w:cs="Times New Roman"/>
                <w:noProof/>
                <w:webHidden/>
                <w:sz w:val="24"/>
                <w:szCs w:val="24"/>
              </w:rPr>
              <w:fldChar w:fldCharType="end"/>
            </w:r>
          </w:hyperlink>
        </w:p>
        <w:p w14:paraId="286EE520" w14:textId="21F90842"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19" w:history="1">
            <w:r w:rsidR="00EF73D8" w:rsidRPr="005C53F5">
              <w:rPr>
                <w:rStyle w:val="ae"/>
                <w:rFonts w:ascii="Times New Roman" w:hAnsi="Times New Roman" w:cs="Times New Roman"/>
                <w:noProof/>
                <w:sz w:val="24"/>
                <w:szCs w:val="24"/>
              </w:rPr>
              <w:t>8.15. Дополнительные сведения о размещаемых российских депозитарных расписках</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_Toc39616419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140</w:t>
            </w:r>
            <w:r w:rsidR="00EF73D8" w:rsidRPr="005C53F5">
              <w:rPr>
                <w:rFonts w:ascii="Times New Roman" w:hAnsi="Times New Roman" w:cs="Times New Roman"/>
                <w:noProof/>
                <w:webHidden/>
                <w:sz w:val="24"/>
                <w:szCs w:val="24"/>
              </w:rPr>
              <w:fldChar w:fldCharType="end"/>
            </w:r>
          </w:hyperlink>
        </w:p>
        <w:p w14:paraId="4158D27E" w14:textId="46268D65"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20" w:history="1">
            <w:r w:rsidR="00EF73D8" w:rsidRPr="005C53F5">
              <w:rPr>
                <w:rStyle w:val="ae"/>
                <w:rFonts w:ascii="Times New Roman" w:hAnsi="Times New Roman" w:cs="Times New Roman"/>
                <w:noProof/>
                <w:sz w:val="24"/>
                <w:szCs w:val="24"/>
              </w:rPr>
              <w:t>8.16. Наличие ограничений на приобретение и обращение размещаемых эмиссионных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_Toc39616420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140</w:t>
            </w:r>
            <w:r w:rsidR="00EF73D8" w:rsidRPr="005C53F5">
              <w:rPr>
                <w:rFonts w:ascii="Times New Roman" w:hAnsi="Times New Roman" w:cs="Times New Roman"/>
                <w:noProof/>
                <w:webHidden/>
                <w:sz w:val="24"/>
                <w:szCs w:val="24"/>
              </w:rPr>
              <w:fldChar w:fldCharType="end"/>
            </w:r>
          </w:hyperlink>
        </w:p>
        <w:p w14:paraId="07900BC3" w14:textId="4EB18BCB"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21" w:history="1">
            <w:r w:rsidR="00EF73D8" w:rsidRPr="005C53F5">
              <w:rPr>
                <w:rStyle w:val="ae"/>
                <w:rFonts w:ascii="Times New Roman" w:hAnsi="Times New Roman" w:cs="Times New Roman"/>
                <w:noProof/>
                <w:sz w:val="24"/>
                <w:szCs w:val="24"/>
              </w:rPr>
              <w:t>8.17. Сведения о динамике изменения цен на эмиссионные ценные бумаги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_Toc39616421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140</w:t>
            </w:r>
            <w:r w:rsidR="00EF73D8" w:rsidRPr="005C53F5">
              <w:rPr>
                <w:rFonts w:ascii="Times New Roman" w:hAnsi="Times New Roman" w:cs="Times New Roman"/>
                <w:noProof/>
                <w:webHidden/>
                <w:sz w:val="24"/>
                <w:szCs w:val="24"/>
              </w:rPr>
              <w:fldChar w:fldCharType="end"/>
            </w:r>
          </w:hyperlink>
        </w:p>
        <w:p w14:paraId="3C1FDF1A" w14:textId="52B61B4F"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22" w:history="1">
            <w:r w:rsidR="00EF73D8" w:rsidRPr="005C53F5">
              <w:rPr>
                <w:rStyle w:val="ae"/>
                <w:rFonts w:ascii="Times New Roman" w:hAnsi="Times New Roman" w:cs="Times New Roman"/>
                <w:noProof/>
                <w:sz w:val="24"/>
                <w:szCs w:val="24"/>
              </w:rPr>
              <w:t>8.18. Сведения об организаторах торговли, на которых предполагается размещение и (или) обращение размещаемых эмиссионных ценных бумаг</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_Toc39616422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140</w:t>
            </w:r>
            <w:r w:rsidR="00EF73D8" w:rsidRPr="005C53F5">
              <w:rPr>
                <w:rFonts w:ascii="Times New Roman" w:hAnsi="Times New Roman" w:cs="Times New Roman"/>
                <w:noProof/>
                <w:webHidden/>
                <w:sz w:val="24"/>
                <w:szCs w:val="24"/>
              </w:rPr>
              <w:fldChar w:fldCharType="end"/>
            </w:r>
          </w:hyperlink>
        </w:p>
        <w:p w14:paraId="2DBEC92E" w14:textId="43C26859"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23" w:history="1">
            <w:r w:rsidR="00EF73D8" w:rsidRPr="005C53F5">
              <w:rPr>
                <w:rStyle w:val="ae"/>
                <w:rFonts w:ascii="Times New Roman" w:hAnsi="Times New Roman" w:cs="Times New Roman"/>
                <w:noProof/>
                <w:sz w:val="24"/>
                <w:szCs w:val="24"/>
              </w:rPr>
              <w:t>8.19. Иные сведения о размещаемых ценных бумагах</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_Toc39616423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141</w:t>
            </w:r>
            <w:r w:rsidR="00EF73D8" w:rsidRPr="005C53F5">
              <w:rPr>
                <w:rFonts w:ascii="Times New Roman" w:hAnsi="Times New Roman" w:cs="Times New Roman"/>
                <w:noProof/>
                <w:webHidden/>
                <w:sz w:val="24"/>
                <w:szCs w:val="24"/>
              </w:rPr>
              <w:fldChar w:fldCharType="end"/>
            </w:r>
          </w:hyperlink>
        </w:p>
        <w:p w14:paraId="0B38B04C" w14:textId="5702BD00" w:rsidR="00EF73D8" w:rsidRPr="005C53F5" w:rsidRDefault="008E399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24" w:history="1">
            <w:r w:rsidR="00EF73D8" w:rsidRPr="005C53F5">
              <w:rPr>
                <w:rStyle w:val="ae"/>
                <w:rFonts w:ascii="Times New Roman" w:hAnsi="Times New Roman" w:cs="Times New Roman"/>
                <w:noProof/>
                <w:sz w:val="24"/>
                <w:szCs w:val="24"/>
              </w:rPr>
              <w:t>Раздел IX. Дополнительные сведения об эмитенте и о размещенных им эмиссионных ценных бумагах</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_Toc39616424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147</w:t>
            </w:r>
            <w:r w:rsidR="00EF73D8" w:rsidRPr="005C53F5">
              <w:rPr>
                <w:rFonts w:ascii="Times New Roman" w:hAnsi="Times New Roman" w:cs="Times New Roman"/>
                <w:noProof/>
                <w:webHidden/>
                <w:sz w:val="24"/>
                <w:szCs w:val="24"/>
              </w:rPr>
              <w:fldChar w:fldCharType="end"/>
            </w:r>
          </w:hyperlink>
        </w:p>
        <w:p w14:paraId="18D00B22" w14:textId="7B212588"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25" w:history="1">
            <w:r w:rsidR="00EF73D8" w:rsidRPr="005C53F5">
              <w:rPr>
                <w:rStyle w:val="ae"/>
                <w:rFonts w:ascii="Times New Roman" w:hAnsi="Times New Roman" w:cs="Times New Roman"/>
                <w:noProof/>
                <w:sz w:val="24"/>
                <w:szCs w:val="24"/>
              </w:rPr>
              <w:t>9.1. Дополнительные сведения об эмитенте</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_Toc39616425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147</w:t>
            </w:r>
            <w:r w:rsidR="00EF73D8" w:rsidRPr="005C53F5">
              <w:rPr>
                <w:rFonts w:ascii="Times New Roman" w:hAnsi="Times New Roman" w:cs="Times New Roman"/>
                <w:noProof/>
                <w:webHidden/>
                <w:sz w:val="24"/>
                <w:szCs w:val="24"/>
              </w:rPr>
              <w:fldChar w:fldCharType="end"/>
            </w:r>
          </w:hyperlink>
        </w:p>
        <w:p w14:paraId="0047E1AF" w14:textId="7517D644"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26" w:history="1">
            <w:r w:rsidR="00EF73D8" w:rsidRPr="005C53F5">
              <w:rPr>
                <w:rStyle w:val="ae"/>
                <w:rFonts w:ascii="Times New Roman" w:hAnsi="Times New Roman" w:cs="Times New Roman"/>
                <w:noProof/>
                <w:sz w:val="24"/>
                <w:szCs w:val="24"/>
              </w:rPr>
              <w:t>9.1.1. Сведения о размере, структуре уставного капитала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_Toc39616426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147</w:t>
            </w:r>
            <w:r w:rsidR="00EF73D8" w:rsidRPr="005C53F5">
              <w:rPr>
                <w:rFonts w:ascii="Times New Roman" w:hAnsi="Times New Roman" w:cs="Times New Roman"/>
                <w:noProof/>
                <w:webHidden/>
                <w:sz w:val="24"/>
                <w:szCs w:val="24"/>
              </w:rPr>
              <w:fldChar w:fldCharType="end"/>
            </w:r>
          </w:hyperlink>
        </w:p>
        <w:p w14:paraId="60A9B13E" w14:textId="79F579BF"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27" w:history="1">
            <w:r w:rsidR="00EF73D8" w:rsidRPr="005C53F5">
              <w:rPr>
                <w:rStyle w:val="ae"/>
                <w:rFonts w:ascii="Times New Roman" w:hAnsi="Times New Roman" w:cs="Times New Roman"/>
                <w:noProof/>
                <w:sz w:val="24"/>
                <w:szCs w:val="24"/>
              </w:rPr>
              <w:t>9.1.2. Сведения об изменении размера уставного капитала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_Toc39616427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147</w:t>
            </w:r>
            <w:r w:rsidR="00EF73D8" w:rsidRPr="005C53F5">
              <w:rPr>
                <w:rFonts w:ascii="Times New Roman" w:hAnsi="Times New Roman" w:cs="Times New Roman"/>
                <w:noProof/>
                <w:webHidden/>
                <w:sz w:val="24"/>
                <w:szCs w:val="24"/>
              </w:rPr>
              <w:fldChar w:fldCharType="end"/>
            </w:r>
          </w:hyperlink>
        </w:p>
        <w:p w14:paraId="690179FA" w14:textId="7A04E17B"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28" w:history="1">
            <w:r w:rsidR="00EF73D8" w:rsidRPr="005C53F5">
              <w:rPr>
                <w:rStyle w:val="ae"/>
                <w:rFonts w:ascii="Times New Roman" w:hAnsi="Times New Roman" w:cs="Times New Roman"/>
                <w:noProof/>
                <w:sz w:val="24"/>
                <w:szCs w:val="24"/>
              </w:rPr>
              <w:t>9.1.3. Сведения о порядке созыва и проведения собрания (заседания) высшего органа управления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_Toc39616428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147</w:t>
            </w:r>
            <w:r w:rsidR="00EF73D8" w:rsidRPr="005C53F5">
              <w:rPr>
                <w:rFonts w:ascii="Times New Roman" w:hAnsi="Times New Roman" w:cs="Times New Roman"/>
                <w:noProof/>
                <w:webHidden/>
                <w:sz w:val="24"/>
                <w:szCs w:val="24"/>
              </w:rPr>
              <w:fldChar w:fldCharType="end"/>
            </w:r>
          </w:hyperlink>
        </w:p>
        <w:p w14:paraId="78B16DF8" w14:textId="2DF6B7E0"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29" w:history="1">
            <w:r w:rsidR="00EF73D8" w:rsidRPr="005C53F5">
              <w:rPr>
                <w:rStyle w:val="ae"/>
                <w:rFonts w:ascii="Times New Roman" w:hAnsi="Times New Roman" w:cs="Times New Roman"/>
                <w:noProof/>
                <w:sz w:val="24"/>
                <w:szCs w:val="24"/>
              </w:rPr>
              <w:t>9.1.4.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_Toc39616429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147</w:t>
            </w:r>
            <w:r w:rsidR="00EF73D8" w:rsidRPr="005C53F5">
              <w:rPr>
                <w:rFonts w:ascii="Times New Roman" w:hAnsi="Times New Roman" w:cs="Times New Roman"/>
                <w:noProof/>
                <w:webHidden/>
                <w:sz w:val="24"/>
                <w:szCs w:val="24"/>
              </w:rPr>
              <w:fldChar w:fldCharType="end"/>
            </w:r>
          </w:hyperlink>
        </w:p>
        <w:p w14:paraId="49D4B07D" w14:textId="4AD4D6B1"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30" w:history="1">
            <w:r w:rsidR="00EF73D8" w:rsidRPr="005C53F5">
              <w:rPr>
                <w:rStyle w:val="ae"/>
                <w:rFonts w:ascii="Times New Roman" w:hAnsi="Times New Roman" w:cs="Times New Roman"/>
                <w:noProof/>
                <w:sz w:val="24"/>
                <w:szCs w:val="24"/>
              </w:rPr>
              <w:t>9.1.5. Сведения о существенных сделках, совершенных эмитентом</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_Toc39616430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147</w:t>
            </w:r>
            <w:r w:rsidR="00EF73D8" w:rsidRPr="005C53F5">
              <w:rPr>
                <w:rFonts w:ascii="Times New Roman" w:hAnsi="Times New Roman" w:cs="Times New Roman"/>
                <w:noProof/>
                <w:webHidden/>
                <w:sz w:val="24"/>
                <w:szCs w:val="24"/>
              </w:rPr>
              <w:fldChar w:fldCharType="end"/>
            </w:r>
          </w:hyperlink>
        </w:p>
        <w:p w14:paraId="7F838CBD" w14:textId="59A7613F" w:rsidR="00EF73D8" w:rsidRPr="005C53F5" w:rsidRDefault="008E3998" w:rsidP="00057BE5">
          <w:pPr>
            <w:pStyle w:val="3"/>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31" w:history="1">
            <w:r w:rsidR="00EF73D8" w:rsidRPr="005C53F5">
              <w:rPr>
                <w:rStyle w:val="ae"/>
                <w:rFonts w:ascii="Times New Roman" w:hAnsi="Times New Roman" w:cs="Times New Roman"/>
                <w:noProof/>
                <w:sz w:val="24"/>
                <w:szCs w:val="24"/>
              </w:rPr>
              <w:t>9.1.6. Сведения о</w:t>
            </w:r>
            <w:r w:rsidR="00EF73D8" w:rsidRPr="005C53F5">
              <w:rPr>
                <w:rStyle w:val="ae"/>
                <w:rFonts w:ascii="Times New Roman" w:eastAsia="Calibri" w:hAnsi="Times New Roman" w:cs="Times New Roman"/>
                <w:bCs/>
                <w:noProof/>
                <w:sz w:val="24"/>
                <w:szCs w:val="24"/>
              </w:rPr>
              <w:t xml:space="preserve"> кредитных рейтингах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_Toc39616431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147</w:t>
            </w:r>
            <w:r w:rsidR="00EF73D8" w:rsidRPr="005C53F5">
              <w:rPr>
                <w:rFonts w:ascii="Times New Roman" w:hAnsi="Times New Roman" w:cs="Times New Roman"/>
                <w:noProof/>
                <w:webHidden/>
                <w:sz w:val="24"/>
                <w:szCs w:val="24"/>
              </w:rPr>
              <w:fldChar w:fldCharType="end"/>
            </w:r>
          </w:hyperlink>
        </w:p>
        <w:p w14:paraId="74BB2CFD" w14:textId="0A25096E"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32" w:history="1">
            <w:r w:rsidR="00EF73D8" w:rsidRPr="005C53F5">
              <w:rPr>
                <w:rStyle w:val="ae"/>
                <w:rFonts w:ascii="Times New Roman" w:hAnsi="Times New Roman" w:cs="Times New Roman"/>
                <w:noProof/>
                <w:sz w:val="24"/>
                <w:szCs w:val="24"/>
              </w:rPr>
              <w:t>9.2. Сведения о каждой категории (типе) акций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_Toc39616432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162</w:t>
            </w:r>
            <w:r w:rsidR="00EF73D8" w:rsidRPr="005C53F5">
              <w:rPr>
                <w:rFonts w:ascii="Times New Roman" w:hAnsi="Times New Roman" w:cs="Times New Roman"/>
                <w:noProof/>
                <w:webHidden/>
                <w:sz w:val="24"/>
                <w:szCs w:val="24"/>
              </w:rPr>
              <w:fldChar w:fldCharType="end"/>
            </w:r>
          </w:hyperlink>
        </w:p>
        <w:p w14:paraId="4BB9C957" w14:textId="06103345"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33" w:history="1">
            <w:r w:rsidR="00EF73D8" w:rsidRPr="005C53F5">
              <w:rPr>
                <w:rStyle w:val="ae"/>
                <w:rFonts w:ascii="Times New Roman" w:hAnsi="Times New Roman" w:cs="Times New Roman"/>
                <w:noProof/>
                <w:sz w:val="24"/>
                <w:szCs w:val="24"/>
              </w:rPr>
              <w:t>9.3. Сведения о предыдущих выпусках ценных бумаг эмитента, за исключением акций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_Toc39616433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162</w:t>
            </w:r>
            <w:r w:rsidR="00EF73D8" w:rsidRPr="005C53F5">
              <w:rPr>
                <w:rFonts w:ascii="Times New Roman" w:hAnsi="Times New Roman" w:cs="Times New Roman"/>
                <w:noProof/>
                <w:webHidden/>
                <w:sz w:val="24"/>
                <w:szCs w:val="24"/>
              </w:rPr>
              <w:fldChar w:fldCharType="end"/>
            </w:r>
          </w:hyperlink>
        </w:p>
        <w:p w14:paraId="316DE9F2" w14:textId="59D5093C"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34" w:history="1">
            <w:r w:rsidR="00EF73D8" w:rsidRPr="005C53F5">
              <w:rPr>
                <w:rStyle w:val="ae"/>
                <w:rFonts w:ascii="Times New Roman" w:hAnsi="Times New Roman" w:cs="Times New Roman"/>
                <w:noProof/>
                <w:sz w:val="24"/>
                <w:szCs w:val="24"/>
              </w:rPr>
              <w:t>9.4.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_Toc39616434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162</w:t>
            </w:r>
            <w:r w:rsidR="00EF73D8" w:rsidRPr="005C53F5">
              <w:rPr>
                <w:rFonts w:ascii="Times New Roman" w:hAnsi="Times New Roman" w:cs="Times New Roman"/>
                <w:noProof/>
                <w:webHidden/>
                <w:sz w:val="24"/>
                <w:szCs w:val="24"/>
              </w:rPr>
              <w:fldChar w:fldCharType="end"/>
            </w:r>
          </w:hyperlink>
        </w:p>
        <w:p w14:paraId="60B4AC7F" w14:textId="4ED36EE9"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35" w:history="1">
            <w:r w:rsidR="00EF73D8" w:rsidRPr="005C53F5">
              <w:rPr>
                <w:rStyle w:val="ae"/>
                <w:rFonts w:ascii="Times New Roman" w:hAnsi="Times New Roman" w:cs="Times New Roman"/>
                <w:noProof/>
                <w:sz w:val="24"/>
                <w:szCs w:val="24"/>
              </w:rPr>
              <w:t>9.5. Сведения об организациях, осуществляющих учет прав на эмиссионные ценные бумаги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_Toc39616435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162</w:t>
            </w:r>
            <w:r w:rsidR="00EF73D8" w:rsidRPr="005C53F5">
              <w:rPr>
                <w:rFonts w:ascii="Times New Roman" w:hAnsi="Times New Roman" w:cs="Times New Roman"/>
                <w:noProof/>
                <w:webHidden/>
                <w:sz w:val="24"/>
                <w:szCs w:val="24"/>
              </w:rPr>
              <w:fldChar w:fldCharType="end"/>
            </w:r>
          </w:hyperlink>
        </w:p>
        <w:p w14:paraId="0E4A7E33" w14:textId="01E4226F"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36" w:history="1">
            <w:r w:rsidR="00EF73D8" w:rsidRPr="005C53F5">
              <w:rPr>
                <w:rStyle w:val="ae"/>
                <w:rFonts w:ascii="Times New Roman" w:hAnsi="Times New Roman" w:cs="Times New Roman"/>
                <w:noProof/>
                <w:sz w:val="24"/>
                <w:szCs w:val="24"/>
              </w:rPr>
              <w:t>9.6.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_Toc39616436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163</w:t>
            </w:r>
            <w:r w:rsidR="00EF73D8" w:rsidRPr="005C53F5">
              <w:rPr>
                <w:rFonts w:ascii="Times New Roman" w:hAnsi="Times New Roman" w:cs="Times New Roman"/>
                <w:noProof/>
                <w:webHidden/>
                <w:sz w:val="24"/>
                <w:szCs w:val="24"/>
              </w:rPr>
              <w:fldChar w:fldCharType="end"/>
            </w:r>
          </w:hyperlink>
        </w:p>
        <w:p w14:paraId="5AD819E1" w14:textId="05736EBA"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37" w:history="1">
            <w:r w:rsidR="00EF73D8" w:rsidRPr="005C53F5">
              <w:rPr>
                <w:rStyle w:val="ae"/>
                <w:rFonts w:ascii="Times New Roman" w:hAnsi="Times New Roman" w:cs="Times New Roman"/>
                <w:noProof/>
                <w:sz w:val="24"/>
                <w:szCs w:val="24"/>
              </w:rPr>
              <w:t>9.7. Сведения об объявленных (начисленных) и о выплаченных дивидендах по акциям эмитента, а также о доходах по облигациям эмитента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_Toc39616437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163</w:t>
            </w:r>
            <w:r w:rsidR="00EF73D8" w:rsidRPr="005C53F5">
              <w:rPr>
                <w:rFonts w:ascii="Times New Roman" w:hAnsi="Times New Roman" w:cs="Times New Roman"/>
                <w:noProof/>
                <w:webHidden/>
                <w:sz w:val="24"/>
                <w:szCs w:val="24"/>
              </w:rPr>
              <w:fldChar w:fldCharType="end"/>
            </w:r>
          </w:hyperlink>
        </w:p>
        <w:p w14:paraId="2F65C526" w14:textId="52AEB2F2" w:rsidR="00EF73D8" w:rsidRPr="005C53F5" w:rsidRDefault="008E3998" w:rsidP="00057BE5">
          <w:pPr>
            <w:pStyle w:val="2"/>
            <w:spacing w:after="0"/>
            <w:rPr>
              <w:rFonts w:ascii="Times New Roman" w:eastAsiaTheme="minorEastAsia" w:hAnsi="Times New Roman" w:cs="Times New Roman"/>
              <w:noProof/>
              <w:sz w:val="24"/>
              <w:szCs w:val="24"/>
              <w:lang w:eastAsia="ru-RU"/>
            </w:rPr>
          </w:pPr>
          <w:hyperlink w:anchor="_Toc39616438" w:history="1">
            <w:r w:rsidR="00EF73D8" w:rsidRPr="005C53F5">
              <w:rPr>
                <w:rStyle w:val="ae"/>
                <w:rFonts w:ascii="Times New Roman" w:hAnsi="Times New Roman" w:cs="Times New Roman"/>
                <w:noProof/>
                <w:sz w:val="24"/>
                <w:szCs w:val="24"/>
              </w:rPr>
              <w:t>9.8. Иные сведения</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_Toc39616438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163</w:t>
            </w:r>
            <w:r w:rsidR="00EF73D8" w:rsidRPr="005C53F5">
              <w:rPr>
                <w:rFonts w:ascii="Times New Roman" w:hAnsi="Times New Roman" w:cs="Times New Roman"/>
                <w:noProof/>
                <w:webHidden/>
                <w:sz w:val="24"/>
                <w:szCs w:val="24"/>
              </w:rPr>
              <w:fldChar w:fldCharType="end"/>
            </w:r>
          </w:hyperlink>
        </w:p>
        <w:p w14:paraId="6E4918AC" w14:textId="6BFBA190" w:rsidR="00EF73D8" w:rsidRPr="005C53F5" w:rsidRDefault="008E399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39" w:history="1">
            <w:r w:rsidR="00EF73D8" w:rsidRPr="005C53F5">
              <w:rPr>
                <w:rStyle w:val="ae"/>
                <w:rFonts w:ascii="Times New Roman" w:hAnsi="Times New Roman" w:cs="Times New Roman"/>
                <w:noProof/>
                <w:sz w:val="24"/>
                <w:szCs w:val="24"/>
              </w:rPr>
              <w:t>Приложение 1. Отчет об исполнении консолидированного бюджета Республики Казахстан за 2016 год</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_Toc39616439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164</w:t>
            </w:r>
            <w:r w:rsidR="00EF73D8" w:rsidRPr="005C53F5">
              <w:rPr>
                <w:rFonts w:ascii="Times New Roman" w:hAnsi="Times New Roman" w:cs="Times New Roman"/>
                <w:noProof/>
                <w:webHidden/>
                <w:sz w:val="24"/>
                <w:szCs w:val="24"/>
              </w:rPr>
              <w:fldChar w:fldCharType="end"/>
            </w:r>
          </w:hyperlink>
        </w:p>
        <w:p w14:paraId="05445E79" w14:textId="1C37B403" w:rsidR="00EF73D8" w:rsidRPr="005C53F5" w:rsidRDefault="008E399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40" w:history="1">
            <w:r w:rsidR="00EF73D8" w:rsidRPr="005C53F5">
              <w:rPr>
                <w:rStyle w:val="ae"/>
                <w:rFonts w:ascii="Times New Roman" w:hAnsi="Times New Roman" w:cs="Times New Roman"/>
                <w:noProof/>
                <w:sz w:val="24"/>
                <w:szCs w:val="24"/>
              </w:rPr>
              <w:t>Приложение 2. Отчет об исполнении консолидированного бюджета Республики Казахстан за 2017 год</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_Toc39616440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166</w:t>
            </w:r>
            <w:r w:rsidR="00EF73D8" w:rsidRPr="005C53F5">
              <w:rPr>
                <w:rFonts w:ascii="Times New Roman" w:hAnsi="Times New Roman" w:cs="Times New Roman"/>
                <w:noProof/>
                <w:webHidden/>
                <w:sz w:val="24"/>
                <w:szCs w:val="24"/>
              </w:rPr>
              <w:fldChar w:fldCharType="end"/>
            </w:r>
          </w:hyperlink>
        </w:p>
        <w:p w14:paraId="2AE8EF4C" w14:textId="3795ADD3" w:rsidR="00EF73D8" w:rsidRPr="005C53F5" w:rsidRDefault="008E399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41" w:history="1">
            <w:r w:rsidR="00EF73D8" w:rsidRPr="005C53F5">
              <w:rPr>
                <w:rStyle w:val="ae"/>
                <w:rFonts w:ascii="Times New Roman" w:hAnsi="Times New Roman" w:cs="Times New Roman"/>
                <w:noProof/>
                <w:sz w:val="24"/>
                <w:szCs w:val="24"/>
              </w:rPr>
              <w:t>Приложение 3. Отчет об исполнении консолидированного бюджета Республики Казахстан за 2018 год</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_Toc39616441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168</w:t>
            </w:r>
            <w:r w:rsidR="00EF73D8" w:rsidRPr="005C53F5">
              <w:rPr>
                <w:rFonts w:ascii="Times New Roman" w:hAnsi="Times New Roman" w:cs="Times New Roman"/>
                <w:noProof/>
                <w:webHidden/>
                <w:sz w:val="24"/>
                <w:szCs w:val="24"/>
              </w:rPr>
              <w:fldChar w:fldCharType="end"/>
            </w:r>
          </w:hyperlink>
        </w:p>
        <w:p w14:paraId="4530F7F2" w14:textId="0713B41C" w:rsidR="00EF73D8" w:rsidRPr="005C53F5" w:rsidRDefault="008E3998" w:rsidP="00057BE5">
          <w:pPr>
            <w:pStyle w:val="12"/>
            <w:tabs>
              <w:tab w:val="clear" w:pos="9345"/>
              <w:tab w:val="right" w:leader="dot" w:pos="9639"/>
            </w:tabs>
            <w:spacing w:after="0" w:line="240" w:lineRule="auto"/>
            <w:rPr>
              <w:rFonts w:ascii="Times New Roman" w:eastAsiaTheme="minorEastAsia" w:hAnsi="Times New Roman" w:cs="Times New Roman"/>
              <w:noProof/>
              <w:sz w:val="24"/>
              <w:szCs w:val="24"/>
              <w:lang w:eastAsia="ru-RU"/>
            </w:rPr>
          </w:pPr>
          <w:hyperlink w:anchor="_Toc39616442" w:history="1">
            <w:r w:rsidR="00EF73D8" w:rsidRPr="005C53F5">
              <w:rPr>
                <w:rStyle w:val="ae"/>
                <w:rFonts w:ascii="Times New Roman" w:hAnsi="Times New Roman" w:cs="Times New Roman"/>
                <w:noProof/>
                <w:sz w:val="24"/>
                <w:szCs w:val="24"/>
              </w:rPr>
              <w:t>Приложение 4. Отчет об исполнении консолидированного бюджета Республики Казахстан на 1 января 2020 года</w:t>
            </w:r>
            <w:r w:rsidR="00EF73D8" w:rsidRPr="005C53F5">
              <w:rPr>
                <w:rFonts w:ascii="Times New Roman" w:hAnsi="Times New Roman" w:cs="Times New Roman"/>
                <w:noProof/>
                <w:webHidden/>
                <w:sz w:val="24"/>
                <w:szCs w:val="24"/>
              </w:rPr>
              <w:tab/>
            </w:r>
            <w:r w:rsidR="00EF73D8" w:rsidRPr="005C53F5">
              <w:rPr>
                <w:rFonts w:ascii="Times New Roman" w:hAnsi="Times New Roman" w:cs="Times New Roman"/>
                <w:noProof/>
                <w:webHidden/>
                <w:sz w:val="24"/>
                <w:szCs w:val="24"/>
              </w:rPr>
              <w:fldChar w:fldCharType="begin"/>
            </w:r>
            <w:r w:rsidR="00EF73D8" w:rsidRPr="005C53F5">
              <w:rPr>
                <w:rFonts w:ascii="Times New Roman" w:hAnsi="Times New Roman" w:cs="Times New Roman"/>
                <w:noProof/>
                <w:webHidden/>
                <w:sz w:val="24"/>
                <w:szCs w:val="24"/>
              </w:rPr>
              <w:instrText xml:space="preserve"> PAGEREF _Toc39616442 \h </w:instrText>
            </w:r>
            <w:r w:rsidR="00EF73D8" w:rsidRPr="005C53F5">
              <w:rPr>
                <w:rFonts w:ascii="Times New Roman" w:hAnsi="Times New Roman" w:cs="Times New Roman"/>
                <w:noProof/>
                <w:webHidden/>
                <w:sz w:val="24"/>
                <w:szCs w:val="24"/>
              </w:rPr>
            </w:r>
            <w:r w:rsidR="00EF73D8" w:rsidRPr="005C53F5">
              <w:rPr>
                <w:rFonts w:ascii="Times New Roman" w:hAnsi="Times New Roman" w:cs="Times New Roman"/>
                <w:noProof/>
                <w:webHidden/>
                <w:sz w:val="24"/>
                <w:szCs w:val="24"/>
              </w:rPr>
              <w:fldChar w:fldCharType="separate"/>
            </w:r>
            <w:r w:rsidR="003E6657">
              <w:rPr>
                <w:rFonts w:ascii="Times New Roman" w:hAnsi="Times New Roman" w:cs="Times New Roman"/>
                <w:noProof/>
                <w:webHidden/>
                <w:sz w:val="24"/>
                <w:szCs w:val="24"/>
              </w:rPr>
              <w:t>170</w:t>
            </w:r>
            <w:r w:rsidR="00EF73D8" w:rsidRPr="005C53F5">
              <w:rPr>
                <w:rFonts w:ascii="Times New Roman" w:hAnsi="Times New Roman" w:cs="Times New Roman"/>
                <w:noProof/>
                <w:webHidden/>
                <w:sz w:val="24"/>
                <w:szCs w:val="24"/>
              </w:rPr>
              <w:fldChar w:fldCharType="end"/>
            </w:r>
          </w:hyperlink>
        </w:p>
        <w:p w14:paraId="23294C6F" w14:textId="5B7A2ADB" w:rsidR="0059799F" w:rsidRPr="005C53F5" w:rsidRDefault="001B4B58" w:rsidP="00057BE5">
          <w:pPr>
            <w:tabs>
              <w:tab w:val="right" w:leader="dot" w:pos="9639"/>
            </w:tabs>
            <w:spacing w:after="0" w:line="240" w:lineRule="auto"/>
            <w:jc w:val="both"/>
            <w:rPr>
              <w:rFonts w:ascii="Times New Roman" w:hAnsi="Times New Roman" w:cs="Times New Roman"/>
              <w:sz w:val="24"/>
              <w:szCs w:val="24"/>
            </w:rPr>
          </w:pPr>
          <w:r w:rsidRPr="005C53F5">
            <w:rPr>
              <w:rFonts w:ascii="Times New Roman" w:hAnsi="Times New Roman" w:cs="Times New Roman"/>
              <w:bCs/>
              <w:sz w:val="24"/>
              <w:szCs w:val="24"/>
            </w:rPr>
            <w:fldChar w:fldCharType="end"/>
          </w:r>
        </w:p>
      </w:sdtContent>
    </w:sdt>
    <w:p w14:paraId="4DAB0AD4" w14:textId="77777777" w:rsidR="007F68E4" w:rsidRPr="005C53F5" w:rsidRDefault="007F68E4" w:rsidP="00057BE5">
      <w:pPr>
        <w:spacing w:after="0" w:line="240" w:lineRule="auto"/>
        <w:rPr>
          <w:rFonts w:ascii="Times New Roman" w:eastAsia="Times New Roman" w:hAnsi="Times New Roman" w:cs="Times New Roman"/>
          <w:b/>
          <w:sz w:val="24"/>
          <w:szCs w:val="24"/>
          <w:lang w:eastAsia="ru-RU"/>
        </w:rPr>
      </w:pPr>
      <w:r w:rsidRPr="005C53F5">
        <w:rPr>
          <w:rFonts w:ascii="Times New Roman" w:hAnsi="Times New Roman" w:cs="Times New Roman"/>
          <w:b/>
          <w:sz w:val="24"/>
          <w:szCs w:val="24"/>
        </w:rPr>
        <w:br w:type="page"/>
      </w:r>
    </w:p>
    <w:p w14:paraId="079FAC6E" w14:textId="049B1CC3" w:rsidR="007F68E4" w:rsidRPr="005C53F5" w:rsidRDefault="007F68E4" w:rsidP="00057BE5">
      <w:pPr>
        <w:pStyle w:val="ConsPlusNormal"/>
        <w:ind w:firstLine="709"/>
        <w:jc w:val="both"/>
        <w:outlineLvl w:val="0"/>
        <w:rPr>
          <w:rFonts w:ascii="Times New Roman" w:hAnsi="Times New Roman" w:cs="Times New Roman"/>
          <w:b/>
          <w:sz w:val="24"/>
          <w:szCs w:val="24"/>
        </w:rPr>
      </w:pPr>
      <w:bookmarkStart w:id="3" w:name="_Toc39616324"/>
      <w:bookmarkStart w:id="4" w:name="_Toc36145562"/>
      <w:r w:rsidRPr="005C53F5">
        <w:rPr>
          <w:rFonts w:ascii="Times New Roman" w:hAnsi="Times New Roman" w:cs="Times New Roman"/>
          <w:b/>
          <w:sz w:val="24"/>
          <w:szCs w:val="24"/>
        </w:rPr>
        <w:lastRenderedPageBreak/>
        <w:t>Введение</w:t>
      </w:r>
      <w:bookmarkEnd w:id="3"/>
      <w:bookmarkEnd w:id="4"/>
    </w:p>
    <w:p w14:paraId="5D89696E" w14:textId="77777777" w:rsidR="009C2BA4" w:rsidRPr="005C53F5" w:rsidRDefault="007F68E4" w:rsidP="00057BE5">
      <w:pPr>
        <w:pStyle w:val="ConsPlusNormal"/>
        <w:ind w:firstLine="709"/>
        <w:jc w:val="both"/>
        <w:rPr>
          <w:rFonts w:ascii="Times New Roman" w:hAnsi="Times New Roman" w:cs="Times New Roman"/>
          <w:b/>
          <w:i/>
          <w:sz w:val="24"/>
          <w:szCs w:val="24"/>
          <w:u w:val="single"/>
        </w:rPr>
      </w:pPr>
      <w:bookmarkStart w:id="5" w:name="_Toc521608758"/>
      <w:bookmarkStart w:id="6" w:name="_Toc533784441"/>
      <w:r w:rsidRPr="005C53F5">
        <w:rPr>
          <w:rFonts w:ascii="Times New Roman" w:hAnsi="Times New Roman" w:cs="Times New Roman"/>
          <w:b/>
          <w:i/>
          <w:sz w:val="24"/>
          <w:szCs w:val="24"/>
          <w:u w:val="single"/>
        </w:rPr>
        <w:t>а) основные сведения об эмитенте:</w:t>
      </w:r>
      <w:bookmarkEnd w:id="5"/>
      <w:bookmarkEnd w:id="6"/>
      <w:r w:rsidRPr="005C53F5">
        <w:rPr>
          <w:rFonts w:ascii="Times New Roman" w:hAnsi="Times New Roman" w:cs="Times New Roman"/>
          <w:b/>
          <w:i/>
          <w:sz w:val="24"/>
          <w:szCs w:val="24"/>
          <w:u w:val="single"/>
        </w:rPr>
        <w:t xml:space="preserve"> </w:t>
      </w:r>
    </w:p>
    <w:p w14:paraId="7CECA09E" w14:textId="546A6A88" w:rsidR="002D7CF7" w:rsidRPr="005C53F5" w:rsidRDefault="002D7CF7" w:rsidP="00057BE5">
      <w:pPr>
        <w:pStyle w:val="ConsPlusNormal"/>
        <w:ind w:firstLine="709"/>
        <w:jc w:val="both"/>
        <w:rPr>
          <w:rFonts w:ascii="Times New Roman" w:hAnsi="Times New Roman" w:cs="Times New Roman"/>
          <w:i/>
          <w:sz w:val="24"/>
          <w:szCs w:val="24"/>
        </w:rPr>
      </w:pPr>
      <w:bookmarkStart w:id="7" w:name="_Toc521608759"/>
      <w:bookmarkStart w:id="8" w:name="_Toc533784442"/>
      <w:r w:rsidRPr="005C53F5">
        <w:rPr>
          <w:rFonts w:ascii="Times New Roman" w:hAnsi="Times New Roman" w:cs="Times New Roman"/>
          <w:i/>
          <w:sz w:val="24"/>
          <w:szCs w:val="24"/>
        </w:rPr>
        <w:t>П</w:t>
      </w:r>
      <w:r w:rsidR="007F68E4" w:rsidRPr="005C53F5">
        <w:rPr>
          <w:rFonts w:ascii="Times New Roman" w:hAnsi="Times New Roman" w:cs="Times New Roman"/>
          <w:i/>
          <w:sz w:val="24"/>
          <w:szCs w:val="24"/>
        </w:rPr>
        <w:t>олное и сокращенное фирменные наименования (для некоммерческой организации - наименовани</w:t>
      </w:r>
      <w:r w:rsidR="009C2BA4" w:rsidRPr="005C53F5">
        <w:rPr>
          <w:rFonts w:ascii="Times New Roman" w:hAnsi="Times New Roman" w:cs="Times New Roman"/>
          <w:i/>
          <w:sz w:val="24"/>
          <w:szCs w:val="24"/>
        </w:rPr>
        <w:t>е)</w:t>
      </w:r>
      <w:bookmarkEnd w:id="7"/>
      <w:bookmarkEnd w:id="8"/>
      <w:r w:rsidRPr="005C53F5">
        <w:rPr>
          <w:rFonts w:ascii="Times New Roman" w:hAnsi="Times New Roman" w:cs="Times New Roman"/>
          <w:i/>
          <w:sz w:val="24"/>
          <w:szCs w:val="24"/>
        </w:rPr>
        <w:t xml:space="preserve"> </w:t>
      </w:r>
    </w:p>
    <w:p w14:paraId="271BC484" w14:textId="6AC68B57" w:rsidR="002D7CF7" w:rsidRPr="005C53F5" w:rsidRDefault="002D7CF7" w:rsidP="00057BE5">
      <w:pPr>
        <w:pStyle w:val="ConsPlusNormal"/>
        <w:ind w:firstLine="709"/>
        <w:jc w:val="both"/>
        <w:rPr>
          <w:rFonts w:ascii="Times New Roman" w:hAnsi="Times New Roman" w:cs="Times New Roman"/>
          <w:sz w:val="24"/>
          <w:szCs w:val="24"/>
        </w:rPr>
      </w:pPr>
      <w:bookmarkStart w:id="9" w:name="_Toc521608760"/>
      <w:bookmarkStart w:id="10" w:name="_Toc533784443"/>
      <w:r w:rsidRPr="005C53F5">
        <w:rPr>
          <w:rFonts w:ascii="Times New Roman" w:hAnsi="Times New Roman" w:cs="Times New Roman"/>
          <w:sz w:val="24"/>
          <w:szCs w:val="24"/>
        </w:rPr>
        <w:t xml:space="preserve">Наименование: </w:t>
      </w:r>
      <w:r w:rsidR="003A1D6B" w:rsidRPr="005C53F5">
        <w:rPr>
          <w:rFonts w:ascii="Times New Roman" w:hAnsi="Times New Roman" w:cs="Times New Roman"/>
          <w:sz w:val="24"/>
          <w:szCs w:val="24"/>
        </w:rPr>
        <w:t>Республика Казахстан в лице Министерства финансов Республики Казахстан</w:t>
      </w:r>
      <w:r w:rsidRPr="005C53F5">
        <w:rPr>
          <w:rFonts w:ascii="Times New Roman" w:hAnsi="Times New Roman" w:cs="Times New Roman"/>
          <w:sz w:val="24"/>
          <w:szCs w:val="24"/>
        </w:rPr>
        <w:t>.</w:t>
      </w:r>
      <w:bookmarkEnd w:id="9"/>
      <w:bookmarkEnd w:id="10"/>
    </w:p>
    <w:p w14:paraId="11141E70" w14:textId="40FB1C0A" w:rsidR="002D7CF7" w:rsidRPr="005C53F5" w:rsidRDefault="009C2BA4" w:rsidP="00057BE5">
      <w:pPr>
        <w:pStyle w:val="ConsPlusNormal"/>
        <w:tabs>
          <w:tab w:val="left" w:pos="2050"/>
        </w:tabs>
        <w:ind w:firstLine="709"/>
        <w:jc w:val="both"/>
        <w:rPr>
          <w:rFonts w:ascii="Times New Roman" w:hAnsi="Times New Roman" w:cs="Times New Roman"/>
          <w:i/>
          <w:sz w:val="24"/>
          <w:szCs w:val="24"/>
        </w:rPr>
      </w:pPr>
      <w:bookmarkStart w:id="11" w:name="_Toc521608761"/>
      <w:bookmarkStart w:id="12" w:name="_Toc533784444"/>
      <w:r w:rsidRPr="005C53F5">
        <w:rPr>
          <w:rFonts w:ascii="Times New Roman" w:hAnsi="Times New Roman" w:cs="Times New Roman"/>
          <w:i/>
          <w:sz w:val="24"/>
          <w:szCs w:val="24"/>
        </w:rPr>
        <w:t>ИНН</w:t>
      </w:r>
      <w:bookmarkEnd w:id="11"/>
      <w:bookmarkEnd w:id="12"/>
      <w:r w:rsidR="002D7CF7" w:rsidRPr="005C53F5">
        <w:rPr>
          <w:rFonts w:ascii="Times New Roman" w:hAnsi="Times New Roman" w:cs="Times New Roman"/>
          <w:i/>
          <w:sz w:val="24"/>
          <w:szCs w:val="24"/>
        </w:rPr>
        <w:t xml:space="preserve"> </w:t>
      </w:r>
      <w:r w:rsidR="00854836" w:rsidRPr="005C53F5">
        <w:rPr>
          <w:rFonts w:ascii="Times New Roman" w:hAnsi="Times New Roman" w:cs="Times New Roman"/>
          <w:i/>
          <w:sz w:val="24"/>
          <w:szCs w:val="24"/>
        </w:rPr>
        <w:tab/>
      </w:r>
    </w:p>
    <w:p w14:paraId="4CE95B17" w14:textId="00A5AE19" w:rsidR="002D7CF7" w:rsidRPr="005C53F5" w:rsidRDefault="002D7CF7" w:rsidP="00057BE5">
      <w:pPr>
        <w:pStyle w:val="ConsPlusNormal"/>
        <w:ind w:firstLine="709"/>
        <w:jc w:val="both"/>
        <w:rPr>
          <w:rFonts w:ascii="Times New Roman" w:hAnsi="Times New Roman" w:cs="Times New Roman"/>
          <w:sz w:val="24"/>
          <w:szCs w:val="24"/>
        </w:rPr>
      </w:pPr>
      <w:bookmarkStart w:id="13" w:name="_Toc521608762"/>
      <w:bookmarkStart w:id="14" w:name="_Toc533784445"/>
      <w:r w:rsidRPr="005C53F5">
        <w:rPr>
          <w:rFonts w:ascii="Times New Roman" w:hAnsi="Times New Roman" w:cs="Times New Roman"/>
          <w:sz w:val="24"/>
          <w:szCs w:val="24"/>
        </w:rPr>
        <w:t>Эмитент не подлежал и не подлежит постановке на учет в налоговом органе в соответствии с законодательством Российской Федерации.</w:t>
      </w:r>
      <w:bookmarkEnd w:id="13"/>
      <w:bookmarkEnd w:id="14"/>
    </w:p>
    <w:p w14:paraId="79E099E7" w14:textId="52EAE520" w:rsidR="002D7CF7" w:rsidRPr="005C53F5" w:rsidRDefault="009C2BA4" w:rsidP="00057BE5">
      <w:pPr>
        <w:pStyle w:val="ConsPlusNormal"/>
        <w:ind w:firstLine="709"/>
        <w:jc w:val="both"/>
        <w:rPr>
          <w:rFonts w:ascii="Times New Roman" w:hAnsi="Times New Roman" w:cs="Times New Roman"/>
          <w:i/>
          <w:sz w:val="24"/>
          <w:szCs w:val="24"/>
        </w:rPr>
      </w:pPr>
      <w:bookmarkStart w:id="15" w:name="_Toc521608763"/>
      <w:bookmarkStart w:id="16" w:name="_Toc533784446"/>
      <w:r w:rsidRPr="005C53F5">
        <w:rPr>
          <w:rFonts w:ascii="Times New Roman" w:hAnsi="Times New Roman" w:cs="Times New Roman"/>
          <w:i/>
          <w:sz w:val="24"/>
          <w:szCs w:val="24"/>
        </w:rPr>
        <w:t>ОГРН</w:t>
      </w:r>
      <w:bookmarkEnd w:id="15"/>
      <w:bookmarkEnd w:id="16"/>
    </w:p>
    <w:p w14:paraId="632B97AA" w14:textId="387D1E5E" w:rsidR="009C2BA4" w:rsidRPr="005C53F5" w:rsidRDefault="002D7CF7" w:rsidP="00057BE5">
      <w:pPr>
        <w:pStyle w:val="ConsPlusNormal"/>
        <w:ind w:firstLine="709"/>
        <w:jc w:val="both"/>
        <w:rPr>
          <w:rFonts w:ascii="Times New Roman" w:hAnsi="Times New Roman" w:cs="Times New Roman"/>
          <w:sz w:val="24"/>
          <w:szCs w:val="24"/>
        </w:rPr>
      </w:pPr>
      <w:bookmarkStart w:id="17" w:name="_Toc521608764"/>
      <w:bookmarkStart w:id="18" w:name="_Toc533784447"/>
      <w:r w:rsidRPr="005C53F5">
        <w:rPr>
          <w:rFonts w:ascii="Times New Roman" w:hAnsi="Times New Roman" w:cs="Times New Roman"/>
          <w:sz w:val="24"/>
          <w:szCs w:val="24"/>
        </w:rPr>
        <w:t>Эмитент не подлежал и не подлежит государственной регистрации в соответствии с законодательством Российской Федерации.</w:t>
      </w:r>
      <w:bookmarkEnd w:id="17"/>
      <w:bookmarkEnd w:id="18"/>
    </w:p>
    <w:p w14:paraId="3302C1E8" w14:textId="571A515D" w:rsidR="002D7CF7" w:rsidRPr="005C53F5" w:rsidRDefault="002D7CF7" w:rsidP="00057BE5">
      <w:pPr>
        <w:pStyle w:val="ConsPlusNormal"/>
        <w:ind w:firstLine="709"/>
        <w:jc w:val="both"/>
        <w:rPr>
          <w:rFonts w:ascii="Times New Roman" w:hAnsi="Times New Roman" w:cs="Times New Roman"/>
          <w:i/>
          <w:sz w:val="24"/>
          <w:szCs w:val="24"/>
        </w:rPr>
      </w:pPr>
      <w:bookmarkStart w:id="19" w:name="_Toc521608765"/>
      <w:bookmarkStart w:id="20" w:name="_Toc533784448"/>
      <w:r w:rsidRPr="005C53F5">
        <w:rPr>
          <w:rFonts w:ascii="Times New Roman" w:hAnsi="Times New Roman" w:cs="Times New Roman"/>
          <w:i/>
          <w:sz w:val="24"/>
          <w:szCs w:val="24"/>
        </w:rPr>
        <w:t>М</w:t>
      </w:r>
      <w:r w:rsidR="00F359A8" w:rsidRPr="005C53F5">
        <w:rPr>
          <w:rFonts w:ascii="Times New Roman" w:hAnsi="Times New Roman" w:cs="Times New Roman"/>
          <w:i/>
          <w:sz w:val="24"/>
          <w:szCs w:val="24"/>
        </w:rPr>
        <w:t>есто нахождения</w:t>
      </w:r>
      <w:bookmarkEnd w:id="19"/>
      <w:bookmarkEnd w:id="20"/>
      <w:r w:rsidRPr="005C53F5">
        <w:rPr>
          <w:rFonts w:ascii="Times New Roman" w:hAnsi="Times New Roman" w:cs="Times New Roman"/>
          <w:i/>
          <w:sz w:val="24"/>
          <w:szCs w:val="24"/>
        </w:rPr>
        <w:t xml:space="preserve"> </w:t>
      </w:r>
    </w:p>
    <w:p w14:paraId="2814BEFE" w14:textId="276D03BE" w:rsidR="00135287" w:rsidRPr="005C53F5" w:rsidRDefault="00135287" w:rsidP="00057BE5">
      <w:pPr>
        <w:pStyle w:val="ConsPlusNormal"/>
        <w:ind w:firstLine="709"/>
        <w:jc w:val="both"/>
        <w:rPr>
          <w:rFonts w:ascii="Times New Roman" w:eastAsia="Calibri" w:hAnsi="Times New Roman" w:cs="Times New Roman"/>
          <w:sz w:val="24"/>
          <w:szCs w:val="24"/>
          <w:lang w:eastAsia="en-US"/>
        </w:rPr>
      </w:pPr>
      <w:bookmarkStart w:id="21" w:name="_Toc521608767"/>
      <w:bookmarkStart w:id="22" w:name="_Toc533784450"/>
      <w:r w:rsidRPr="005C53F5">
        <w:rPr>
          <w:rFonts w:ascii="Times New Roman" w:eastAsia="Calibri" w:hAnsi="Times New Roman" w:cs="Times New Roman"/>
          <w:sz w:val="24"/>
          <w:szCs w:val="24"/>
          <w:lang w:eastAsia="en-US"/>
        </w:rPr>
        <w:t>В связи с тем, что уполномоченным органом государственной власти Республики Казахстан, который выступает от имени Республики Казахстан при осуществлении Республикой Казахстан эмиссии Облигаций, является Министерство финансов Республики Казахстан, информация указывается в отношении Министерства финансов Республики Казахстан</w:t>
      </w:r>
      <w:r w:rsidR="00DA010A" w:rsidRPr="005C53F5">
        <w:rPr>
          <w:rFonts w:ascii="Times New Roman" w:eastAsia="Calibri" w:hAnsi="Times New Roman" w:cs="Times New Roman"/>
          <w:sz w:val="24"/>
          <w:szCs w:val="24"/>
          <w:lang w:eastAsia="en-US"/>
        </w:rPr>
        <w:t>:</w:t>
      </w:r>
      <w:r w:rsidRPr="005C53F5">
        <w:rPr>
          <w:rFonts w:ascii="Times New Roman" w:eastAsia="Calibri" w:hAnsi="Times New Roman" w:cs="Times New Roman"/>
          <w:sz w:val="24"/>
          <w:szCs w:val="24"/>
          <w:lang w:eastAsia="en-US"/>
        </w:rPr>
        <w:t xml:space="preserve"> </w:t>
      </w:r>
      <w:r w:rsidRPr="005C53F5">
        <w:rPr>
          <w:rFonts w:ascii="Times New Roman" w:eastAsia="Calibri" w:hAnsi="Times New Roman" w:cs="Times New Roman"/>
          <w:sz w:val="24"/>
          <w:szCs w:val="24"/>
          <w:lang w:val="kk-KZ" w:eastAsia="en-US"/>
        </w:rPr>
        <w:t xml:space="preserve">010000, </w:t>
      </w:r>
      <w:r w:rsidRPr="005C53F5">
        <w:rPr>
          <w:rFonts w:ascii="Times New Roman" w:hAnsi="Times New Roman" w:cs="Times New Roman"/>
          <w:color w:val="000000"/>
          <w:sz w:val="24"/>
          <w:szCs w:val="24"/>
          <w:lang w:val="kk-KZ"/>
        </w:rPr>
        <w:t>Республика Казахстан, г. Нур-Султан, пр</w:t>
      </w:r>
      <w:r w:rsidR="00DA010A" w:rsidRPr="005C53F5">
        <w:rPr>
          <w:rFonts w:ascii="Times New Roman" w:hAnsi="Times New Roman" w:cs="Times New Roman"/>
          <w:color w:val="000000"/>
          <w:sz w:val="24"/>
          <w:szCs w:val="24"/>
          <w:lang w:val="kk-KZ"/>
        </w:rPr>
        <w:t xml:space="preserve">оспект </w:t>
      </w:r>
      <w:r w:rsidRPr="005C53F5">
        <w:rPr>
          <w:rFonts w:ascii="Times New Roman" w:hAnsi="Times New Roman" w:cs="Times New Roman"/>
          <w:color w:val="000000"/>
          <w:sz w:val="24"/>
          <w:szCs w:val="24"/>
          <w:lang w:val="kk-KZ"/>
        </w:rPr>
        <w:t xml:space="preserve">Мангилик Ел, </w:t>
      </w:r>
      <w:r w:rsidR="00381AB0" w:rsidRPr="005C53F5">
        <w:rPr>
          <w:rFonts w:ascii="Times New Roman" w:hAnsi="Times New Roman" w:cs="Times New Roman"/>
          <w:color w:val="000000"/>
          <w:sz w:val="24"/>
          <w:szCs w:val="24"/>
          <w:lang w:val="kk-KZ"/>
        </w:rPr>
        <w:t>д. </w:t>
      </w:r>
      <w:r w:rsidRPr="005C53F5">
        <w:rPr>
          <w:rFonts w:ascii="Times New Roman" w:hAnsi="Times New Roman" w:cs="Times New Roman"/>
          <w:color w:val="000000"/>
          <w:sz w:val="24"/>
          <w:szCs w:val="24"/>
          <w:lang w:val="kk-KZ"/>
        </w:rPr>
        <w:t>8, подъезд 4.</w:t>
      </w:r>
    </w:p>
    <w:p w14:paraId="22167ED3" w14:textId="3EEFEE04" w:rsidR="002D7CF7" w:rsidRPr="005C53F5" w:rsidRDefault="002D7CF7" w:rsidP="00057BE5">
      <w:pPr>
        <w:pStyle w:val="ConsPlusNormal"/>
        <w:ind w:firstLine="709"/>
        <w:jc w:val="both"/>
        <w:rPr>
          <w:rFonts w:ascii="Times New Roman" w:hAnsi="Times New Roman" w:cs="Times New Roman"/>
          <w:i/>
          <w:sz w:val="24"/>
          <w:szCs w:val="24"/>
        </w:rPr>
      </w:pPr>
      <w:r w:rsidRPr="005C53F5">
        <w:rPr>
          <w:rFonts w:ascii="Times New Roman" w:hAnsi="Times New Roman" w:cs="Times New Roman"/>
          <w:i/>
          <w:sz w:val="24"/>
          <w:szCs w:val="24"/>
        </w:rPr>
        <w:t>Д</w:t>
      </w:r>
      <w:r w:rsidR="007F68E4" w:rsidRPr="005C53F5">
        <w:rPr>
          <w:rFonts w:ascii="Times New Roman" w:hAnsi="Times New Roman" w:cs="Times New Roman"/>
          <w:i/>
          <w:sz w:val="24"/>
          <w:szCs w:val="24"/>
        </w:rPr>
        <w:t>а</w:t>
      </w:r>
      <w:r w:rsidR="009C2BA4" w:rsidRPr="005C53F5">
        <w:rPr>
          <w:rFonts w:ascii="Times New Roman" w:hAnsi="Times New Roman" w:cs="Times New Roman"/>
          <w:i/>
          <w:sz w:val="24"/>
          <w:szCs w:val="24"/>
        </w:rPr>
        <w:t>та государственной регистрации</w:t>
      </w:r>
      <w:bookmarkEnd w:id="21"/>
      <w:bookmarkEnd w:id="22"/>
      <w:r w:rsidRPr="005C53F5">
        <w:rPr>
          <w:rFonts w:ascii="Times New Roman" w:hAnsi="Times New Roman" w:cs="Times New Roman"/>
          <w:i/>
          <w:sz w:val="24"/>
          <w:szCs w:val="24"/>
        </w:rPr>
        <w:t xml:space="preserve"> </w:t>
      </w:r>
    </w:p>
    <w:p w14:paraId="6AF77690" w14:textId="63008F81" w:rsidR="009C2BA4" w:rsidRPr="005C53F5" w:rsidRDefault="002D7CF7" w:rsidP="00057BE5">
      <w:pPr>
        <w:pStyle w:val="ConsPlusNormal"/>
        <w:ind w:firstLine="709"/>
        <w:jc w:val="both"/>
        <w:rPr>
          <w:rFonts w:ascii="Times New Roman" w:hAnsi="Times New Roman" w:cs="Times New Roman"/>
          <w:sz w:val="24"/>
          <w:szCs w:val="24"/>
        </w:rPr>
      </w:pPr>
      <w:bookmarkStart w:id="23" w:name="_Toc521608768"/>
      <w:bookmarkStart w:id="24" w:name="_Toc533784451"/>
      <w:r w:rsidRPr="005C53F5">
        <w:rPr>
          <w:rFonts w:ascii="Times New Roman" w:hAnsi="Times New Roman" w:cs="Times New Roman"/>
          <w:sz w:val="24"/>
          <w:szCs w:val="24"/>
        </w:rPr>
        <w:t>Н</w:t>
      </w:r>
      <w:r w:rsidR="00F359A8" w:rsidRPr="005C53F5">
        <w:rPr>
          <w:rFonts w:ascii="Times New Roman" w:hAnsi="Times New Roman" w:cs="Times New Roman"/>
          <w:sz w:val="24"/>
          <w:szCs w:val="24"/>
        </w:rPr>
        <w:t>е применимо, поскольку Эмитент не подлежал и не подлежит государственной регистрации в соответствии с законодательством Российской Федерации.</w:t>
      </w:r>
      <w:bookmarkEnd w:id="23"/>
      <w:bookmarkEnd w:id="24"/>
    </w:p>
    <w:p w14:paraId="4E2C6511" w14:textId="3D3E9729" w:rsidR="009C2BA4" w:rsidRPr="005C53F5" w:rsidRDefault="002D7CF7" w:rsidP="00057BE5">
      <w:pPr>
        <w:pStyle w:val="ConsPlusNormal"/>
        <w:ind w:firstLine="709"/>
        <w:jc w:val="both"/>
        <w:rPr>
          <w:rFonts w:ascii="Times New Roman" w:hAnsi="Times New Roman" w:cs="Times New Roman"/>
          <w:i/>
          <w:sz w:val="24"/>
          <w:szCs w:val="24"/>
        </w:rPr>
      </w:pPr>
      <w:bookmarkStart w:id="25" w:name="_Toc521608769"/>
      <w:bookmarkStart w:id="26" w:name="_Toc533784452"/>
      <w:r w:rsidRPr="005C53F5">
        <w:rPr>
          <w:rFonts w:ascii="Times New Roman" w:hAnsi="Times New Roman" w:cs="Times New Roman"/>
          <w:i/>
          <w:sz w:val="24"/>
          <w:szCs w:val="24"/>
        </w:rPr>
        <w:t>Ц</w:t>
      </w:r>
      <w:r w:rsidR="009C2BA4" w:rsidRPr="005C53F5">
        <w:rPr>
          <w:rFonts w:ascii="Times New Roman" w:hAnsi="Times New Roman" w:cs="Times New Roman"/>
          <w:i/>
          <w:sz w:val="24"/>
          <w:szCs w:val="24"/>
        </w:rPr>
        <w:t>ели создания эмитента</w:t>
      </w:r>
      <w:bookmarkEnd w:id="25"/>
      <w:bookmarkEnd w:id="26"/>
    </w:p>
    <w:p w14:paraId="302B5C1E" w14:textId="7D9B93FB" w:rsidR="00750C78" w:rsidRPr="005C53F5" w:rsidRDefault="00750C78"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На различных этапах истории на территории Казахстана возникали и развивались государства с самобытной культурной историей, наследником которой стал современный Казахстан. В первые века I-го тысячелетия нашей эры на территории степной зоны Центральной Азии процветала кочевая скифо-сакская цивилизация. В последующие века в степях современного Казахстана сформировалась могучая гуннская держава. В дальнейшем преемниками гуннов стали тюркоязычные племена, создавшие несколько крупных государственных образований - каганатов, простиравшихся от Желтого моря на Востоке до Черного моря на Западе. </w:t>
      </w:r>
    </w:p>
    <w:p w14:paraId="0A79BCE0" w14:textId="77777777" w:rsidR="00750C78" w:rsidRPr="005C53F5" w:rsidRDefault="00750C78"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Во </w:t>
      </w:r>
      <w:r w:rsidRPr="005C53F5">
        <w:rPr>
          <w:rFonts w:ascii="Times New Roman" w:eastAsia="Calibri" w:hAnsi="Times New Roman" w:cs="Times New Roman"/>
          <w:sz w:val="24"/>
          <w:szCs w:val="24"/>
          <w:lang w:val="en-US"/>
        </w:rPr>
        <w:t>II</w:t>
      </w:r>
      <w:r w:rsidRPr="005C53F5">
        <w:rPr>
          <w:rFonts w:ascii="Times New Roman" w:eastAsia="Calibri" w:hAnsi="Times New Roman" w:cs="Times New Roman"/>
          <w:sz w:val="24"/>
          <w:szCs w:val="24"/>
        </w:rPr>
        <w:t xml:space="preserve"> веке началась торговля вдоль Великого Шёлкового пути, так называемой сети караванных путей, соединявших восточный Китай и западную Персию (в настоящее время это территория Ирана). По расчетам ученых протяженность Великого Шёлкового пути составляла 7 тыс. км, благодаря ему развивались и возникали города. На карте Великого Шелкового пути выделяли 2 маршрута: северный и южный. Юг Казахстана являлся одним из торговых узлов южного маршрута, снабжавшего </w:t>
      </w:r>
      <w:r w:rsidRPr="005C53F5">
        <w:rPr>
          <w:rFonts w:ascii="Times New Roman" w:eastAsia="Calibri" w:hAnsi="Times New Roman" w:cs="Times New Roman"/>
          <w:color w:val="000000"/>
          <w:sz w:val="24"/>
          <w:szCs w:val="24"/>
        </w:rPr>
        <w:t xml:space="preserve">караваны лошадьми, верблюдами и продовольствием. </w:t>
      </w:r>
      <w:r w:rsidRPr="005C53F5">
        <w:rPr>
          <w:rFonts w:ascii="Times New Roman" w:eastAsia="Calibri" w:hAnsi="Times New Roman" w:cs="Times New Roman"/>
          <w:sz w:val="24"/>
          <w:szCs w:val="24"/>
        </w:rPr>
        <w:t>Историческая важность Великого Шёлкового пути для Казахстана определяется не только возникновением важных торговых и экономических связей, но и культурным обменом между различными народами, осуществлявших торговлю.</w:t>
      </w:r>
    </w:p>
    <w:p w14:paraId="7B4F85E8" w14:textId="195C803B" w:rsidR="00750C78" w:rsidRPr="005C53F5" w:rsidRDefault="00750C78"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1221 году монгольские племена под предводительством Чингисхана завоевали Центральную Азию. Монгольское нашествие оказало значительное влияние на историю казахского народа. Большая часть нынешнего Казахстана вошла в состав Золотой Орды, улуса, который принадлежал наследникам Джучи, старшего сына Чингисхана. Казахские ханы впоследствии являлись его прямыми потомками</w:t>
      </w:r>
      <w:r w:rsidR="00A04874"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и их прерогатива на верховную власть в стране не подвергалась сомнению. </w:t>
      </w:r>
    </w:p>
    <w:p w14:paraId="34D11FC0" w14:textId="77777777" w:rsidR="00750C78" w:rsidRPr="005C53F5" w:rsidRDefault="00750C78" w:rsidP="00057BE5">
      <w:pPr>
        <w:spacing w:after="0" w:line="240" w:lineRule="auto"/>
        <w:ind w:firstLine="709"/>
        <w:jc w:val="both"/>
        <w:rPr>
          <w:color w:val="000000"/>
          <w:sz w:val="27"/>
          <w:szCs w:val="27"/>
        </w:rPr>
      </w:pPr>
      <w:r w:rsidRPr="005C53F5">
        <w:rPr>
          <w:rFonts w:ascii="Times New Roman" w:eastAsia="Calibri" w:hAnsi="Times New Roman" w:cs="Times New Roman"/>
          <w:sz w:val="24"/>
          <w:szCs w:val="24"/>
        </w:rPr>
        <w:t>Ко второй половине XV века в регионе начался процесс консолидации народов кочевой степи, сложившихся из многообразных этнокультурных субстратов на основе общей ментальности и образа жизни. Стали образовываться первые казахские ханства.</w:t>
      </w:r>
    </w:p>
    <w:p w14:paraId="55BBD600" w14:textId="77777777" w:rsidR="00750C78" w:rsidRPr="005C53F5" w:rsidRDefault="00750C78"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lastRenderedPageBreak/>
        <w:t xml:space="preserve">В конце XVIII — начале XIX вв. большая часть территории южного Казахстана находилась под властью среднеазиатских ханств. Кокандские и Хивинские ханства совершали походы на казахские земли. В 1817 г. Старший жуз (группа казахских родов и племён, господствовавших на территории южного Казахстана) заявил о желании принять российское подданство. В мае 1824 г. был подписан документ царского правительства о принятии Старшего жуза в подданство России. К 1847 г. подавляющее большинство Старшего и Среднего жузов (группа казахских племенных объединений в Центральном, Северном и Восточном Казахстане) перешло в российское подданство. </w:t>
      </w:r>
    </w:p>
    <w:p w14:paraId="220DA242" w14:textId="77777777" w:rsidR="00750C78" w:rsidRPr="005C53F5" w:rsidRDefault="00750C78"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После революции 1917 года в Казахстане установилась Советская власть. Казахстан играл жизненно важную роль в сфере промышленности и сельского хозяйства в период существования Союза Советских Социалистических Республик (СССР). Большая часть российской промышленности была перенесена в Казахстан в период Второй мировой войны. В период 1953-1965 годов часть территории Казахстана использовалась для выращивания пшена и других злаковых в рамках кампании по освоению целины. В конце 60-х и 70-х годов была разработана программа, подразумевающая перенос советской промышленности ближе к обширным запасам угля, нефти и газа на территории Казахстана либо в другие части Центральной Азии. </w:t>
      </w:r>
    </w:p>
    <w:p w14:paraId="001672CE" w14:textId="77777777" w:rsidR="00750C78" w:rsidRPr="005C53F5" w:rsidRDefault="00750C78"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16 декабря 1991 года был принят Конституционный закон «О государственной независимости Республики Казахстан». После прекращения существования СССР 13 декабря 1991 года Казахстан в составе пяти центральноазиатских государств, входивших в состав СССР, выразил согласие войти в Содружество Независимых Государств (СНГ) при условии обеспечения равноправного участия субъектов бывшего СССР и признания всех государств СНГ в качестве учредителей. Результатом стало подписание 21 декабря 1991 года Алма-Атинской декларации, в которой излагались цели и принципы СНГ. В ней закреплялось положение о том, что взаимодействие участников организации «будет осуществляться на принципе равноправия через координирующие институты, формируемые на паритетной основе и действующие в порядке, определяемом соглашениями между участниками Содружества, которое не является ни государством, ни надгосударственным образованием». </w:t>
      </w:r>
    </w:p>
    <w:p w14:paraId="783EFE7B" w14:textId="77777777" w:rsidR="00750C78" w:rsidRPr="005C53F5" w:rsidRDefault="00750C78"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Нурсултан Назарбаев стал первым Президентом Казахстана наряду с формированием нового независимого государства и стоял в его главе до марта 2019 года, когда он объявил об отставке. Следующим Президентом Республики Казахстан был избран Касым-Жомарт Токаев, который выиграл президентские выборы 9 июня 2019 года с 70,96% голосов и продолжает возглавлять государство в настоящее время.</w:t>
      </w:r>
    </w:p>
    <w:p w14:paraId="1009D14E" w14:textId="278E36AF" w:rsidR="002D7CF7" w:rsidRPr="005C53F5" w:rsidRDefault="002D7CF7" w:rsidP="00057BE5">
      <w:pPr>
        <w:spacing w:after="0" w:line="240" w:lineRule="auto"/>
        <w:ind w:firstLine="708"/>
        <w:jc w:val="both"/>
        <w:rPr>
          <w:rFonts w:ascii="Times New Roman" w:hAnsi="Times New Roman" w:cs="Times New Roman"/>
          <w:i/>
          <w:sz w:val="24"/>
          <w:szCs w:val="24"/>
        </w:rPr>
      </w:pPr>
      <w:bookmarkStart w:id="27" w:name="_Toc521608791"/>
      <w:bookmarkStart w:id="28" w:name="_Toc533784474"/>
      <w:r w:rsidRPr="005C53F5">
        <w:rPr>
          <w:rFonts w:ascii="Times New Roman" w:hAnsi="Times New Roman" w:cs="Times New Roman"/>
          <w:i/>
          <w:sz w:val="24"/>
          <w:szCs w:val="24"/>
        </w:rPr>
        <w:t>О</w:t>
      </w:r>
      <w:r w:rsidR="007F68E4" w:rsidRPr="005C53F5">
        <w:rPr>
          <w:rFonts w:ascii="Times New Roman" w:hAnsi="Times New Roman" w:cs="Times New Roman"/>
          <w:i/>
          <w:sz w:val="24"/>
          <w:szCs w:val="24"/>
        </w:rPr>
        <w:t>сновные виды хозя</w:t>
      </w:r>
      <w:r w:rsidR="009C2BA4" w:rsidRPr="005C53F5">
        <w:rPr>
          <w:rFonts w:ascii="Times New Roman" w:hAnsi="Times New Roman" w:cs="Times New Roman"/>
          <w:i/>
          <w:sz w:val="24"/>
          <w:szCs w:val="24"/>
        </w:rPr>
        <w:t>йственной деятельности эмитента</w:t>
      </w:r>
      <w:bookmarkEnd w:id="27"/>
      <w:bookmarkEnd w:id="28"/>
      <w:r w:rsidRPr="005C53F5">
        <w:rPr>
          <w:rFonts w:ascii="Times New Roman" w:hAnsi="Times New Roman" w:cs="Times New Roman"/>
          <w:i/>
          <w:sz w:val="24"/>
          <w:szCs w:val="24"/>
        </w:rPr>
        <w:t xml:space="preserve"> </w:t>
      </w:r>
    </w:p>
    <w:p w14:paraId="35203BC9" w14:textId="4AA21280" w:rsidR="002D7CF7" w:rsidRPr="005C53F5" w:rsidRDefault="002D7CF7" w:rsidP="00057BE5">
      <w:pPr>
        <w:pStyle w:val="ConsPlusNormal"/>
        <w:ind w:firstLine="709"/>
        <w:jc w:val="both"/>
        <w:rPr>
          <w:rFonts w:ascii="Times New Roman" w:hAnsi="Times New Roman" w:cs="Times New Roman"/>
          <w:b/>
          <w:sz w:val="24"/>
          <w:szCs w:val="24"/>
        </w:rPr>
      </w:pPr>
      <w:bookmarkStart w:id="29" w:name="_Toc521608792"/>
      <w:bookmarkStart w:id="30" w:name="_Toc533784475"/>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29"/>
      <w:bookmarkEnd w:id="30"/>
    </w:p>
    <w:p w14:paraId="3B9EFD0F" w14:textId="6061F499" w:rsidR="007F68E4" w:rsidRPr="005C53F5" w:rsidRDefault="007F68E4" w:rsidP="00057BE5">
      <w:pPr>
        <w:pStyle w:val="ConsPlusNormal"/>
        <w:ind w:firstLine="709"/>
        <w:jc w:val="both"/>
        <w:rPr>
          <w:rFonts w:ascii="Times New Roman" w:hAnsi="Times New Roman" w:cs="Times New Roman"/>
          <w:b/>
          <w:i/>
          <w:sz w:val="24"/>
          <w:szCs w:val="24"/>
          <w:u w:val="single"/>
        </w:rPr>
      </w:pPr>
      <w:bookmarkStart w:id="31" w:name="_Toc521608793"/>
      <w:bookmarkStart w:id="32" w:name="_Toc533784476"/>
      <w:r w:rsidRPr="005C53F5">
        <w:rPr>
          <w:rFonts w:ascii="Times New Roman" w:hAnsi="Times New Roman" w:cs="Times New Roman"/>
          <w:b/>
          <w:i/>
          <w:sz w:val="24"/>
          <w:szCs w:val="24"/>
          <w:u w:val="single"/>
        </w:rPr>
        <w:t>б) основные сведения о размещаемых эмитентом ценных бумагах, в отношении которых осуществляется регистрация проспекта: вид, категория (тип), серия (для облигаций) и иные идентификационные признаки ценных бумаг, количество размещаемых ценных бумаг, номинальная стоимость (в случае если наличие номинальной стоимости предусмотрено законодательством Российской Федерации), порядок и сроки размещения (дата начала, дата окончания размещения или порядок их определения), цена размещения или порядок ее определения, условия обеспечения (для облигаций с обеспечением), условия конвертации (д</w:t>
      </w:r>
      <w:r w:rsidR="009C2BA4" w:rsidRPr="005C53F5">
        <w:rPr>
          <w:rFonts w:ascii="Times New Roman" w:hAnsi="Times New Roman" w:cs="Times New Roman"/>
          <w:b/>
          <w:i/>
          <w:sz w:val="24"/>
          <w:szCs w:val="24"/>
          <w:u w:val="single"/>
        </w:rPr>
        <w:t>ля конвертируемых ценных бумаг):</w:t>
      </w:r>
      <w:bookmarkEnd w:id="31"/>
      <w:bookmarkEnd w:id="32"/>
    </w:p>
    <w:p w14:paraId="4C71D7DF" w14:textId="77777777" w:rsidR="00915413" w:rsidRPr="005C53F5" w:rsidRDefault="00915413"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01:</w:t>
      </w:r>
    </w:p>
    <w:p w14:paraId="07A64B7F" w14:textId="4EE09634" w:rsidR="00915413" w:rsidRPr="005C53F5" w:rsidRDefault="00915413"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Вид, категория (тип), серия (для облигаций) и иные идентификационные признаки ценных бумаг:</w:t>
      </w:r>
    </w:p>
    <w:p w14:paraId="38CDFEBE" w14:textId="77777777" w:rsidR="00915413" w:rsidRPr="005C53F5" w:rsidRDefault="00915413"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01</w:t>
      </w:r>
    </w:p>
    <w:p w14:paraId="0DFB1675" w14:textId="72A7578A" w:rsidR="00915413" w:rsidRPr="005C53F5" w:rsidRDefault="00915413"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70B61144" w14:textId="6C59D6F3" w:rsidR="00915413" w:rsidRPr="005C53F5" w:rsidRDefault="00915413" w:rsidP="00057BE5">
      <w:pPr>
        <w:pStyle w:val="ConsPlusNormal"/>
        <w:ind w:firstLine="709"/>
        <w:rPr>
          <w:rFonts w:ascii="Times New Roman" w:hAnsi="Times New Roman" w:cs="Times New Roman"/>
          <w:iCs/>
          <w:sz w:val="24"/>
          <w:szCs w:val="24"/>
        </w:rPr>
      </w:pPr>
      <w:r w:rsidRPr="005C53F5">
        <w:rPr>
          <w:rFonts w:ascii="Times New Roman" w:hAnsi="Times New Roman" w:cs="Times New Roman"/>
          <w:iCs/>
          <w:sz w:val="24"/>
          <w:szCs w:val="24"/>
        </w:rPr>
        <w:lastRenderedPageBreak/>
        <w:t>20 000 000 (двадцать миллионов) штук</w:t>
      </w:r>
    </w:p>
    <w:p w14:paraId="52391C3B" w14:textId="5F81FFF6" w:rsidR="00915413" w:rsidRPr="005C53F5" w:rsidRDefault="00915413"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Номинальная стоимость:</w:t>
      </w:r>
    </w:p>
    <w:p w14:paraId="0C874140" w14:textId="73FCDDCB" w:rsidR="00E33AD4" w:rsidRPr="005C53F5" w:rsidRDefault="00915413"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2E909C18" w14:textId="6D6479AB" w:rsidR="00915413" w:rsidRPr="005C53F5" w:rsidRDefault="00915413"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02:</w:t>
      </w:r>
    </w:p>
    <w:p w14:paraId="7CC1138B" w14:textId="77777777" w:rsidR="00915413" w:rsidRPr="005C53F5" w:rsidRDefault="00915413"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Вид, категория (тип), серия (для облигаций) и иные идентификационные признаки ценных бумаг:</w:t>
      </w:r>
    </w:p>
    <w:p w14:paraId="1617AFA3" w14:textId="0B44AC79" w:rsidR="00915413" w:rsidRPr="005C53F5" w:rsidRDefault="00915413"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02</w:t>
      </w:r>
    </w:p>
    <w:p w14:paraId="25B9C8AC" w14:textId="77777777" w:rsidR="00915413" w:rsidRPr="005C53F5" w:rsidRDefault="00915413"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63543AC2" w14:textId="77777777" w:rsidR="00915413" w:rsidRPr="005C53F5" w:rsidRDefault="00915413" w:rsidP="00057BE5">
      <w:pPr>
        <w:pStyle w:val="ConsPlusNormal"/>
        <w:ind w:firstLine="709"/>
        <w:rPr>
          <w:rFonts w:ascii="Times New Roman" w:hAnsi="Times New Roman" w:cs="Times New Roman"/>
          <w:iCs/>
          <w:sz w:val="24"/>
          <w:szCs w:val="24"/>
        </w:rPr>
      </w:pPr>
      <w:r w:rsidRPr="005C53F5">
        <w:rPr>
          <w:rFonts w:ascii="Times New Roman" w:hAnsi="Times New Roman" w:cs="Times New Roman"/>
          <w:iCs/>
          <w:sz w:val="24"/>
          <w:szCs w:val="24"/>
        </w:rPr>
        <w:t>20 000 000 (двадцать миллионов) штук</w:t>
      </w:r>
    </w:p>
    <w:p w14:paraId="315F213C" w14:textId="14A554CD" w:rsidR="00915413" w:rsidRPr="005C53F5" w:rsidRDefault="00915413"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Номинальная стоимость:</w:t>
      </w:r>
    </w:p>
    <w:p w14:paraId="298ABED5" w14:textId="77777777" w:rsidR="00915413" w:rsidRPr="005C53F5" w:rsidRDefault="00915413"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72713EA0" w14:textId="65BDA494" w:rsidR="00E46880" w:rsidRPr="005C53F5" w:rsidRDefault="00E46880"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03:</w:t>
      </w:r>
    </w:p>
    <w:p w14:paraId="7D7C69B2"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Вид, категория (тип), серия (для облигаций) и иные идентификационные признаки ценных бумаг:</w:t>
      </w:r>
    </w:p>
    <w:p w14:paraId="28EFCF52" w14:textId="0D3A40B2" w:rsidR="00E46880" w:rsidRPr="005C53F5" w:rsidRDefault="00E46880"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03</w:t>
      </w:r>
    </w:p>
    <w:p w14:paraId="12F147CC"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4D5C09C4" w14:textId="0810133D" w:rsidR="00E46880" w:rsidRPr="005C53F5" w:rsidRDefault="00E46880" w:rsidP="00057BE5">
      <w:pPr>
        <w:pStyle w:val="ConsPlusNormal"/>
        <w:ind w:firstLine="709"/>
        <w:rPr>
          <w:rFonts w:ascii="Times New Roman" w:hAnsi="Times New Roman" w:cs="Times New Roman"/>
          <w:iCs/>
          <w:sz w:val="24"/>
          <w:szCs w:val="24"/>
        </w:rPr>
      </w:pPr>
      <w:r w:rsidRPr="005C53F5">
        <w:rPr>
          <w:rFonts w:ascii="Times New Roman" w:hAnsi="Times New Roman" w:cs="Times New Roman"/>
          <w:iCs/>
          <w:sz w:val="24"/>
          <w:szCs w:val="24"/>
        </w:rPr>
        <w:t>10 000 000 (десять миллионов) штук</w:t>
      </w:r>
    </w:p>
    <w:p w14:paraId="5EEF87EE" w14:textId="5BFCB6D6"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Номинальная стоимость:</w:t>
      </w:r>
    </w:p>
    <w:p w14:paraId="50960128" w14:textId="263EAC99" w:rsidR="00915413" w:rsidRPr="005C53F5" w:rsidRDefault="00E46880"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54FC4476" w14:textId="576F058B" w:rsidR="00E46880" w:rsidRPr="005C53F5" w:rsidRDefault="00E46880"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04:</w:t>
      </w:r>
    </w:p>
    <w:p w14:paraId="6CDB403A"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Вид, категория (тип), серия (для облигаций) и иные идентификационные признаки ценных бумаг:</w:t>
      </w:r>
    </w:p>
    <w:p w14:paraId="323BD759" w14:textId="5227A852" w:rsidR="00E46880" w:rsidRPr="005C53F5" w:rsidRDefault="00E46880"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04</w:t>
      </w:r>
    </w:p>
    <w:p w14:paraId="3CC148EC"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5E176C89" w14:textId="77777777" w:rsidR="00E46880" w:rsidRPr="005C53F5" w:rsidRDefault="00E46880" w:rsidP="00057BE5">
      <w:pPr>
        <w:pStyle w:val="ConsPlusNormal"/>
        <w:ind w:firstLine="709"/>
        <w:rPr>
          <w:rFonts w:ascii="Times New Roman" w:hAnsi="Times New Roman" w:cs="Times New Roman"/>
          <w:iCs/>
          <w:sz w:val="24"/>
          <w:szCs w:val="24"/>
        </w:rPr>
      </w:pPr>
      <w:r w:rsidRPr="005C53F5">
        <w:rPr>
          <w:rFonts w:ascii="Times New Roman" w:hAnsi="Times New Roman" w:cs="Times New Roman"/>
          <w:iCs/>
          <w:sz w:val="24"/>
          <w:szCs w:val="24"/>
        </w:rPr>
        <w:t>10 000 000 (десять миллионов) штук</w:t>
      </w:r>
    </w:p>
    <w:p w14:paraId="43ABA5B3" w14:textId="3E3BA6FA"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Номинальная стоимость:</w:t>
      </w:r>
    </w:p>
    <w:p w14:paraId="2B00AD61" w14:textId="77777777" w:rsidR="00E46880" w:rsidRPr="005C53F5" w:rsidRDefault="00E46880"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56713D29" w14:textId="3A366993" w:rsidR="00E46880" w:rsidRPr="005C53F5" w:rsidRDefault="00E46880"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05:</w:t>
      </w:r>
    </w:p>
    <w:p w14:paraId="514432E6"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Вид, категория (тип), серия (для облигаций) и иные идентификационные признаки ценных бумаг:</w:t>
      </w:r>
    </w:p>
    <w:p w14:paraId="406175B3" w14:textId="5965B838" w:rsidR="00E46880" w:rsidRPr="005C53F5" w:rsidRDefault="00E46880"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05</w:t>
      </w:r>
    </w:p>
    <w:p w14:paraId="75ED2D30"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26EB907C" w14:textId="77777777" w:rsidR="00E46880" w:rsidRPr="005C53F5" w:rsidRDefault="00E46880" w:rsidP="00057BE5">
      <w:pPr>
        <w:pStyle w:val="ConsPlusNormal"/>
        <w:ind w:firstLine="709"/>
        <w:rPr>
          <w:rFonts w:ascii="Times New Roman" w:hAnsi="Times New Roman" w:cs="Times New Roman"/>
          <w:iCs/>
          <w:sz w:val="24"/>
          <w:szCs w:val="24"/>
        </w:rPr>
      </w:pPr>
      <w:r w:rsidRPr="005C53F5">
        <w:rPr>
          <w:rFonts w:ascii="Times New Roman" w:hAnsi="Times New Roman" w:cs="Times New Roman"/>
          <w:iCs/>
          <w:sz w:val="24"/>
          <w:szCs w:val="24"/>
        </w:rPr>
        <w:t>10 000 000 (десять миллионов) штук</w:t>
      </w:r>
    </w:p>
    <w:p w14:paraId="3612BD3D" w14:textId="1181A794"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Номинальная стоимость:</w:t>
      </w:r>
    </w:p>
    <w:p w14:paraId="07F29EFC" w14:textId="77777777" w:rsidR="00E46880" w:rsidRPr="005C53F5" w:rsidRDefault="00E46880"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6585A528" w14:textId="03C6AA60" w:rsidR="00E46880" w:rsidRPr="005C53F5" w:rsidRDefault="00E46880"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06:</w:t>
      </w:r>
    </w:p>
    <w:p w14:paraId="531DE58B"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Вид, категория (тип), серия (для облигаций) и иные идентификационные признаки ценных бумаг:</w:t>
      </w:r>
    </w:p>
    <w:p w14:paraId="3CFBE28F" w14:textId="6F4BA20A" w:rsidR="00E46880" w:rsidRPr="005C53F5" w:rsidRDefault="00E46880"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06</w:t>
      </w:r>
    </w:p>
    <w:p w14:paraId="262F525B"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00772EB3" w14:textId="581294E8" w:rsidR="00E46880" w:rsidRPr="005C53F5" w:rsidRDefault="00E46880" w:rsidP="00057BE5">
      <w:pPr>
        <w:pStyle w:val="ConsPlusNormal"/>
        <w:ind w:firstLine="709"/>
        <w:rPr>
          <w:rFonts w:ascii="Times New Roman" w:hAnsi="Times New Roman" w:cs="Times New Roman"/>
          <w:iCs/>
          <w:sz w:val="24"/>
          <w:szCs w:val="24"/>
        </w:rPr>
      </w:pPr>
      <w:r w:rsidRPr="005C53F5">
        <w:rPr>
          <w:rFonts w:ascii="Times New Roman" w:hAnsi="Times New Roman" w:cs="Times New Roman"/>
          <w:iCs/>
          <w:sz w:val="24"/>
          <w:szCs w:val="24"/>
        </w:rPr>
        <w:t>15 000</w:t>
      </w:r>
      <w:r w:rsidRPr="005C53F5">
        <w:rPr>
          <w:rFonts w:ascii="Times New Roman" w:hAnsi="Times New Roman" w:cs="Times New Roman"/>
          <w:bCs/>
          <w:iCs/>
          <w:sz w:val="24"/>
          <w:szCs w:val="24"/>
        </w:rPr>
        <w:t> </w:t>
      </w:r>
      <w:r w:rsidRPr="005C53F5">
        <w:rPr>
          <w:rFonts w:ascii="Times New Roman" w:hAnsi="Times New Roman" w:cs="Times New Roman"/>
          <w:iCs/>
          <w:sz w:val="24"/>
          <w:szCs w:val="24"/>
        </w:rPr>
        <w:t>000 (пятнадцать миллионов) штук</w:t>
      </w:r>
    </w:p>
    <w:p w14:paraId="774740FF" w14:textId="36069BAD"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Номинальная стоимость:</w:t>
      </w:r>
    </w:p>
    <w:p w14:paraId="03956AC8" w14:textId="77777777" w:rsidR="00E46880" w:rsidRPr="005C53F5" w:rsidRDefault="00E46880"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1F9188B9" w14:textId="69531F88" w:rsidR="00E46880" w:rsidRPr="005C53F5" w:rsidRDefault="00E46880"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07:</w:t>
      </w:r>
    </w:p>
    <w:p w14:paraId="2D36DBBA"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 xml:space="preserve">Вид, категория (тип), серия (для облигаций) и иные идентификационные признаки </w:t>
      </w:r>
      <w:r w:rsidRPr="005C53F5">
        <w:rPr>
          <w:rFonts w:ascii="Times New Roman" w:hAnsi="Times New Roman" w:cs="Times New Roman"/>
          <w:i/>
          <w:iCs/>
          <w:sz w:val="24"/>
          <w:szCs w:val="24"/>
        </w:rPr>
        <w:lastRenderedPageBreak/>
        <w:t>ценных бумаг:</w:t>
      </w:r>
    </w:p>
    <w:p w14:paraId="2C984317" w14:textId="18A62AD1" w:rsidR="00E46880" w:rsidRPr="005C53F5" w:rsidRDefault="00E46880"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07</w:t>
      </w:r>
    </w:p>
    <w:p w14:paraId="68529EFF"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2B6FC78C" w14:textId="77777777" w:rsidR="00E46880" w:rsidRPr="005C53F5" w:rsidRDefault="00E46880" w:rsidP="00057BE5">
      <w:pPr>
        <w:pStyle w:val="ConsPlusNormal"/>
        <w:ind w:firstLine="709"/>
        <w:jc w:val="both"/>
        <w:rPr>
          <w:rFonts w:ascii="Times New Roman" w:hAnsi="Times New Roman" w:cs="Times New Roman"/>
          <w:iCs/>
          <w:sz w:val="24"/>
          <w:szCs w:val="24"/>
        </w:rPr>
      </w:pPr>
      <w:r w:rsidRPr="005C53F5">
        <w:rPr>
          <w:rFonts w:ascii="Times New Roman" w:hAnsi="Times New Roman" w:cs="Times New Roman"/>
          <w:iCs/>
          <w:sz w:val="24"/>
          <w:szCs w:val="24"/>
        </w:rPr>
        <w:t>10 000 000 (десять миллионов) штук</w:t>
      </w:r>
    </w:p>
    <w:p w14:paraId="5E196F41" w14:textId="368F1D8E"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Номинальная стоимость:</w:t>
      </w:r>
    </w:p>
    <w:p w14:paraId="10CDF03A" w14:textId="77777777" w:rsidR="00E46880" w:rsidRPr="005C53F5" w:rsidRDefault="00E46880"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704314CF" w14:textId="5EDEAF21" w:rsidR="00E46880" w:rsidRPr="005C53F5" w:rsidRDefault="00E46880"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08:</w:t>
      </w:r>
    </w:p>
    <w:p w14:paraId="58823BB0"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Вид, категория (тип), серия (для облигаций) и иные идентификационные признаки ценных бумаг:</w:t>
      </w:r>
    </w:p>
    <w:p w14:paraId="1738BDC2" w14:textId="0B456BE1" w:rsidR="00E46880" w:rsidRPr="005C53F5" w:rsidRDefault="00E46880"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08</w:t>
      </w:r>
    </w:p>
    <w:p w14:paraId="76D487C0"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5268CD81" w14:textId="77777777" w:rsidR="00E46880" w:rsidRPr="005C53F5" w:rsidRDefault="00E46880" w:rsidP="00057BE5">
      <w:pPr>
        <w:pStyle w:val="ConsPlusNormal"/>
        <w:ind w:firstLine="709"/>
        <w:jc w:val="both"/>
        <w:rPr>
          <w:rFonts w:ascii="Times New Roman" w:hAnsi="Times New Roman" w:cs="Times New Roman"/>
          <w:iCs/>
          <w:sz w:val="24"/>
          <w:szCs w:val="24"/>
        </w:rPr>
      </w:pPr>
      <w:r w:rsidRPr="005C53F5">
        <w:rPr>
          <w:rFonts w:ascii="Times New Roman" w:hAnsi="Times New Roman" w:cs="Times New Roman"/>
          <w:iCs/>
          <w:sz w:val="24"/>
          <w:szCs w:val="24"/>
        </w:rPr>
        <w:t>10 000 000 (десять миллионов) штук</w:t>
      </w:r>
    </w:p>
    <w:p w14:paraId="19A0B857" w14:textId="2B6DA508"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Номинальная стоимость:</w:t>
      </w:r>
    </w:p>
    <w:p w14:paraId="45CC995A" w14:textId="77777777" w:rsidR="00E46880" w:rsidRPr="005C53F5" w:rsidRDefault="00E46880"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53B763BF" w14:textId="162A75B5" w:rsidR="00E46880" w:rsidRPr="005C53F5" w:rsidRDefault="00E46880"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09:</w:t>
      </w:r>
    </w:p>
    <w:p w14:paraId="3D7A7492"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Вид, категория (тип), серия (для облигаций) и иные идентификационные признаки ценных бумаг:</w:t>
      </w:r>
    </w:p>
    <w:p w14:paraId="1DD6EB3E" w14:textId="6D53E491" w:rsidR="00E46880" w:rsidRPr="005C53F5" w:rsidRDefault="00E46880"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09</w:t>
      </w:r>
    </w:p>
    <w:p w14:paraId="590B7A12"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2856E87F" w14:textId="77777777" w:rsidR="00E46880" w:rsidRPr="005C53F5" w:rsidRDefault="00E46880" w:rsidP="00057BE5">
      <w:pPr>
        <w:pStyle w:val="ConsPlusNormal"/>
        <w:ind w:firstLine="709"/>
        <w:jc w:val="both"/>
        <w:rPr>
          <w:rFonts w:ascii="Times New Roman" w:hAnsi="Times New Roman" w:cs="Times New Roman"/>
          <w:iCs/>
          <w:sz w:val="24"/>
          <w:szCs w:val="24"/>
        </w:rPr>
      </w:pPr>
      <w:r w:rsidRPr="005C53F5">
        <w:rPr>
          <w:rFonts w:ascii="Times New Roman" w:hAnsi="Times New Roman" w:cs="Times New Roman"/>
          <w:iCs/>
          <w:sz w:val="24"/>
          <w:szCs w:val="24"/>
        </w:rPr>
        <w:t>10 000 000 (десять миллионов) штук</w:t>
      </w:r>
    </w:p>
    <w:p w14:paraId="29220F74" w14:textId="2860F295"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Номинальная стоимость:</w:t>
      </w:r>
    </w:p>
    <w:p w14:paraId="1AB79B47" w14:textId="77777777" w:rsidR="00E46880" w:rsidRPr="005C53F5" w:rsidRDefault="00E46880"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50E6674E" w14:textId="2F45608A" w:rsidR="00E46880" w:rsidRPr="005C53F5" w:rsidRDefault="00E46880"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10:</w:t>
      </w:r>
    </w:p>
    <w:p w14:paraId="32160CDA"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Вид, категория (тип), серия (для облигаций) и иные идентификационные признаки ценных бумаг:</w:t>
      </w:r>
    </w:p>
    <w:p w14:paraId="12F7E828" w14:textId="6601CA48" w:rsidR="00E46880" w:rsidRPr="005C53F5" w:rsidRDefault="00E46880"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10</w:t>
      </w:r>
    </w:p>
    <w:p w14:paraId="4B91FBA8"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3A702D8E" w14:textId="77777777" w:rsidR="00E46880" w:rsidRPr="005C53F5" w:rsidRDefault="00E46880" w:rsidP="00057BE5">
      <w:pPr>
        <w:pStyle w:val="ConsPlusNormal"/>
        <w:ind w:firstLine="709"/>
        <w:rPr>
          <w:rFonts w:ascii="Times New Roman" w:hAnsi="Times New Roman" w:cs="Times New Roman"/>
          <w:iCs/>
          <w:sz w:val="24"/>
          <w:szCs w:val="24"/>
        </w:rPr>
      </w:pPr>
      <w:r w:rsidRPr="005C53F5">
        <w:rPr>
          <w:rFonts w:ascii="Times New Roman" w:hAnsi="Times New Roman" w:cs="Times New Roman"/>
          <w:iCs/>
          <w:sz w:val="24"/>
          <w:szCs w:val="24"/>
        </w:rPr>
        <w:t>15 000</w:t>
      </w:r>
      <w:r w:rsidRPr="005C53F5">
        <w:rPr>
          <w:rFonts w:ascii="Times New Roman" w:hAnsi="Times New Roman" w:cs="Times New Roman"/>
          <w:bCs/>
          <w:iCs/>
          <w:sz w:val="24"/>
          <w:szCs w:val="24"/>
        </w:rPr>
        <w:t> </w:t>
      </w:r>
      <w:r w:rsidRPr="005C53F5">
        <w:rPr>
          <w:rFonts w:ascii="Times New Roman" w:hAnsi="Times New Roman" w:cs="Times New Roman"/>
          <w:iCs/>
          <w:sz w:val="24"/>
          <w:szCs w:val="24"/>
        </w:rPr>
        <w:t>000 (пятнадцать миллионов) штук</w:t>
      </w:r>
    </w:p>
    <w:p w14:paraId="7C906C09" w14:textId="2A470D54"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Номинальная стоимость:</w:t>
      </w:r>
    </w:p>
    <w:p w14:paraId="4B8D921A" w14:textId="77777777" w:rsidR="00E46880" w:rsidRPr="005C53F5" w:rsidRDefault="00E46880"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26969C3E" w14:textId="31A55E03" w:rsidR="00E46880" w:rsidRPr="005C53F5" w:rsidRDefault="00E46880"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11:</w:t>
      </w:r>
    </w:p>
    <w:p w14:paraId="7AF4BADB"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Вид, категория (тип), серия (для облигаций) и иные идентификационные признаки ценных бумаг:</w:t>
      </w:r>
    </w:p>
    <w:p w14:paraId="19B15694" w14:textId="19C97A4F" w:rsidR="00E46880" w:rsidRPr="005C53F5" w:rsidRDefault="00E46880"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11</w:t>
      </w:r>
    </w:p>
    <w:p w14:paraId="43531859"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65D9EB17" w14:textId="77777777" w:rsidR="00E46880" w:rsidRPr="005C53F5" w:rsidRDefault="00E46880" w:rsidP="00057BE5">
      <w:pPr>
        <w:pStyle w:val="ConsPlusNormal"/>
        <w:ind w:firstLine="709"/>
        <w:jc w:val="both"/>
        <w:rPr>
          <w:rFonts w:ascii="Times New Roman" w:hAnsi="Times New Roman" w:cs="Times New Roman"/>
          <w:iCs/>
          <w:sz w:val="24"/>
          <w:szCs w:val="24"/>
        </w:rPr>
      </w:pPr>
      <w:r w:rsidRPr="005C53F5">
        <w:rPr>
          <w:rFonts w:ascii="Times New Roman" w:hAnsi="Times New Roman" w:cs="Times New Roman"/>
          <w:iCs/>
          <w:sz w:val="24"/>
          <w:szCs w:val="24"/>
        </w:rPr>
        <w:t>10 000 000 (десять миллионов) штук</w:t>
      </w:r>
    </w:p>
    <w:p w14:paraId="741CCC9C" w14:textId="02D72922"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Номинальная стоимость:</w:t>
      </w:r>
    </w:p>
    <w:p w14:paraId="473F9D13" w14:textId="0FE27529" w:rsidR="00E46880" w:rsidRPr="005C53F5" w:rsidRDefault="00E46880"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52245DEF" w14:textId="40BC71A3" w:rsidR="00E46880" w:rsidRPr="005C53F5" w:rsidRDefault="00E46880"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12:</w:t>
      </w:r>
    </w:p>
    <w:p w14:paraId="58348964"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Вид, категория (тип), серия (для облигаций) и иные идентификационные признаки ценных бумаг:</w:t>
      </w:r>
    </w:p>
    <w:p w14:paraId="7287ACEC" w14:textId="41DBD663" w:rsidR="00E46880" w:rsidRPr="005C53F5" w:rsidRDefault="00E46880"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12</w:t>
      </w:r>
    </w:p>
    <w:p w14:paraId="5A01D3A4"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132128CD" w14:textId="77777777" w:rsidR="00E46880" w:rsidRPr="005C53F5" w:rsidRDefault="00E46880" w:rsidP="00057BE5">
      <w:pPr>
        <w:pStyle w:val="ConsPlusNormal"/>
        <w:ind w:firstLine="709"/>
        <w:jc w:val="both"/>
        <w:rPr>
          <w:rFonts w:ascii="Times New Roman" w:hAnsi="Times New Roman" w:cs="Times New Roman"/>
          <w:iCs/>
          <w:sz w:val="24"/>
          <w:szCs w:val="24"/>
        </w:rPr>
      </w:pPr>
      <w:r w:rsidRPr="005C53F5">
        <w:rPr>
          <w:rFonts w:ascii="Times New Roman" w:hAnsi="Times New Roman" w:cs="Times New Roman"/>
          <w:iCs/>
          <w:sz w:val="24"/>
          <w:szCs w:val="24"/>
        </w:rPr>
        <w:t>10 000 000 (десять миллионов) штук</w:t>
      </w:r>
    </w:p>
    <w:p w14:paraId="7A26FB5D" w14:textId="415DF6A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lastRenderedPageBreak/>
        <w:t>Номинальная стоимость:</w:t>
      </w:r>
    </w:p>
    <w:p w14:paraId="6165F8CC" w14:textId="44861625" w:rsidR="00E46880" w:rsidRPr="005C53F5" w:rsidRDefault="00E46880"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3EAD53E9" w14:textId="496645D9" w:rsidR="00E46880" w:rsidRPr="005C53F5" w:rsidRDefault="00E46880"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13:</w:t>
      </w:r>
    </w:p>
    <w:p w14:paraId="1A78ED5C"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Вид, категория (тип), серия (для облигаций) и иные идентификационные признаки ценных бумаг:</w:t>
      </w:r>
    </w:p>
    <w:p w14:paraId="2C36A27D" w14:textId="56738CE5" w:rsidR="00E46880" w:rsidRPr="005C53F5" w:rsidRDefault="00E46880"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13</w:t>
      </w:r>
    </w:p>
    <w:p w14:paraId="47045480"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0C2A8A18" w14:textId="77777777" w:rsidR="00E46880" w:rsidRPr="005C53F5" w:rsidRDefault="00E46880" w:rsidP="00057BE5">
      <w:pPr>
        <w:pStyle w:val="ConsPlusNormal"/>
        <w:ind w:firstLine="709"/>
        <w:jc w:val="both"/>
        <w:rPr>
          <w:rFonts w:ascii="Times New Roman" w:hAnsi="Times New Roman" w:cs="Times New Roman"/>
          <w:iCs/>
          <w:sz w:val="24"/>
          <w:szCs w:val="24"/>
        </w:rPr>
      </w:pPr>
      <w:r w:rsidRPr="005C53F5">
        <w:rPr>
          <w:rFonts w:ascii="Times New Roman" w:hAnsi="Times New Roman" w:cs="Times New Roman"/>
          <w:iCs/>
          <w:sz w:val="24"/>
          <w:szCs w:val="24"/>
        </w:rPr>
        <w:t>10 000 000 (десять миллионов) штук</w:t>
      </w:r>
    </w:p>
    <w:p w14:paraId="57007B28" w14:textId="5410A12E"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Номинальная стоимость:</w:t>
      </w:r>
    </w:p>
    <w:p w14:paraId="29BC7A52" w14:textId="48818F76" w:rsidR="00E46880" w:rsidRPr="005C53F5" w:rsidRDefault="00E46880"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1DCD1969" w14:textId="72409B66" w:rsidR="00E46880" w:rsidRPr="005C53F5" w:rsidRDefault="00E46880"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14:</w:t>
      </w:r>
    </w:p>
    <w:p w14:paraId="60548A77"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Вид, категория (тип), серия (для облигаций) и иные идентификационные признаки ценных бумаг:</w:t>
      </w:r>
    </w:p>
    <w:p w14:paraId="2650CF59" w14:textId="318482EF" w:rsidR="00E46880" w:rsidRPr="005C53F5" w:rsidRDefault="00E46880"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14</w:t>
      </w:r>
    </w:p>
    <w:p w14:paraId="052F5430" w14:textId="77777777"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Количество размещаемых ценных бумаг:</w:t>
      </w:r>
    </w:p>
    <w:p w14:paraId="03BD7A87" w14:textId="77777777" w:rsidR="00E46880" w:rsidRPr="005C53F5" w:rsidRDefault="00E46880" w:rsidP="00057BE5">
      <w:pPr>
        <w:pStyle w:val="ConsPlusNormal"/>
        <w:ind w:firstLine="709"/>
        <w:jc w:val="both"/>
        <w:rPr>
          <w:rFonts w:ascii="Times New Roman" w:hAnsi="Times New Roman" w:cs="Times New Roman"/>
          <w:iCs/>
          <w:sz w:val="24"/>
          <w:szCs w:val="24"/>
        </w:rPr>
      </w:pPr>
      <w:r w:rsidRPr="005C53F5">
        <w:rPr>
          <w:rFonts w:ascii="Times New Roman" w:hAnsi="Times New Roman" w:cs="Times New Roman"/>
          <w:iCs/>
          <w:sz w:val="24"/>
          <w:szCs w:val="24"/>
        </w:rPr>
        <w:t>10 000 000 (десять миллионов) штук</w:t>
      </w:r>
    </w:p>
    <w:p w14:paraId="17122C4A" w14:textId="47FCEFEB" w:rsidR="00E46880" w:rsidRPr="005C53F5" w:rsidRDefault="00E46880"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Номинальная стоимость:</w:t>
      </w:r>
    </w:p>
    <w:p w14:paraId="29F10156" w14:textId="2F39E2E8" w:rsidR="00E46880" w:rsidRPr="005C53F5" w:rsidRDefault="00E46880"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1 000 (одна тысяча) российских рублей каждая</w:t>
      </w:r>
    </w:p>
    <w:p w14:paraId="1D58A5A4" w14:textId="77777777" w:rsidR="00E46880" w:rsidRPr="005C53F5" w:rsidRDefault="00E46880" w:rsidP="00057BE5">
      <w:pPr>
        <w:pStyle w:val="ConsPlusNormal"/>
        <w:ind w:firstLine="709"/>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264C24E3" w14:textId="038B43A9" w:rsidR="00E46880" w:rsidRPr="005C53F5" w:rsidRDefault="00E46880" w:rsidP="00057BE5">
      <w:pPr>
        <w:pStyle w:val="ConsPlusNormal"/>
        <w:ind w:firstLine="709"/>
        <w:jc w:val="both"/>
        <w:rPr>
          <w:rFonts w:ascii="Times New Roman" w:hAnsi="Times New Roman" w:cs="Times New Roman"/>
          <w:i/>
          <w:iCs/>
          <w:sz w:val="24"/>
        </w:rPr>
      </w:pPr>
      <w:r w:rsidRPr="005C53F5">
        <w:rPr>
          <w:rFonts w:ascii="Times New Roman" w:hAnsi="Times New Roman" w:cs="Times New Roman"/>
          <w:i/>
          <w:iCs/>
          <w:sz w:val="24"/>
        </w:rPr>
        <w:t>Порядок размещения ценных бумаг:</w:t>
      </w:r>
    </w:p>
    <w:p w14:paraId="352C7ABC" w14:textId="77777777" w:rsidR="00A61372" w:rsidRPr="005C53F5" w:rsidRDefault="00A61372"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Размещение Облигаций предполагается осуществлять как на территории Российской Федерации, так и за пределами Российской Федерации. </w:t>
      </w:r>
    </w:p>
    <w:p w14:paraId="066D5D3C" w14:textId="77777777" w:rsidR="00A61372" w:rsidRPr="005C53F5" w:rsidRDefault="00A61372"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Условия и порядок размещения Облигаций на территории Российской Федерации определяются в настоящем Проспекте ценных бумаг.</w:t>
      </w:r>
    </w:p>
    <w:p w14:paraId="2C9E7F98" w14:textId="483357C2" w:rsidR="00A61372" w:rsidRPr="005C53F5" w:rsidRDefault="00A61372"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Размещение Облигаций за пределами Российской Федерации предполагается осуществить на </w:t>
      </w:r>
      <w:r w:rsidR="00913D4D" w:rsidRPr="005C53F5">
        <w:rPr>
          <w:rFonts w:ascii="Times New Roman" w:hAnsi="Times New Roman" w:cs="Times New Roman"/>
          <w:bCs/>
          <w:iCs/>
          <w:sz w:val="24"/>
          <w:lang w:val="en-US"/>
        </w:rPr>
        <w:t>AIX</w:t>
      </w:r>
      <w:r w:rsidRPr="005C53F5">
        <w:rPr>
          <w:rFonts w:ascii="Times New Roman" w:hAnsi="Times New Roman" w:cs="Times New Roman"/>
          <w:bCs/>
          <w:iCs/>
          <w:sz w:val="24"/>
        </w:rPr>
        <w:t>.</w:t>
      </w:r>
    </w:p>
    <w:p w14:paraId="5D8EE20C" w14:textId="343650F8" w:rsidR="00D77515" w:rsidRPr="005C53F5" w:rsidRDefault="00D77515"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Условия и порядок размещения Облигаций на AIX определяются в соответствии с отдельным документом (Offer Document), который должен быть представлен Эмитентом на AIX, правилами AIX (AIX Business Rules) и применимыми требованиями законодательства Республики Казахстан, включая действующее право Международного финансового центра «Астана».</w:t>
      </w:r>
    </w:p>
    <w:p w14:paraId="6CD74457"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Порядок и условия заключения договоров, направленных на отчуждение ценных бумаг первым владельцам в ходе их размещения (форма и способ заключения договоров, место и момент их заключения, а если заключение договоров осуществляется посредством подачи и удовлетворения заявок - порядок и способ подачи (направления) заявок, требования к содержанию заявок и срок их рассмотрения, способ и срок направления уведомлений (сообщений) об удовлетворении (об отказе в удовлетворении) заявок):</w:t>
      </w:r>
    </w:p>
    <w:p w14:paraId="1965AD8D"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Сделки, заключаемые при размещении Облигаций на Бирже, подчиняются праву Российской Федерации.</w:t>
      </w:r>
    </w:p>
    <w:p w14:paraId="6CBFBC15"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Размещение Облигаций проводится путем заключения сделок купли - продажи по цене размещения Облигаций, установленной в пункте 8.8.4 Проспекта ценных бумаг (далее – «</w:t>
      </w:r>
      <w:r w:rsidRPr="005C53F5">
        <w:rPr>
          <w:rFonts w:ascii="Times New Roman" w:hAnsi="Times New Roman" w:cs="Times New Roman"/>
          <w:b/>
          <w:sz w:val="24"/>
        </w:rPr>
        <w:t>Цена размещения</w:t>
      </w:r>
      <w:r w:rsidRPr="005C53F5">
        <w:rPr>
          <w:rFonts w:ascii="Times New Roman" w:hAnsi="Times New Roman" w:cs="Times New Roman"/>
          <w:sz w:val="24"/>
        </w:rPr>
        <w:t>»).</w:t>
      </w:r>
    </w:p>
    <w:p w14:paraId="129F64DF" w14:textId="22CCFDC2"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Сделки при размещении Облигаций заключаются на Бирже путем удовлетворения адресных заявок на покупку Облигаций, поданных с использованием системы торгов Биржи (далее – «</w:t>
      </w:r>
      <w:r w:rsidRPr="005C53F5">
        <w:rPr>
          <w:rFonts w:ascii="Times New Roman" w:hAnsi="Times New Roman" w:cs="Times New Roman"/>
          <w:b/>
          <w:sz w:val="24"/>
        </w:rPr>
        <w:t>Система торгов</w:t>
      </w:r>
      <w:r w:rsidRPr="005C53F5">
        <w:rPr>
          <w:rFonts w:ascii="Times New Roman" w:hAnsi="Times New Roman" w:cs="Times New Roman"/>
          <w:sz w:val="24"/>
        </w:rPr>
        <w:t>»</w:t>
      </w:r>
      <w:r w:rsidR="003A2326" w:rsidRPr="005C53F5">
        <w:rPr>
          <w:rFonts w:ascii="Times New Roman" w:hAnsi="Times New Roman" w:cs="Times New Roman"/>
          <w:sz w:val="24"/>
        </w:rPr>
        <w:t>)</w:t>
      </w:r>
      <w:r w:rsidRPr="005C53F5">
        <w:rPr>
          <w:rFonts w:ascii="Times New Roman" w:hAnsi="Times New Roman" w:cs="Times New Roman"/>
          <w:sz w:val="24"/>
        </w:rPr>
        <w:t xml:space="preserve"> в соответствии с Правилами проведения торгов на фондовом рынке и рынке депозитов Биржи (далее – «</w:t>
      </w:r>
      <w:r w:rsidRPr="005C53F5">
        <w:rPr>
          <w:rFonts w:ascii="Times New Roman" w:hAnsi="Times New Roman" w:cs="Times New Roman"/>
          <w:b/>
          <w:sz w:val="24"/>
        </w:rPr>
        <w:t>Правила проведения торгов</w:t>
      </w:r>
      <w:r w:rsidRPr="005C53F5">
        <w:rPr>
          <w:rFonts w:ascii="Times New Roman" w:hAnsi="Times New Roman" w:cs="Times New Roman"/>
          <w:sz w:val="24"/>
        </w:rPr>
        <w:t>»).</w:t>
      </w:r>
    </w:p>
    <w:p w14:paraId="07ED8094"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Адресные заявки на покупку Облигаций и встречные адресные заявки на продажу Облигаций подаются с использованием Системы торгов в электронном виде, при этом простая </w:t>
      </w:r>
      <w:r w:rsidRPr="005C53F5">
        <w:rPr>
          <w:rFonts w:ascii="Times New Roman" w:hAnsi="Times New Roman" w:cs="Times New Roman"/>
          <w:sz w:val="24"/>
        </w:rPr>
        <w:lastRenderedPageBreak/>
        <w:t>письменная форма договора считается соблюденной.</w:t>
      </w:r>
    </w:p>
    <w:p w14:paraId="3D6A5EC5"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Моментом заключения сделки по размещению Облигаций считается момент ее регистрации в Системе торгов.</w:t>
      </w:r>
    </w:p>
    <w:p w14:paraId="34C27D77"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Отдельные письменные уведомления (сообщения) об удовлетворении (об отказе в удовлетворении) заявок участникам торгов Биржи (далее – «</w:t>
      </w:r>
      <w:r w:rsidRPr="005C53F5">
        <w:rPr>
          <w:rFonts w:ascii="Times New Roman" w:hAnsi="Times New Roman" w:cs="Times New Roman"/>
          <w:b/>
          <w:sz w:val="24"/>
        </w:rPr>
        <w:t>Участники торгов</w:t>
      </w:r>
      <w:r w:rsidRPr="005C53F5">
        <w:rPr>
          <w:rFonts w:ascii="Times New Roman" w:hAnsi="Times New Roman" w:cs="Times New Roman"/>
          <w:sz w:val="24"/>
        </w:rPr>
        <w:t>») не направляются.</w:t>
      </w:r>
    </w:p>
    <w:p w14:paraId="2454062A"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случае если потенциальный покупатель не является Участником торгов, он должен заключить соответствующий договор с любым Участником торгов и дать ему поручение на приобретение Облигаций.</w:t>
      </w:r>
    </w:p>
    <w:p w14:paraId="467D3B1F"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Потенциальный покупатель Облигаций, являющийся Участником торгов, действует самостоятельно.</w:t>
      </w:r>
    </w:p>
    <w:p w14:paraId="4D51E123" w14:textId="2D2FAFC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Для совершения сделки купли - продажи Облигаций при их размещении потенциальный покупатель обязан заранее (до даты начала размещения Облигаций) открыть соответствующий счет депо в НРД, осуществляющей централизованный учет прав </w:t>
      </w:r>
      <w:r w:rsidR="00BC22EE" w:rsidRPr="005C53F5">
        <w:rPr>
          <w:rFonts w:ascii="Times New Roman" w:hAnsi="Times New Roman" w:cs="Times New Roman"/>
          <w:sz w:val="24"/>
        </w:rPr>
        <w:t>на Облигации</w:t>
      </w:r>
      <w:r w:rsidRPr="005C53F5">
        <w:rPr>
          <w:rFonts w:ascii="Times New Roman" w:hAnsi="Times New Roman" w:cs="Times New Roman"/>
          <w:sz w:val="24"/>
        </w:rPr>
        <w:t>, или в ином Депозитарии. Порядок и сроки открытия счетов депо определяются положениями регламентов соответствующих депозитариев.</w:t>
      </w:r>
    </w:p>
    <w:p w14:paraId="5936E37D"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Изменение и/или расторжение договоров, заключенных при размещении Облигаций, осуществляется по основаниям и в порядке, предусмотренном главой 29 Гражданского кодекса Российской Федерации.</w:t>
      </w:r>
    </w:p>
    <w:p w14:paraId="29C22234"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Торги проводятся в соответствии с Правилами проведения торгов, зарегистрированными в установленном порядке и действующими на дату проведения торгов.</w:t>
      </w:r>
    </w:p>
    <w:p w14:paraId="17A6FF08"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 этом размещение Облигаций может происходить в форме конкурса по определению ставки купона на первый купонный период (далее – «</w:t>
      </w:r>
      <w:r w:rsidRPr="005C53F5">
        <w:rPr>
          <w:rFonts w:ascii="Times New Roman" w:hAnsi="Times New Roman" w:cs="Times New Roman"/>
          <w:b/>
          <w:sz w:val="24"/>
        </w:rPr>
        <w:t>Конкурс</w:t>
      </w:r>
      <w:r w:rsidRPr="005C53F5">
        <w:rPr>
          <w:rFonts w:ascii="Times New Roman" w:hAnsi="Times New Roman" w:cs="Times New Roman"/>
          <w:sz w:val="24"/>
        </w:rPr>
        <w:t>») либо путем сбора адресных заявок со стороны покупателей на приобретение Облигаций по фиксированной цене и ставке купона на первый купонный период, заранее определенной Эмитентом в порядке и на условиях, предусмотренных Проспектом ценных бумаг (далее – «</w:t>
      </w:r>
      <w:r w:rsidRPr="005C53F5">
        <w:rPr>
          <w:rFonts w:ascii="Times New Roman" w:hAnsi="Times New Roman" w:cs="Times New Roman"/>
          <w:b/>
          <w:sz w:val="24"/>
        </w:rPr>
        <w:t>Формирование книги заявок</w:t>
      </w:r>
      <w:r w:rsidRPr="005C53F5">
        <w:rPr>
          <w:rFonts w:ascii="Times New Roman" w:hAnsi="Times New Roman" w:cs="Times New Roman"/>
          <w:sz w:val="24"/>
        </w:rPr>
        <w:t>»).</w:t>
      </w:r>
    </w:p>
    <w:p w14:paraId="7C929D16"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Решение о форме размещения Облигаций принимается уполномоченным органом Эмитента.</w:t>
      </w:r>
    </w:p>
    <w:p w14:paraId="1FA14443"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Информация о выбранной форме размещения Облигаций будет раскрыта Эмитентом в порядке, предусмотренном </w:t>
      </w:r>
      <w:r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sz w:val="24"/>
        </w:rPr>
        <w:t>.</w:t>
      </w:r>
    </w:p>
    <w:p w14:paraId="08C48E24" w14:textId="780E3AE5"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Эмитент информирует Биржу и НРД о принятом решении не позднее 1 (одного) </w:t>
      </w:r>
      <w:r w:rsidR="00BC22EE" w:rsidRPr="005C53F5">
        <w:rPr>
          <w:rFonts w:ascii="Times New Roman" w:hAnsi="Times New Roman" w:cs="Times New Roman"/>
          <w:sz w:val="24"/>
        </w:rPr>
        <w:t xml:space="preserve">рабочего </w:t>
      </w:r>
      <w:r w:rsidRPr="005C53F5">
        <w:rPr>
          <w:rFonts w:ascii="Times New Roman" w:hAnsi="Times New Roman" w:cs="Times New Roman"/>
          <w:sz w:val="24"/>
        </w:rPr>
        <w:t xml:space="preserve">дня с даты принятия уполномоченным органом Эмитента решения о форме размещения Облигаций и </w:t>
      </w:r>
      <w:r w:rsidRPr="005C53F5">
        <w:rPr>
          <w:rFonts w:ascii="Times New Roman" w:hAnsi="Times New Roman" w:cs="Times New Roman"/>
          <w:bCs/>
          <w:iCs/>
          <w:sz w:val="24"/>
        </w:rPr>
        <w:t>не позднее чем за 1 (один) рабочий день</w:t>
      </w:r>
      <w:r w:rsidRPr="005C53F5">
        <w:rPr>
          <w:rFonts w:ascii="Times New Roman" w:hAnsi="Times New Roman" w:cs="Times New Roman"/>
          <w:sz w:val="24"/>
        </w:rPr>
        <w:t xml:space="preserve"> до даты начала размещения Облигаций.</w:t>
      </w:r>
    </w:p>
    <w:p w14:paraId="778DBFB6" w14:textId="77777777" w:rsidR="00E46880" w:rsidRPr="005C53F5" w:rsidRDefault="00E46880" w:rsidP="00057BE5">
      <w:pPr>
        <w:pStyle w:val="ConsPlusNormal"/>
        <w:ind w:firstLine="709"/>
        <w:jc w:val="both"/>
        <w:rPr>
          <w:rFonts w:ascii="Times New Roman" w:hAnsi="Times New Roman" w:cs="Times New Roman"/>
          <w:b/>
          <w:i/>
          <w:sz w:val="24"/>
        </w:rPr>
      </w:pPr>
      <w:r w:rsidRPr="005C53F5">
        <w:rPr>
          <w:rFonts w:ascii="Times New Roman" w:hAnsi="Times New Roman" w:cs="Times New Roman"/>
          <w:b/>
          <w:i/>
          <w:sz w:val="24"/>
        </w:rPr>
        <w:t>1) Размещение Облигаций в форме Конкурса</w:t>
      </w:r>
    </w:p>
    <w:p w14:paraId="140091A5"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Заключение сделок по размещению Облигаций начинается в дату начала размещения Облигаций после подведения итогов Конкурса и заканчивается в дату окончания размещения Облигаций. Конкурс начинается и заканчивается в дату начала размещения Облигаций.</w:t>
      </w:r>
    </w:p>
    <w:p w14:paraId="74E02966"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Процентная ставка купона на первый купонный период Облигаций определяется Эмитентом по итогам проведения Конкурса на Бирже среди потенциальных покупателей Облигаций в дату начала размещения Облигаций.</w:t>
      </w:r>
    </w:p>
    <w:p w14:paraId="56A132AD" w14:textId="45EA531A"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день проведения Конкурса Участники торгов подают адресные заявки на покупку Облигаций на Конкурс с использованием Системы торгов как за свой счет, так и за счет и по поручению потенциальных покупателей. Время и порядок подачи заявок на Конкурс устанавливается Биржей.</w:t>
      </w:r>
    </w:p>
    <w:p w14:paraId="0122042C"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Заявки на приобретение Облигаций направляются Участниками торгов в адрес Агента по размещению.</w:t>
      </w:r>
    </w:p>
    <w:p w14:paraId="1106BFFD"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Заявка на приобретение должна содержать следующие значимые условия:</w:t>
      </w:r>
    </w:p>
    <w:p w14:paraId="4B0002A2" w14:textId="77777777" w:rsidR="00E46880" w:rsidRPr="005C53F5" w:rsidRDefault="00E46880"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цена приобретения;</w:t>
      </w:r>
    </w:p>
    <w:p w14:paraId="5A71EF42" w14:textId="77777777" w:rsidR="00E46880" w:rsidRPr="005C53F5" w:rsidRDefault="00E46880"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lastRenderedPageBreak/>
        <w:t>количество Облигаций;</w:t>
      </w:r>
    </w:p>
    <w:p w14:paraId="5FF4966F" w14:textId="77777777" w:rsidR="00E46880" w:rsidRPr="005C53F5" w:rsidRDefault="00E46880"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величина процентной ставки купона на первый купонный период;</w:t>
      </w:r>
    </w:p>
    <w:p w14:paraId="453C09E6" w14:textId="77777777" w:rsidR="00E46880" w:rsidRPr="005C53F5" w:rsidRDefault="00E46880"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14:paraId="2B5493C6" w14:textId="77777777" w:rsidR="00E46880" w:rsidRPr="005C53F5" w:rsidRDefault="00E46880"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прочие параметры в соответствии с Правилами проведения торгов.</w:t>
      </w:r>
    </w:p>
    <w:p w14:paraId="66B5D6E3"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качестве цены приобретения должна быть указана Цена размещения Облигаций, установленная Проспектом ценных бумаг (в процентах от номинальной стоимости Облигаций с точностью до сотой доли процента).</w:t>
      </w:r>
    </w:p>
    <w:p w14:paraId="6901B900"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качестве количества Облигаций должно быть указано то количество Облигаций, которое потенциальный покупатель хотел бы приобрести, в случае, если уполномоченный орган Эмитента назначит процентную ставку купона на первый купонный период большую или равную указанной в заявке величине процентной ставки купона на первый купонный период.</w:t>
      </w:r>
    </w:p>
    <w:p w14:paraId="02231C7B"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качестве величины процентной ставки купона на первый купонный период указывается та величина (в числовом выражении с точностью до двух знаков после запятой) процентной ставки купона на первый купонный период, при объявлении которой Эмитентом потенциальный покупатель был бы готов купить количество Облигаций, указанное в заявке по Цене размещения, установленной Проспектом ценных бумаг.</w:t>
      </w:r>
    </w:p>
    <w:p w14:paraId="1808483E"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 этом денежные средства должны быть зарезервированы на торговых счетах Участников торгов в сумме, достаточной для полной оплаты Облигаций, указанных в заявках на приобретение Облигаций, с учетом всех необходимых комиссионных сборов.</w:t>
      </w:r>
    </w:p>
    <w:p w14:paraId="10C836CA"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Заявки, не соответствующие изложенным выше требованиям, к участию в Конкурсе не допускаются.</w:t>
      </w:r>
    </w:p>
    <w:p w14:paraId="6BEA99B4"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По окончании периода подачи заявок на Конкурс Биржа составляет сводный реестр заявок на покупку ценных бумаг (далее – «</w:t>
      </w:r>
      <w:r w:rsidRPr="005C53F5">
        <w:rPr>
          <w:rFonts w:ascii="Times New Roman" w:hAnsi="Times New Roman" w:cs="Times New Roman"/>
          <w:b/>
          <w:sz w:val="24"/>
        </w:rPr>
        <w:t>Сводный реестр заявок</w:t>
      </w:r>
      <w:r w:rsidRPr="005C53F5">
        <w:rPr>
          <w:rFonts w:ascii="Times New Roman" w:hAnsi="Times New Roman" w:cs="Times New Roman"/>
          <w:sz w:val="24"/>
        </w:rPr>
        <w:t>») и передает его Агенту по размещению.</w:t>
      </w:r>
    </w:p>
    <w:p w14:paraId="221782AE"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купона на первый купонный период, а также иные реквизиты в соответствии с Правилами проведения торгов.</w:t>
      </w:r>
    </w:p>
    <w:p w14:paraId="7AFD2373"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 основании анализа Сводного реестра заявок уполномоченный орган Эмитента принимает решение о величине процентной ставки купона на первый купонный период и сообщает о принятом решении Бирже одновременно с опубликованием такой информации в информационном ресурсе, обновляемом в режиме реального времени и предоставляемом информационным агентством (далее – «</w:t>
      </w:r>
      <w:r w:rsidRPr="005C53F5">
        <w:rPr>
          <w:rFonts w:ascii="Times New Roman" w:hAnsi="Times New Roman" w:cs="Times New Roman"/>
          <w:b/>
          <w:sz w:val="24"/>
        </w:rPr>
        <w:t>Лента новостей</w:t>
      </w:r>
      <w:r w:rsidRPr="005C53F5">
        <w:rPr>
          <w:rFonts w:ascii="Times New Roman" w:hAnsi="Times New Roman" w:cs="Times New Roman"/>
          <w:sz w:val="24"/>
        </w:rPr>
        <w:t>»).</w:t>
      </w:r>
    </w:p>
    <w:p w14:paraId="5C45F59A"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Информация о величине процентной ставки купона на первый купонный период раскрывается Эмитентом в соответствии с </w:t>
      </w:r>
      <w:r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sz w:val="24"/>
        </w:rPr>
        <w:t>.</w:t>
      </w:r>
    </w:p>
    <w:p w14:paraId="02EBF47C"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После опубликования в Ленте новостей сообщения о величине процентной ставки купона на первый купонный период Эмитент информирует Агента по размещению, Биржу и НРД о величине процентной ставки купона на первый купонный период в порядке, установленном </w:t>
      </w:r>
      <w:r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sz w:val="24"/>
        </w:rPr>
        <w:t>.</w:t>
      </w:r>
    </w:p>
    <w:p w14:paraId="310EDCDD"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Агент по размещению заключает в соответствии с Правилами проведения торгов сделки путем удовлетворения заявок, при этом удовлетворяются только те заявки, в которых величина процентной ставки меньше либо равна величине установленной процентной ставки купона на первый купонный период.</w:t>
      </w:r>
    </w:p>
    <w:p w14:paraId="223BDD63"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Приоритет в удовлетворении заявок на покупку Облигаций, поданных в ходе проводимого Конкурса, имеют заявки с минимальной величиной процентной ставки по </w:t>
      </w:r>
      <w:r w:rsidRPr="005C53F5">
        <w:rPr>
          <w:rFonts w:ascii="Times New Roman" w:hAnsi="Times New Roman" w:cs="Times New Roman"/>
          <w:sz w:val="24"/>
        </w:rPr>
        <w:lastRenderedPageBreak/>
        <w:t>купону.</w:t>
      </w:r>
    </w:p>
    <w:p w14:paraId="6DA8D3F0"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случае наличия заявок с одинаковой процентной ставкой купона на первый купонный период приоритет в удовлетворении имеют заявки, поданные ранее по времени. Неудовлетворенные заявки Участников торгов снимаются.</w:t>
      </w:r>
    </w:p>
    <w:p w14:paraId="00D78824"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После определения ставки купона на первый купонный период и удовлетворения заявок, поданных в ходе Конкурса, в случае неполного размещения Облигаций по итогам проведенного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Облигаций по Цене размещения в адрес Агента по размещению.</w:t>
      </w:r>
    </w:p>
    <w:p w14:paraId="678E7A8F"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Поданные заявки на покупку Облигаций удовлетворяются Агентом по размещению в полном объеме в случае, если количество Облигаций в заявке на покупку Облигаций не превосходит количества недоразмещенных Облигаций (в пределах общего количества предлагаемых к размещению Облигаций). В случае если объем заявки на покупку Облигаций превышает количество Облигаций, оставшихся неразмещенными, то данная заявка на покупку Облигаций удовлетворяется в размере неразмещенного остатка. В случае размещения всего объема предлагаемых к размещению Облигаций, удовлетворение последующих заявок на приобретение Облигаций не производится.</w:t>
      </w:r>
    </w:p>
    <w:p w14:paraId="6000A39A"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Приобретение Облигаций Эмитента в ходе их размещения не может быть осуществлено за счет Эмитента.</w:t>
      </w:r>
    </w:p>
    <w:p w14:paraId="13914694" w14:textId="77777777" w:rsidR="00E46880" w:rsidRPr="005C53F5" w:rsidRDefault="00E46880" w:rsidP="00057BE5">
      <w:pPr>
        <w:pStyle w:val="ConsPlusNormal"/>
        <w:ind w:firstLine="709"/>
        <w:jc w:val="both"/>
        <w:rPr>
          <w:rFonts w:ascii="Times New Roman" w:hAnsi="Times New Roman" w:cs="Times New Roman"/>
          <w:b/>
          <w:i/>
          <w:sz w:val="24"/>
        </w:rPr>
      </w:pPr>
      <w:r w:rsidRPr="005C53F5">
        <w:rPr>
          <w:rFonts w:ascii="Times New Roman" w:hAnsi="Times New Roman" w:cs="Times New Roman"/>
          <w:b/>
          <w:i/>
          <w:sz w:val="24"/>
        </w:rPr>
        <w:t>2) Размещение Облигаций путем Формирования книги заявок</w:t>
      </w:r>
    </w:p>
    <w:p w14:paraId="474D6A5E"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случае размещения Облигаций путем Формирования книги заявок уполномоченный орган Эмитента принимает решение о величине процентной ставки купона на первый купонный период до даты начала размещения Облигаций.</w:t>
      </w:r>
    </w:p>
    <w:p w14:paraId="7FF66060"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Информация о величине процентной ставки купона на первый купонный период раскрывается Эмитентом в соответствии с </w:t>
      </w:r>
      <w:r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sz w:val="24"/>
        </w:rPr>
        <w:t>.</w:t>
      </w:r>
    </w:p>
    <w:p w14:paraId="29DC46FA" w14:textId="73C645D9"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Эмитент информирует Биржу и НРД о ставке купона на первый купонный период </w:t>
      </w:r>
      <w:r w:rsidR="00BE53CF" w:rsidRPr="005C53F5">
        <w:rPr>
          <w:rFonts w:ascii="Times New Roman" w:hAnsi="Times New Roman" w:cs="Times New Roman"/>
          <w:bCs/>
          <w:iCs/>
          <w:sz w:val="24"/>
        </w:rPr>
        <w:t>не позднее чем за 1 (один) рабочий день до даты</w:t>
      </w:r>
      <w:r w:rsidRPr="005C53F5">
        <w:rPr>
          <w:rFonts w:ascii="Times New Roman" w:hAnsi="Times New Roman" w:cs="Times New Roman"/>
          <w:sz w:val="24"/>
        </w:rPr>
        <w:t xml:space="preserve"> начала размещения Облигаций.</w:t>
      </w:r>
    </w:p>
    <w:p w14:paraId="029BA14B"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Размещение Облигаций путем Формирования книги заявок предусматривает адресованное неопределенному кругу лиц приглашение делать предложения (оферты) о приобретении размещаемых ценных бумаг. Адресные заявки со стороны Участников торгов являются офертами Участников торгов на приобретение размещаемых Облигаций.</w:t>
      </w:r>
    </w:p>
    <w:p w14:paraId="27875DC4"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Ответ о принятии предложений (оферт) о приобретении размещаемых Облигаций направляется Участникам торгов, определяемым по усмотрению Эмитента из числа Участников торгов, сделавших такие предложения (оферты), путем выставления встречных адресных заявок. При этом Участник торгов соглашается с тем, что его заявка может быть отклонена, акцептована полностью или в части.</w:t>
      </w:r>
    </w:p>
    <w:p w14:paraId="0F24DF6E"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дату начала размещения Облигаций Участники торгов в течение периода подачи заявок на приобретение Облигаций по фиксированной цене и ставке купона на первый купонный период подают адресные заявки на покупку Облигаций с использованием Системы торгов как за свой счет, так и за счет и по поручению потенциальных покупателей.</w:t>
      </w:r>
    </w:p>
    <w:p w14:paraId="149C446C" w14:textId="7FEF9DA2"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Время и порядок подачи адресных заявок в течение периода подачи заявок по фиксированной цене и ставке купона на первый купонный период устанавливается Биржей.</w:t>
      </w:r>
    </w:p>
    <w:p w14:paraId="49F9A552"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По окончании периода подачи заявок на приобретение Облигаций по фиксированной цене и ставке купона на первый купонный период, Биржа составляет Сводный реестр заявок и передает его Агенту по размещению.</w:t>
      </w:r>
    </w:p>
    <w:p w14:paraId="09481C93"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а также иные реквизиты в соответствии с Правилами проведения торгов.</w:t>
      </w:r>
    </w:p>
    <w:p w14:paraId="2E7CE874"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На основании анализа Сводного реестра заявок Эмитент определяет приобретателей, которым он намеревается продать Облигации, а также количество Облигаций, которые он </w:t>
      </w:r>
      <w:r w:rsidRPr="005C53F5">
        <w:rPr>
          <w:rFonts w:ascii="Times New Roman" w:hAnsi="Times New Roman" w:cs="Times New Roman"/>
          <w:sz w:val="24"/>
        </w:rPr>
        <w:lastRenderedPageBreak/>
        <w:t>намеревается продать данным приобретателям и передает данную информацию Агенту по размещению. При этом первоочередному удовлетворению в дату начала размещения Облигаций подлежат заявки тех Участников торгов, с которыми либо с клиентами которых (при условии, что Участник торгов действует в ходе размещения в качестве агента по приобретению Облигаций за счет потенциального приобретателя, не являющегося Участником торгов) Агент по размещению заключил Предварительные договоры (как данный термин определен далее), при условии, что такие заявки поданы указанными Участниками торгов во исполнение заключенных Предварительных договоров. После этого Агент по размещению заключает сделки с приобретателями путем выставления встречных адресных заявок. Факт невыставления встречной адресной заявки Агентом по размещению будет означать, что Эмитентом было принято решение об отклонении заявки. Письменные уведомления (сообщения) об удовлетворении (об отказе в удовлетворении) заявок Участникам торгов не направляются.</w:t>
      </w:r>
    </w:p>
    <w:p w14:paraId="08EE74B3"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Агент по размещению заключает сделки с приобретателями, которым Эмитент желает продать Облигации, путем выставления встречных адресных заявок в соответствии с Правилами проведения торгов с указанием количества бумаг, которое Эмитент желает продать данному приобретателю.</w:t>
      </w:r>
    </w:p>
    <w:p w14:paraId="3EFFA03D"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После удовлетворения заявок, поданных в течение периода подачи заявок, в случае неполного размещения Выпуска по его итогам Участники торгов, действующие как за свой счет, так и за счет и по поручению потенциальных приобретателей, могут в течение срока размещения подавать адресные заявки на покупку Облигаций по Цене размещения в адрес Агента по размещению. Эмитент рассматривает такие заявки и определяет приобретателей, которым он намеревается продать Облигации, а также количество Облигаций, которые он намеревается продать данным приобретателям, и передает данную информацию Агенту по размещению. При этом первоочередному удовлетворению в течение срока размещения Облигаций подлежат заявки тех Участников торгов, с которыми либо с клиентами которых (при условии, что Участник торгов действует в ходе размещения в качестве агента по приобретению Облигаций за счет потенциального приобретателя, не являющегося Участником торгов) Агент по размещению заключил Предварительные договоры, при условии, что такие заявки поданы указанными Участниками торгов во исполнение заключенных Предварительных договоров. После этого Агент по размещению заключает сделки с приобретателями путем выставления встречных адресных заявок. Факт невыставления встречной адресной заявки Агентом по размещению будет означать, что Эмитентом было принято решение об отклонении заявки. Письменные уведомления (сообщения) об удовлетворении (об отказе в удовлетворении) заявок Участникам торгов не направляются.</w:t>
      </w:r>
    </w:p>
    <w:p w14:paraId="6FB31A40"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Агент по размещению заключает сделки с приобретателями, которым Эмитент желает продать Облигации, путем выставления встречных адресных заявок в соответствии с Правилами проведения торгов с указанием количества бумаг, которое Эмитент желает продать данному приобретателю. </w:t>
      </w:r>
    </w:p>
    <w:p w14:paraId="4502FE23"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Заявки на приобретение Облигаций направляются Участниками торгов в адрес Агента по размещению.</w:t>
      </w:r>
    </w:p>
    <w:p w14:paraId="1EDC6C58"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Заявка на приобретение должна содержать следующие значимые условия:</w:t>
      </w:r>
    </w:p>
    <w:p w14:paraId="09352777" w14:textId="77777777" w:rsidR="00E46880" w:rsidRPr="005C53F5" w:rsidRDefault="00E46880"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цена приобретения;</w:t>
      </w:r>
    </w:p>
    <w:p w14:paraId="5737BC3F" w14:textId="77777777" w:rsidR="00E46880" w:rsidRPr="005C53F5" w:rsidRDefault="00E46880"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количество Облигаций;</w:t>
      </w:r>
    </w:p>
    <w:p w14:paraId="103DA9B0" w14:textId="77777777" w:rsidR="00E46880" w:rsidRPr="005C53F5" w:rsidRDefault="00E46880"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14:paraId="28A36E86" w14:textId="77777777" w:rsidR="00E46880" w:rsidRPr="005C53F5" w:rsidRDefault="00E46880"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lastRenderedPageBreak/>
        <w:t>прочие параметры в соответствии с Правилами проведения торгов.</w:t>
      </w:r>
    </w:p>
    <w:p w14:paraId="20D3DD41"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качестве цены приобретения должна быть указана Цена размещения, установленная Проспектом ценных бумаг (в процентах от номинальной стоимости Облигаций с точностью до сотой доли процента).</w:t>
      </w:r>
    </w:p>
    <w:p w14:paraId="7ADBC088"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качестве количества Облигаций должно быть указано то количество Облигаций, которое потенциальный покупатель хотел бы приобрести по определенной до даты начала размещения ставке купона на первый купонный период.</w:t>
      </w:r>
    </w:p>
    <w:p w14:paraId="5B760AE7"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 этом денежные средства должны быть зарезервированы на торговых счетах Участников торгов в сумме, достаточной для полной оплаты Облигаций, указанных в заявках на приобретение Облигаций, с учетом всех необходимых комиссионных сборов.</w:t>
      </w:r>
    </w:p>
    <w:p w14:paraId="5A8D3687"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Заявки, не соответствующие изложенным выше требованиям, не принимаются.</w:t>
      </w:r>
    </w:p>
    <w:p w14:paraId="7671C77C"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Приобретение Облигаций в ходе их размещения не может быть осуществлено за счет Эмитента.</w:t>
      </w:r>
    </w:p>
    <w:p w14:paraId="05FED636"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Возможность преимущественного приобретения размещаемых ценных бумаг:</w:t>
      </w:r>
    </w:p>
    <w:p w14:paraId="1C6C9A54"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Возможность преимущественного приобретения размещаемых Облигаций не предусмотрена.</w:t>
      </w:r>
    </w:p>
    <w:p w14:paraId="0D6951A6"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Для именных ценных бумаг, ведение реестра владельцев которых осуществляется регистратором, - лицо, которому эмитент выдает (направляет) передаточное распоряжение, являющееся основанием для внесения приходных записей по лицевым счетам первых владельцев и (или) номинальных держателей, срок и иные условия выдачи передаточного распоряжения:</w:t>
      </w:r>
    </w:p>
    <w:p w14:paraId="1C6E0B93"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Облигации не являются именными ценными бумагами.</w:t>
      </w:r>
    </w:p>
    <w:p w14:paraId="44BEB7B5"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Для бездокументарных ценных бумаг с централизованным учетом прав - порядок, в том числе срок, внесения приходной записи по счету депо первого владельца в депозитарии, осуществляющем учет прав на указанные ценные бумаги:</w:t>
      </w:r>
    </w:p>
    <w:p w14:paraId="639A6229"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Предусмотрен централизованный учет прав на Облигации.</w:t>
      </w:r>
    </w:p>
    <w:p w14:paraId="34B49CB5"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Размещенные через Биржу Облигации зачисляются НРД или Депозитариями на счета депо покупателей Облигаций в дату совершения операции купли - продажи Облигаций.</w:t>
      </w:r>
    </w:p>
    <w:p w14:paraId="0FEC8F1E" w14:textId="5F926D03"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Приходная запись по счетам депо депонентов, открытых в НРД, вносится на основании информации, полученной от клиринговой организации, обслуживающей расчеты по сделкам, оформленным в процессе размещения Облигаций Биржей (далее – «</w:t>
      </w:r>
      <w:r w:rsidRPr="005C53F5">
        <w:rPr>
          <w:rFonts w:ascii="Times New Roman" w:hAnsi="Times New Roman" w:cs="Times New Roman"/>
          <w:b/>
          <w:sz w:val="24"/>
        </w:rPr>
        <w:t>Клиринговая организация</w:t>
      </w:r>
      <w:r w:rsidRPr="005C53F5">
        <w:rPr>
          <w:rFonts w:ascii="Times New Roman" w:hAnsi="Times New Roman" w:cs="Times New Roman"/>
          <w:sz w:val="24"/>
        </w:rPr>
        <w:t>»)</w:t>
      </w:r>
      <w:r w:rsidR="00BC22EE" w:rsidRPr="005C53F5">
        <w:rPr>
          <w:rFonts w:ascii="Times New Roman" w:hAnsi="Times New Roman" w:cs="Times New Roman"/>
          <w:sz w:val="24"/>
        </w:rPr>
        <w:t>, и (или) на основании поручений Эмитента</w:t>
      </w:r>
      <w:r w:rsidRPr="005C53F5">
        <w:rPr>
          <w:rFonts w:ascii="Times New Roman" w:hAnsi="Times New Roman" w:cs="Times New Roman"/>
          <w:sz w:val="24"/>
        </w:rPr>
        <w:t>.</w:t>
      </w:r>
    </w:p>
    <w:p w14:paraId="013B30B1"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Проданные при размещении Облигации зачисляются НРД или Депозитариями на счета депо покупателей Облигаций в соответствии с Условиями осуществления депозитарной деятельности НРД и условиями осуществления депозитарной деятельности Депозитариев.</w:t>
      </w:r>
    </w:p>
    <w:p w14:paraId="56C7B204"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Расходы, связанные с внесением приходных записей о зачислении размещаемых Облигаций на счета депо их первых владельцев (приобретателей), несут первые владельцы Облигаций.</w:t>
      </w:r>
    </w:p>
    <w:p w14:paraId="46053ABD"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Для документарных ценных бумаг без обязательного централизованного хранения - порядок, в том числе срок, выдачи первым владельцам сертификатов ценных бумаг:</w:t>
      </w:r>
    </w:p>
    <w:p w14:paraId="51AB508E"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Облигации являются бездокументарными ценными бумагами с централизованным учетом прав.</w:t>
      </w:r>
    </w:p>
    <w:p w14:paraId="343E4701"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размещения акционерным обществом акций, ценных бумаг, конвертируемых в акции, и опционов эмитента путем закрытой подписки только среди всех акционеров с предоставлением указанным акционерам возможности приобретения целого числа размещаемых ценных бумаг, пропорционального количеству принадлежащих им акций соответствующей категории (типа):</w:t>
      </w:r>
    </w:p>
    <w:p w14:paraId="5436CF06"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Эмитент не является акционерным обществом.</w:t>
      </w:r>
    </w:p>
    <w:p w14:paraId="55B0F4F7"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В случае если ценные бумаги размещаются посредством закрытой подписки в несколько этапов, условия размещения по каждому из которых не совпадают (различаются), </w:t>
      </w:r>
      <w:r w:rsidRPr="005C53F5">
        <w:rPr>
          <w:rFonts w:ascii="Times New Roman" w:hAnsi="Times New Roman" w:cs="Times New Roman"/>
          <w:i/>
          <w:sz w:val="24"/>
        </w:rPr>
        <w:lastRenderedPageBreak/>
        <w:t>раскрываются сроки (порядок определения сроков) размещения ценных бумаг по каждому этапу и не совпадающие условия размещения:</w:t>
      </w:r>
    </w:p>
    <w:p w14:paraId="00B29521"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Облигации не размещаются посредством закрытой подписки. Облигации размещаются посредством открытой подписки. </w:t>
      </w:r>
    </w:p>
    <w:p w14:paraId="5E0FCDF5"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ценные бумаги размещаются посредством подписки путем проведения торгов, указывается наименование лица, организующего проведение торгов (эмитент, специализированная организация). Если организация торгов осуществляется специализированной организацией, указываются ее полное и сокращенное фирменные наименования, место нахождения, а если организованные торги проводятся биржей или иным организатором торговли, - также номер, дата выдачи, срок действия лицензии, на основании которой биржа или иной организатор торговли вправе осуществлять деятельность по организации торговли на рынке ценных бумаг, орган, выдавший указанную лицензию:</w:t>
      </w:r>
    </w:p>
    <w:p w14:paraId="1F5D07F9"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Облигации размещаются посредством открытой подписки путем проведения торгов на Бирже, организующей проведение торгов:</w:t>
      </w:r>
    </w:p>
    <w:p w14:paraId="4F07A3D6"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Полное фирменное наименование: </w:t>
      </w:r>
      <w:r w:rsidRPr="005C53F5">
        <w:rPr>
          <w:rFonts w:ascii="Times New Roman" w:hAnsi="Times New Roman" w:cs="Times New Roman"/>
          <w:sz w:val="24"/>
        </w:rPr>
        <w:t>Публичное акционерное общество «Московская Биржа ММВБ-РТС»</w:t>
      </w:r>
    </w:p>
    <w:p w14:paraId="73253469"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Сокращенное фирменное наименование: </w:t>
      </w:r>
      <w:r w:rsidRPr="005C53F5">
        <w:rPr>
          <w:rFonts w:ascii="Times New Roman" w:hAnsi="Times New Roman" w:cs="Times New Roman"/>
          <w:sz w:val="24"/>
        </w:rPr>
        <w:t>ПАО Московская Биржа</w:t>
      </w:r>
    </w:p>
    <w:p w14:paraId="7558A105"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Место нахождения: </w:t>
      </w:r>
      <w:r w:rsidRPr="005C53F5">
        <w:rPr>
          <w:rFonts w:ascii="Times New Roman" w:hAnsi="Times New Roman" w:cs="Times New Roman"/>
          <w:sz w:val="24"/>
        </w:rPr>
        <w:t>Российская Федерация, г. Москва</w:t>
      </w:r>
    </w:p>
    <w:p w14:paraId="642626D7"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Почтовый адрес: </w:t>
      </w:r>
      <w:r w:rsidRPr="005C53F5">
        <w:rPr>
          <w:rFonts w:ascii="Times New Roman" w:hAnsi="Times New Roman" w:cs="Times New Roman"/>
          <w:sz w:val="24"/>
        </w:rPr>
        <w:t>Российская Федерация, 125009, г. Москва, Большой Кисловский переулок, дом 13</w:t>
      </w:r>
    </w:p>
    <w:p w14:paraId="26ACE0D8"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Номер лицензии биржи: </w:t>
      </w:r>
      <w:r w:rsidRPr="005C53F5">
        <w:rPr>
          <w:rFonts w:ascii="Times New Roman" w:hAnsi="Times New Roman" w:cs="Times New Roman"/>
          <w:sz w:val="24"/>
        </w:rPr>
        <w:t>077-001</w:t>
      </w:r>
    </w:p>
    <w:p w14:paraId="513A9709" w14:textId="54BDDD03"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Дата выдачи</w:t>
      </w:r>
      <w:r w:rsidR="00DA1F23" w:rsidRPr="005C53F5">
        <w:rPr>
          <w:rFonts w:ascii="Times New Roman" w:hAnsi="Times New Roman" w:cs="Times New Roman"/>
          <w:i/>
          <w:sz w:val="24"/>
        </w:rPr>
        <w:t xml:space="preserve"> лицензии биржи</w:t>
      </w:r>
      <w:r w:rsidRPr="005C53F5">
        <w:rPr>
          <w:rFonts w:ascii="Times New Roman" w:hAnsi="Times New Roman" w:cs="Times New Roman"/>
          <w:i/>
          <w:sz w:val="24"/>
        </w:rPr>
        <w:t xml:space="preserve">: </w:t>
      </w:r>
      <w:r w:rsidRPr="005C53F5">
        <w:rPr>
          <w:rFonts w:ascii="Times New Roman" w:hAnsi="Times New Roman" w:cs="Times New Roman"/>
          <w:sz w:val="24"/>
        </w:rPr>
        <w:t>29.08.2013</w:t>
      </w:r>
    </w:p>
    <w:p w14:paraId="4FC10292" w14:textId="3C47D68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Срок действия</w:t>
      </w:r>
      <w:r w:rsidR="00DA1F23" w:rsidRPr="005C53F5">
        <w:rPr>
          <w:rFonts w:ascii="Times New Roman" w:hAnsi="Times New Roman" w:cs="Times New Roman"/>
          <w:i/>
          <w:sz w:val="24"/>
        </w:rPr>
        <w:t xml:space="preserve"> лицензии биржи</w:t>
      </w:r>
      <w:r w:rsidRPr="005C53F5">
        <w:rPr>
          <w:rFonts w:ascii="Times New Roman" w:hAnsi="Times New Roman" w:cs="Times New Roman"/>
          <w:i/>
          <w:sz w:val="24"/>
        </w:rPr>
        <w:t xml:space="preserve">: </w:t>
      </w:r>
      <w:r w:rsidRPr="005C53F5">
        <w:rPr>
          <w:rFonts w:ascii="Times New Roman" w:hAnsi="Times New Roman" w:cs="Times New Roman"/>
          <w:sz w:val="24"/>
        </w:rPr>
        <w:t>без ограничения срока действия</w:t>
      </w:r>
    </w:p>
    <w:p w14:paraId="3A8C6DC3" w14:textId="197736E4" w:rsidR="00E46880" w:rsidRPr="005C53F5" w:rsidRDefault="00DA1F23"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Орган, выдавший лицензию биржи</w:t>
      </w:r>
      <w:r w:rsidR="00E46880" w:rsidRPr="005C53F5">
        <w:rPr>
          <w:rFonts w:ascii="Times New Roman" w:hAnsi="Times New Roman" w:cs="Times New Roman"/>
          <w:i/>
          <w:sz w:val="24"/>
        </w:rPr>
        <w:t xml:space="preserve">: </w:t>
      </w:r>
      <w:r w:rsidR="00E46880" w:rsidRPr="005C53F5">
        <w:rPr>
          <w:rFonts w:ascii="Times New Roman" w:hAnsi="Times New Roman" w:cs="Times New Roman"/>
          <w:sz w:val="24"/>
        </w:rPr>
        <w:t>ФСФР России</w:t>
      </w:r>
    </w:p>
    <w:p w14:paraId="385B99B2" w14:textId="0D819B41"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В случае реорганизации ПАО Московская Биржа размещение Облигаций будет осуществляться на организованных торгах организатора торговли, являющегося его правопреемником, в соответствии с законодательством Российской Федерации и внутренними документами, регулирующими деятельность такого организатора торговли. В тех случаях, когда в </w:t>
      </w:r>
      <w:r w:rsidR="0038079C" w:rsidRPr="005C53F5">
        <w:rPr>
          <w:rFonts w:ascii="Times New Roman" w:hAnsi="Times New Roman" w:cs="Times New Roman"/>
          <w:sz w:val="24"/>
        </w:rPr>
        <w:t>Проспекте ценных бумаг</w:t>
      </w:r>
      <w:r w:rsidRPr="005C53F5">
        <w:rPr>
          <w:rFonts w:ascii="Times New Roman" w:hAnsi="Times New Roman" w:cs="Times New Roman"/>
          <w:sz w:val="24"/>
        </w:rPr>
        <w:t xml:space="preserve"> упоминается ПАО Московская Биржа или «Биржа» подразумевается ПАО Московская Биржа или его правопреемник. </w:t>
      </w:r>
    </w:p>
    <w:p w14:paraId="2D2422EC"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эмитент и (или) уполномоченное им лицо намереваются заключать предварительные договоры, содержащие обязанность заключить в будущем основной договор, направленный на отчуждение размещаемых ценных бумаг первому владельцу, или собирать предварительные заявки на приобретение размещаемых ценных бумаг, указываются порядок заключения таких предварительных договоров или порядок подачи таких предварительных заявок:</w:t>
      </w:r>
    </w:p>
    <w:p w14:paraId="5E5C88BB"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 размещении Облигаций путем Формирования книги заявок Агент по размещению, действующий в интересах Эмитента, может заключать предварительные договоры с потенциальными приобретателями Облигаций, содержащие обязанность заключить в будущем с ними или с действующим в их интересах Участником торгов основные договоры, направленные на отчуждение им размещаемых Облигаций (далее – «</w:t>
      </w:r>
      <w:r w:rsidRPr="005C53F5">
        <w:rPr>
          <w:rFonts w:ascii="Times New Roman" w:hAnsi="Times New Roman" w:cs="Times New Roman"/>
          <w:b/>
          <w:sz w:val="24"/>
        </w:rPr>
        <w:t>Предварительные договоры</w:t>
      </w:r>
      <w:r w:rsidRPr="005C53F5">
        <w:rPr>
          <w:rFonts w:ascii="Times New Roman" w:hAnsi="Times New Roman" w:cs="Times New Roman"/>
          <w:sz w:val="24"/>
        </w:rPr>
        <w:t>»).</w:t>
      </w:r>
    </w:p>
    <w:p w14:paraId="1EF65556" w14:textId="6AF3746E"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Заключение Предварительных договоров осуществляется путем акцепта Агентом по размещению оферт от потенциальных приобретателей на заключение Предварительных договоров, в соответствии с которыми потенциальные приобретатели и Агент по размещению, действующий в интересах Эмитента, в </w:t>
      </w:r>
      <w:r w:rsidR="00BE53CF" w:rsidRPr="005C53F5">
        <w:rPr>
          <w:rFonts w:ascii="Times New Roman" w:hAnsi="Times New Roman" w:cs="Times New Roman"/>
          <w:sz w:val="24"/>
        </w:rPr>
        <w:t xml:space="preserve">дату </w:t>
      </w:r>
      <w:r w:rsidRPr="005C53F5">
        <w:rPr>
          <w:rFonts w:ascii="Times New Roman" w:hAnsi="Times New Roman" w:cs="Times New Roman"/>
          <w:sz w:val="24"/>
        </w:rPr>
        <w:t>начала размещения обязаны заключить основные договоры купли-продажи Облигаций. При этом любая оферта с предложением заключить Предварительный договор по усмотрению Агента по размещению, действующего в интересах Эмитента, может быть отклонена, акцептована полностью или в части.</w:t>
      </w:r>
    </w:p>
    <w:p w14:paraId="6B349131"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lastRenderedPageBreak/>
        <w:t xml:space="preserve">Сбор предложений (оферт) от потенциальных приобретателей о заключении Предварительных договоров допускается не ранее даты опубликования в Ленте новостей информации о сроке направления предложений (оферт) от потенциальных приобретателей с предложением заключить Предварительные договоры и подлежит окончанию не позднее чем за 1 (один) рабочий день до Даты начала размещения. </w:t>
      </w:r>
    </w:p>
    <w:p w14:paraId="5AB2F38B"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Акцепт оферт от потенциальных приобретателей на заключение Предварительных договоров направляется Агентом по размещению, действующим в интересах Эмитента, лицам, определяемым по усмотрению Эмитента из числа потенциальных приобретателей, направивших оферты на заключение Предварительных договоров, не позднее даты, предшествующей дате начала размещения Облигаций, способом, указанным в сообщении Эмитента «О сведениях, оказывающих, по мнению эмитента, существенное влияние на стоимость его эмиссионных ценных бумаг» (или аналогичном сообщении, предусмотренном нормативным актом Банка России, принятым взамен Положения Банка России от 30.12.2014 № 454-П «О раскрытии информации эмитентами эмиссионных ценных бумаг»), раскрываемом Эмитентом при опубликовании информации о сроке направления предложений (оферт) от потенциальных приобретателей с предложением заключить Предварительные договоры.</w:t>
      </w:r>
    </w:p>
    <w:p w14:paraId="1E360752" w14:textId="77777777" w:rsidR="00E46880" w:rsidRPr="005C53F5" w:rsidRDefault="00E46880" w:rsidP="00057BE5">
      <w:pPr>
        <w:pStyle w:val="ConsPlusNormal"/>
        <w:ind w:firstLine="709"/>
        <w:jc w:val="both"/>
        <w:rPr>
          <w:rFonts w:ascii="Times New Roman" w:hAnsi="Times New Roman" w:cs="Times New Roman"/>
          <w:i/>
          <w:iCs/>
          <w:sz w:val="24"/>
        </w:rPr>
      </w:pPr>
      <w:r w:rsidRPr="005C53F5">
        <w:rPr>
          <w:rFonts w:ascii="Times New Roman" w:hAnsi="Times New Roman" w:cs="Times New Roman"/>
          <w:i/>
          <w:iCs/>
          <w:sz w:val="24"/>
        </w:rPr>
        <w:t>Порядок раскрытия информации о сроке для направления оферт от потенциальных приобретателей с предложением заключить Предварительные договоры</w:t>
      </w:r>
    </w:p>
    <w:p w14:paraId="19C396E1" w14:textId="0B276A92"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Даты начала и окончания срока для направления оферт от потенциальных приобретателей с предложением заключить Предварительные договоры определяются решением уполномоченного органа Эмитента после принятия Банком России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и доводятся до сведения всех заинтересованных лиц путем публикации Эмитентом в Ленте новостей не позднее дня, следующего за днем принятия решения уполномоченного органа Эмитента об установлении даты начала и окончания срока для направления оферт, а также на странице Эмитента в информационно-телекоммуникационной сети «Интернет» (далее – «</w:t>
      </w:r>
      <w:r w:rsidRPr="005C53F5">
        <w:rPr>
          <w:rFonts w:ascii="Times New Roman" w:hAnsi="Times New Roman" w:cs="Times New Roman"/>
          <w:b/>
          <w:bCs/>
          <w:sz w:val="24"/>
        </w:rPr>
        <w:t>сеть Интернет</w:t>
      </w:r>
      <w:r w:rsidRPr="005C53F5">
        <w:rPr>
          <w:rFonts w:ascii="Times New Roman" w:hAnsi="Times New Roman" w:cs="Times New Roman"/>
          <w:sz w:val="24"/>
        </w:rPr>
        <w:t xml:space="preserve">») по адресу </w:t>
      </w:r>
      <w:r w:rsidR="00C467C8" w:rsidRPr="00C467C8">
        <w:rPr>
          <w:rFonts w:ascii="Times New Roman" w:hAnsi="Times New Roman" w:cs="Times New Roman"/>
          <w:sz w:val="24"/>
        </w:rPr>
        <w:t>http://e-disclosure.ru/portal/company.aspx?id=38193</w:t>
      </w:r>
      <w:r w:rsidR="005A4501">
        <w:rPr>
          <w:rFonts w:ascii="Times New Roman" w:hAnsi="Times New Roman" w:cs="Times New Roman"/>
          <w:sz w:val="24"/>
        </w:rPr>
        <w:t xml:space="preserve"> </w:t>
      </w:r>
      <w:r w:rsidRPr="005C53F5">
        <w:rPr>
          <w:rFonts w:ascii="Times New Roman" w:hAnsi="Times New Roman" w:cs="Times New Roman"/>
          <w:sz w:val="24"/>
        </w:rPr>
        <w:t xml:space="preserve"> (далее</w:t>
      </w:r>
      <w:r w:rsidR="00A61372" w:rsidRPr="005C53F5">
        <w:rPr>
          <w:rFonts w:ascii="Times New Roman" w:hAnsi="Times New Roman" w:cs="Times New Roman"/>
          <w:sz w:val="24"/>
        </w:rPr>
        <w:t> </w:t>
      </w:r>
      <w:r w:rsidRPr="005C53F5">
        <w:rPr>
          <w:rFonts w:ascii="Times New Roman" w:hAnsi="Times New Roman" w:cs="Times New Roman"/>
          <w:sz w:val="24"/>
        </w:rPr>
        <w:t>– «</w:t>
      </w:r>
      <w:r w:rsidRPr="005C53F5">
        <w:rPr>
          <w:rFonts w:ascii="Times New Roman" w:hAnsi="Times New Roman" w:cs="Times New Roman"/>
          <w:b/>
          <w:sz w:val="24"/>
        </w:rPr>
        <w:t>Страница в сети Интернет</w:t>
      </w:r>
      <w:r w:rsidRPr="005C53F5">
        <w:rPr>
          <w:rFonts w:ascii="Times New Roman" w:hAnsi="Times New Roman" w:cs="Times New Roman"/>
          <w:sz w:val="24"/>
        </w:rPr>
        <w:t>»)</w:t>
      </w:r>
      <w:r w:rsidR="00A61372" w:rsidRPr="005C53F5">
        <w:rPr>
          <w:rFonts w:ascii="Times New Roman" w:hAnsi="Times New Roman" w:cs="Times New Roman"/>
          <w:sz w:val="24"/>
        </w:rPr>
        <w:t> </w:t>
      </w:r>
      <w:r w:rsidRPr="005C53F5">
        <w:rPr>
          <w:rFonts w:ascii="Times New Roman" w:hAnsi="Times New Roman" w:cs="Times New Roman"/>
          <w:sz w:val="24"/>
        </w:rPr>
        <w:t>– не позднее 2 (двух) дней с даты принятия такого решения уполномоченным органом Эмитента. При этом публикация на Странице в сети Интернет осуществляется после публикации в Ленте новостей.</w:t>
      </w:r>
      <w:r w:rsidR="00C467C8">
        <w:rPr>
          <w:rFonts w:ascii="Times New Roman" w:hAnsi="Times New Roman" w:cs="Times New Roman"/>
          <w:sz w:val="24"/>
        </w:rPr>
        <w:t xml:space="preserve"> </w:t>
      </w:r>
    </w:p>
    <w:p w14:paraId="7F7FF127"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Указанная в предыдущем абзаце информация должна содержать в себе форму оферты от потенциального приобретателя с предложением заключить Предварительный договор, а также порядок и срок направления оферты. В направляемых офертах с предложением заключить Предварительный договор потенциальный приобретатель указывает максимальную сумму, на которую он готов купить Облигации, и минимальную ставку первого купона по Облигациям, при которой он готов приобрести Облигации на указанную максимальную сумму.</w:t>
      </w:r>
    </w:p>
    <w:p w14:paraId="6A5366F1"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Направляя оферту с предложением заключить Предварительный договор, потенциальный приобретатель соглашается с тем, что она может быть отклонена, акцептована полностью или частично. Прием оферт от потенциальных приобретателей с предложением заключить Предварительный договор допускается только с даты раскрытия информации о сроке для направления оферт от потенциальных приобретателей с предложением заключить Предварительные договоры в Ленте новостей.</w:t>
      </w:r>
    </w:p>
    <w:p w14:paraId="1CA11C78"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Первоначально установленная решением уполномоченного органа Эмитента дата окончания срока для направления оферт от потенциальных приобретателей на заключение Предварительных договоров может быть изменена решением уполномоченного органа Эмитента. Информация об этом раскрывается в Ленте новостей не позднее дня, следующего за днем принятия решения уполномоченного органа Эмитента об изменении срока для </w:t>
      </w:r>
      <w:r w:rsidRPr="005C53F5">
        <w:rPr>
          <w:rFonts w:ascii="Times New Roman" w:hAnsi="Times New Roman" w:cs="Times New Roman"/>
          <w:sz w:val="24"/>
        </w:rPr>
        <w:lastRenderedPageBreak/>
        <w:t xml:space="preserve">направления оферт от потенциальных приобретателей на заключение Предварительных договоров. Кроме того, указанная информация раскрывается на Странице в сети Интернет в течение двух дней с даты принятия решения уполномоченного органа Эмитента об изменении даты окончания срока для направления оферт от потенциальных приобретателей с предложением заключить Предварительные договоры. При этом публикация на Странице в сети Интернет осуществляется после публикации в Ленте новостей. </w:t>
      </w:r>
    </w:p>
    <w:p w14:paraId="6BCDF72A" w14:textId="77777777" w:rsidR="00E46880" w:rsidRPr="005C53F5" w:rsidRDefault="00E46880" w:rsidP="00057BE5">
      <w:pPr>
        <w:pStyle w:val="ConsPlusNormal"/>
        <w:ind w:firstLine="709"/>
        <w:jc w:val="both"/>
        <w:rPr>
          <w:rFonts w:ascii="Times New Roman" w:hAnsi="Times New Roman" w:cs="Times New Roman"/>
          <w:i/>
          <w:iCs/>
          <w:sz w:val="24"/>
        </w:rPr>
      </w:pPr>
      <w:r w:rsidRPr="005C53F5">
        <w:rPr>
          <w:rFonts w:ascii="Times New Roman" w:hAnsi="Times New Roman" w:cs="Times New Roman"/>
          <w:i/>
          <w:iCs/>
          <w:sz w:val="24"/>
        </w:rPr>
        <w:t>Порядок раскрытия информации о фактическом истечении срока для направления оферт потенциальных приобретателей с предложением заключить Предварительный договор</w:t>
      </w:r>
    </w:p>
    <w:p w14:paraId="579002B6"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Информация о фактическом истечении срока для направления оферт потенциальных приобретателей с предложением заключить Предварительный договор раскрывается не позднее чем за 1 (один) день до даты начала размещения Облигаций, с учетом следующих сроков: в Ленте новостей– не позднее дня, следующего за днем, в котором истекает срок для направления оферт с предложением заключить Предварительный договор, а на Странице в сети Интернет – не позднее 2 (двух) дней с даты, в которую истекает срок для направления оферт с предложением заключить Предварительный договор. При этом публикация на Странице в сети Интернет осуществляется после публикации в Ленте новостей.</w:t>
      </w:r>
    </w:p>
    <w:p w14:paraId="4AC4F514"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размещение ценных бумаг осуществляется эмитентом с привлечением брокеров, оказывающих эмитенту услуги по размещению и (или) по организации размещения ценных бумаг:</w:t>
      </w:r>
    </w:p>
    <w:p w14:paraId="00FAEEDD"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Размещение Облигаций на территории Российской Федерации осуществляется Эмитентом с привлечением брокеров, оказывающих Эмитенту услуги по размещению и (или) по организации размещения Облигаций.</w:t>
      </w:r>
    </w:p>
    <w:p w14:paraId="35AA4BA8" w14:textId="513845AD"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качестве организаций, оказывающих Эмитенту услуги по организации размещения Облигаций (далее при совместном упоминании – «</w:t>
      </w:r>
      <w:r w:rsidRPr="005C53F5">
        <w:rPr>
          <w:rFonts w:ascii="Times New Roman" w:hAnsi="Times New Roman" w:cs="Times New Roman"/>
          <w:b/>
          <w:sz w:val="24"/>
        </w:rPr>
        <w:t>Организаторы</w:t>
      </w:r>
      <w:r w:rsidRPr="005C53F5">
        <w:rPr>
          <w:rFonts w:ascii="Times New Roman" w:hAnsi="Times New Roman" w:cs="Times New Roman"/>
          <w:bCs/>
          <w:sz w:val="24"/>
        </w:rPr>
        <w:t>»</w:t>
      </w:r>
      <w:r w:rsidRPr="005C53F5">
        <w:rPr>
          <w:rFonts w:ascii="Times New Roman" w:hAnsi="Times New Roman" w:cs="Times New Roman"/>
          <w:sz w:val="24"/>
        </w:rPr>
        <w:t>, а по отдельности – «</w:t>
      </w:r>
      <w:r w:rsidRPr="005C53F5">
        <w:rPr>
          <w:rFonts w:ascii="Times New Roman" w:hAnsi="Times New Roman" w:cs="Times New Roman"/>
          <w:b/>
          <w:bCs/>
          <w:sz w:val="24"/>
        </w:rPr>
        <w:t>Организатор</w:t>
      </w:r>
      <w:r w:rsidRPr="005C53F5">
        <w:rPr>
          <w:rFonts w:ascii="Times New Roman" w:hAnsi="Times New Roman" w:cs="Times New Roman"/>
          <w:sz w:val="24"/>
        </w:rPr>
        <w:t>»</w:t>
      </w:r>
      <w:r w:rsidR="006418D3" w:rsidRPr="005C53F5">
        <w:rPr>
          <w:rFonts w:ascii="Times New Roman" w:hAnsi="Times New Roman" w:cs="Times New Roman"/>
          <w:sz w:val="24"/>
        </w:rPr>
        <w:t xml:space="preserve">, если </w:t>
      </w:r>
      <w:r w:rsidR="006418D3" w:rsidRPr="005C53F5">
        <w:rPr>
          <w:rFonts w:ascii="Times New Roman" w:hAnsi="Times New Roman" w:cs="Times New Roman"/>
          <w:sz w:val="24"/>
          <w:szCs w:val="24"/>
        </w:rPr>
        <w:t>из контекста соответствующего положения Проспекта ценных бумаг не следует, что такое положение относится исключительно к определенному Организатору, указанному ниже</w:t>
      </w:r>
      <w:r w:rsidRPr="005C53F5">
        <w:rPr>
          <w:rFonts w:ascii="Times New Roman" w:hAnsi="Times New Roman" w:cs="Times New Roman"/>
          <w:sz w:val="24"/>
        </w:rPr>
        <w:t>) Эмитент привлекает следующих лиц:</w:t>
      </w:r>
    </w:p>
    <w:p w14:paraId="544F7E34" w14:textId="7D573A44" w:rsidR="006941E6" w:rsidRPr="005C53F5" w:rsidRDefault="006941E6" w:rsidP="00057BE5">
      <w:pPr>
        <w:pStyle w:val="ConsPlusNormal"/>
        <w:ind w:firstLine="709"/>
        <w:jc w:val="both"/>
        <w:rPr>
          <w:rFonts w:ascii="Times New Roman" w:hAnsi="Times New Roman" w:cs="Times New Roman"/>
          <w:b/>
          <w:i/>
          <w:sz w:val="24"/>
        </w:rPr>
      </w:pPr>
      <w:r w:rsidRPr="005C53F5">
        <w:rPr>
          <w:rFonts w:ascii="Times New Roman" w:hAnsi="Times New Roman" w:cs="Times New Roman"/>
          <w:b/>
          <w:i/>
          <w:sz w:val="24"/>
        </w:rPr>
        <w:t>1. На территории Российской Федерации:</w:t>
      </w:r>
    </w:p>
    <w:p w14:paraId="61254EC9" w14:textId="4561CF03"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1) Полное фирменное наименование: </w:t>
      </w:r>
      <w:r w:rsidRPr="005C53F5">
        <w:rPr>
          <w:rFonts w:ascii="Times New Roman" w:hAnsi="Times New Roman" w:cs="Times New Roman"/>
          <w:sz w:val="24"/>
        </w:rPr>
        <w:t>Публичное акционерное общество РОСБАНК</w:t>
      </w:r>
    </w:p>
    <w:p w14:paraId="6F4C69C1"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Сокращенное фирменное наименование:</w:t>
      </w:r>
      <w:r w:rsidRPr="005C53F5">
        <w:rPr>
          <w:rFonts w:ascii="Times New Roman" w:hAnsi="Times New Roman" w:cs="Times New Roman"/>
          <w:sz w:val="24"/>
        </w:rPr>
        <w:t xml:space="preserve"> ПАО РОСБАНК</w:t>
      </w:r>
    </w:p>
    <w:p w14:paraId="6182112A"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Идентификационный номер налогоплательщика: </w:t>
      </w:r>
      <w:r w:rsidRPr="005C53F5">
        <w:rPr>
          <w:rFonts w:ascii="Times New Roman" w:hAnsi="Times New Roman" w:cs="Times New Roman"/>
          <w:sz w:val="24"/>
        </w:rPr>
        <w:t>7730060164</w:t>
      </w:r>
    </w:p>
    <w:p w14:paraId="55D9626E"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Основной государственный регистрационный номер (ОГРН): </w:t>
      </w:r>
      <w:r w:rsidRPr="005C53F5">
        <w:rPr>
          <w:rFonts w:ascii="Times New Roman" w:hAnsi="Times New Roman" w:cs="Times New Roman"/>
          <w:sz w:val="24"/>
        </w:rPr>
        <w:t>1027739460737</w:t>
      </w:r>
    </w:p>
    <w:p w14:paraId="0FA1FE90"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Место нахождения: </w:t>
      </w:r>
      <w:r w:rsidRPr="005C53F5">
        <w:rPr>
          <w:rFonts w:ascii="Times New Roman" w:hAnsi="Times New Roman" w:cs="Times New Roman"/>
          <w:sz w:val="24"/>
        </w:rPr>
        <w:t>Российская Федерация, 107078, Москва, ул. Маши Порываевой, д. 34</w:t>
      </w:r>
    </w:p>
    <w:p w14:paraId="54AFA3AB"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Адрес:</w:t>
      </w:r>
      <w:r w:rsidRPr="005C53F5">
        <w:rPr>
          <w:rFonts w:ascii="Times New Roman" w:hAnsi="Times New Roman" w:cs="Times New Roman"/>
          <w:sz w:val="24"/>
        </w:rPr>
        <w:t xml:space="preserve"> Российская Федерация, 107078, Москва, ул. Маши Порываевой, д. 34</w:t>
      </w:r>
    </w:p>
    <w:p w14:paraId="7126AA4A"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Номер лицензии на осуществление брокерской деятельности:</w:t>
      </w:r>
      <w:r w:rsidRPr="005C53F5">
        <w:rPr>
          <w:rFonts w:ascii="Times New Roman" w:hAnsi="Times New Roman" w:cs="Times New Roman"/>
          <w:sz w:val="24"/>
        </w:rPr>
        <w:t xml:space="preserve"> 177-05721-100000</w:t>
      </w:r>
    </w:p>
    <w:p w14:paraId="735FCA8C"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Дата выдачи лицензии на осуществление брокерской деятельности:</w:t>
      </w:r>
      <w:r w:rsidRPr="005C53F5">
        <w:rPr>
          <w:rFonts w:ascii="Times New Roman" w:hAnsi="Times New Roman" w:cs="Times New Roman"/>
          <w:sz w:val="24"/>
        </w:rPr>
        <w:t xml:space="preserve"> 06.11.2001</w:t>
      </w:r>
    </w:p>
    <w:p w14:paraId="3CEA4BD4"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Срок действия лицензии на осуществление брокерской деятельности:</w:t>
      </w:r>
      <w:r w:rsidRPr="005C53F5">
        <w:rPr>
          <w:rFonts w:ascii="Times New Roman" w:hAnsi="Times New Roman" w:cs="Times New Roman"/>
          <w:sz w:val="24"/>
        </w:rPr>
        <w:t xml:space="preserve"> без ограничения срока действия </w:t>
      </w:r>
    </w:p>
    <w:p w14:paraId="036BDE4F"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Орган, выдавший лицензию на осуществление брокерской деятельности:</w:t>
      </w:r>
      <w:r w:rsidRPr="005C53F5">
        <w:rPr>
          <w:rFonts w:ascii="Times New Roman" w:hAnsi="Times New Roman" w:cs="Times New Roman"/>
          <w:sz w:val="24"/>
        </w:rPr>
        <w:t xml:space="preserve"> ФКЦБ России</w:t>
      </w:r>
    </w:p>
    <w:p w14:paraId="5C3C2B74" w14:textId="77777777" w:rsidR="00E46880" w:rsidRPr="005C53F5" w:rsidRDefault="00E46880" w:rsidP="00057BE5">
      <w:pPr>
        <w:pStyle w:val="ConsPlusNormal"/>
        <w:jc w:val="both"/>
        <w:rPr>
          <w:rFonts w:ascii="Times New Roman" w:hAnsi="Times New Roman" w:cs="Times New Roman"/>
          <w:i/>
          <w:sz w:val="24"/>
        </w:rPr>
      </w:pPr>
    </w:p>
    <w:p w14:paraId="0B5BE82C"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2) Полное фирменное наименование: </w:t>
      </w:r>
      <w:r w:rsidRPr="005C53F5">
        <w:rPr>
          <w:rFonts w:ascii="Times New Roman" w:hAnsi="Times New Roman" w:cs="Times New Roman"/>
          <w:sz w:val="24"/>
        </w:rPr>
        <w:t>«Газпромбанк» (Акционерное общество)</w:t>
      </w:r>
    </w:p>
    <w:p w14:paraId="5FE68A18"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Сокращенное фирменное наименование:</w:t>
      </w:r>
      <w:r w:rsidRPr="005C53F5">
        <w:rPr>
          <w:rFonts w:ascii="Times New Roman" w:hAnsi="Times New Roman" w:cs="Times New Roman"/>
          <w:sz w:val="24"/>
        </w:rPr>
        <w:t xml:space="preserve"> Банк ГПБ (АО)</w:t>
      </w:r>
    </w:p>
    <w:p w14:paraId="2A4C97B5"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Идентификационный номер налогоплательщика: </w:t>
      </w:r>
      <w:r w:rsidRPr="005C53F5">
        <w:rPr>
          <w:rFonts w:ascii="Times New Roman" w:hAnsi="Times New Roman" w:cs="Times New Roman"/>
          <w:sz w:val="24"/>
        </w:rPr>
        <w:t>7744001497</w:t>
      </w:r>
    </w:p>
    <w:p w14:paraId="5764BE30"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Основной государственный регистрационный номер (ОГРН): </w:t>
      </w:r>
      <w:r w:rsidRPr="005C53F5">
        <w:rPr>
          <w:rFonts w:ascii="Times New Roman" w:hAnsi="Times New Roman" w:cs="Times New Roman"/>
          <w:sz w:val="24"/>
        </w:rPr>
        <w:t>1027700167110</w:t>
      </w:r>
    </w:p>
    <w:p w14:paraId="4EE1238F"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Место нахождения:</w:t>
      </w:r>
      <w:r w:rsidRPr="005C53F5">
        <w:rPr>
          <w:rFonts w:ascii="Times New Roman" w:hAnsi="Times New Roman" w:cs="Times New Roman"/>
          <w:sz w:val="24"/>
        </w:rPr>
        <w:t xml:space="preserve"> г. Москва</w:t>
      </w:r>
    </w:p>
    <w:p w14:paraId="2E1E02E9"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Адрес:</w:t>
      </w:r>
      <w:r w:rsidRPr="005C53F5">
        <w:rPr>
          <w:rFonts w:ascii="Times New Roman" w:hAnsi="Times New Roman" w:cs="Times New Roman"/>
          <w:sz w:val="24"/>
        </w:rPr>
        <w:t xml:space="preserve"> Российская Федерация, 117420, г. Москва, ул. Наметкина, дом 16, корпус 1</w:t>
      </w:r>
    </w:p>
    <w:p w14:paraId="506275F1"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Номер лицензии на осуществление брокерской деятельности:</w:t>
      </w:r>
      <w:r w:rsidRPr="005C53F5">
        <w:rPr>
          <w:rFonts w:ascii="Times New Roman" w:hAnsi="Times New Roman" w:cs="Times New Roman"/>
          <w:sz w:val="24"/>
        </w:rPr>
        <w:t xml:space="preserve"> 177-04229-100000 </w:t>
      </w:r>
    </w:p>
    <w:p w14:paraId="6C537B76"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Дата выдачи лицензии на осуществление брокерской деятельности:</w:t>
      </w:r>
      <w:r w:rsidRPr="005C53F5">
        <w:rPr>
          <w:rFonts w:ascii="Times New Roman" w:hAnsi="Times New Roman" w:cs="Times New Roman"/>
          <w:sz w:val="24"/>
        </w:rPr>
        <w:t xml:space="preserve"> 27.12.2000 </w:t>
      </w:r>
    </w:p>
    <w:p w14:paraId="59B440B2"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lastRenderedPageBreak/>
        <w:t>Срок действия лицензии на осуществление брокерской деятельности:</w:t>
      </w:r>
      <w:r w:rsidRPr="005C53F5">
        <w:rPr>
          <w:rFonts w:ascii="Times New Roman" w:hAnsi="Times New Roman" w:cs="Times New Roman"/>
          <w:sz w:val="24"/>
        </w:rPr>
        <w:t xml:space="preserve"> без ограничения срока действия </w:t>
      </w:r>
    </w:p>
    <w:p w14:paraId="7322DCFB"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Орган, выдавший лицензию на осуществление брокерской деятельности:</w:t>
      </w:r>
      <w:r w:rsidRPr="005C53F5">
        <w:rPr>
          <w:rFonts w:ascii="Times New Roman" w:hAnsi="Times New Roman" w:cs="Times New Roman"/>
          <w:sz w:val="24"/>
        </w:rPr>
        <w:t xml:space="preserve"> ФКЦБ России</w:t>
      </w:r>
    </w:p>
    <w:p w14:paraId="1B846DBD" w14:textId="77777777" w:rsidR="00E46880" w:rsidRPr="005C53F5" w:rsidRDefault="00E46880" w:rsidP="00057BE5">
      <w:pPr>
        <w:pStyle w:val="ConsPlusNormal"/>
        <w:ind w:firstLine="709"/>
        <w:jc w:val="both"/>
        <w:rPr>
          <w:rFonts w:ascii="Times New Roman" w:hAnsi="Times New Roman" w:cs="Times New Roman"/>
          <w:sz w:val="24"/>
        </w:rPr>
      </w:pPr>
    </w:p>
    <w:p w14:paraId="4272BC82"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3) Полное фирменное наименование: </w:t>
      </w:r>
      <w:r w:rsidRPr="005C53F5">
        <w:rPr>
          <w:rFonts w:ascii="Times New Roman" w:hAnsi="Times New Roman" w:cs="Times New Roman"/>
          <w:sz w:val="24"/>
        </w:rPr>
        <w:t>«МОСКОВСКИЙ КРЕДИТНЫЙ БАНК» (публичное акционерное общество)</w:t>
      </w:r>
    </w:p>
    <w:p w14:paraId="46B6A0B1"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Сокращенное фирменное наименование: </w:t>
      </w:r>
      <w:r w:rsidRPr="005C53F5">
        <w:rPr>
          <w:rFonts w:ascii="Times New Roman" w:hAnsi="Times New Roman" w:cs="Times New Roman"/>
          <w:sz w:val="24"/>
        </w:rPr>
        <w:t>ПАО «МОСКОВСКИЙ КРЕДИТНЫЙ БАНК»</w:t>
      </w:r>
    </w:p>
    <w:p w14:paraId="673F7B7E"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Идентификационный номер налогоплательщика: </w:t>
      </w:r>
      <w:r w:rsidRPr="005C53F5">
        <w:rPr>
          <w:rFonts w:ascii="Times New Roman" w:hAnsi="Times New Roman" w:cs="Times New Roman"/>
          <w:sz w:val="24"/>
        </w:rPr>
        <w:t>7734202860</w:t>
      </w:r>
    </w:p>
    <w:p w14:paraId="09717EC6"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Основной государственный регистрационный номер (ОГРН): </w:t>
      </w:r>
      <w:r w:rsidRPr="005C53F5">
        <w:rPr>
          <w:rFonts w:ascii="Times New Roman" w:hAnsi="Times New Roman" w:cs="Times New Roman"/>
          <w:sz w:val="24"/>
        </w:rPr>
        <w:t>1027739555282</w:t>
      </w:r>
    </w:p>
    <w:p w14:paraId="621917EB"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Место нахождения:</w:t>
      </w:r>
      <w:r w:rsidRPr="005C53F5">
        <w:rPr>
          <w:rFonts w:ascii="Times New Roman" w:hAnsi="Times New Roman" w:cs="Times New Roman"/>
          <w:sz w:val="24"/>
        </w:rPr>
        <w:t xml:space="preserve"> г. Москва</w:t>
      </w:r>
    </w:p>
    <w:p w14:paraId="77B76FBB"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Адрес:</w:t>
      </w:r>
      <w:r w:rsidRPr="005C53F5">
        <w:rPr>
          <w:rFonts w:ascii="Times New Roman" w:hAnsi="Times New Roman" w:cs="Times New Roman"/>
          <w:sz w:val="24"/>
        </w:rPr>
        <w:t xml:space="preserve"> Российская Федерация, 107045, г. Москва, Луков переулок, д. 2, стр. 1</w:t>
      </w:r>
    </w:p>
    <w:p w14:paraId="53463F36"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Номер лицензии на осуществление брокерской деятельности: </w:t>
      </w:r>
      <w:r w:rsidRPr="005C53F5">
        <w:rPr>
          <w:rFonts w:ascii="Times New Roman" w:hAnsi="Times New Roman" w:cs="Times New Roman"/>
          <w:sz w:val="24"/>
        </w:rPr>
        <w:t>045-03476-100000</w:t>
      </w:r>
    </w:p>
    <w:p w14:paraId="48F3D235"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Дата выдачи лицензии на осуществление брокерской деятельности: </w:t>
      </w:r>
      <w:r w:rsidRPr="005C53F5">
        <w:rPr>
          <w:rFonts w:ascii="Times New Roman" w:hAnsi="Times New Roman" w:cs="Times New Roman"/>
          <w:sz w:val="24"/>
        </w:rPr>
        <w:t>07.12.2000</w:t>
      </w:r>
    </w:p>
    <w:p w14:paraId="4CD4220E"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Срок действия лицензии на осуществление брокерской деятельности:</w:t>
      </w:r>
      <w:r w:rsidRPr="005C53F5">
        <w:rPr>
          <w:rFonts w:ascii="Times New Roman" w:hAnsi="Times New Roman" w:cs="Times New Roman"/>
          <w:sz w:val="24"/>
        </w:rPr>
        <w:t xml:space="preserve"> без ограничения срока действия </w:t>
      </w:r>
    </w:p>
    <w:p w14:paraId="383FDE7E" w14:textId="3997B506" w:rsidR="00DA30FD"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Орган, выдавший лицензию на осуществление брокерской деятельности:</w:t>
      </w:r>
      <w:r w:rsidRPr="005C53F5">
        <w:rPr>
          <w:rFonts w:ascii="Times New Roman" w:hAnsi="Times New Roman" w:cs="Times New Roman"/>
          <w:sz w:val="24"/>
        </w:rPr>
        <w:t xml:space="preserve"> ФКЦБ России</w:t>
      </w:r>
    </w:p>
    <w:p w14:paraId="3ECEB77A" w14:textId="77777777" w:rsidR="006941E6" w:rsidRPr="005C53F5" w:rsidRDefault="006941E6" w:rsidP="00057BE5">
      <w:pPr>
        <w:pStyle w:val="ConsPlusNormal"/>
        <w:ind w:firstLine="709"/>
        <w:jc w:val="both"/>
        <w:rPr>
          <w:rFonts w:ascii="Times New Roman" w:hAnsi="Times New Roman" w:cs="Times New Roman"/>
          <w:i/>
          <w:sz w:val="24"/>
        </w:rPr>
      </w:pPr>
    </w:p>
    <w:p w14:paraId="0D4A31FC" w14:textId="1AA51C9A" w:rsidR="006941E6" w:rsidRPr="005C53F5" w:rsidRDefault="006941E6" w:rsidP="00057BE5">
      <w:pPr>
        <w:pStyle w:val="ConsPlusNormal"/>
        <w:ind w:firstLine="709"/>
        <w:jc w:val="both"/>
        <w:rPr>
          <w:rFonts w:ascii="Times New Roman" w:hAnsi="Times New Roman" w:cs="Times New Roman"/>
          <w:b/>
          <w:i/>
          <w:sz w:val="24"/>
        </w:rPr>
      </w:pPr>
      <w:r w:rsidRPr="005C53F5">
        <w:rPr>
          <w:rFonts w:ascii="Times New Roman" w:hAnsi="Times New Roman" w:cs="Times New Roman"/>
          <w:b/>
          <w:i/>
          <w:sz w:val="24"/>
        </w:rPr>
        <w:t>2. На территории Республики Казахстан:</w:t>
      </w:r>
    </w:p>
    <w:p w14:paraId="726C3795" w14:textId="77777777" w:rsidR="006941E6" w:rsidRPr="005C53F5" w:rsidRDefault="006941E6"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Полное фирменное наименование: </w:t>
      </w:r>
      <w:r w:rsidRPr="005C53F5">
        <w:rPr>
          <w:rFonts w:ascii="Times New Roman" w:hAnsi="Times New Roman" w:cs="Times New Roman"/>
          <w:sz w:val="24"/>
        </w:rPr>
        <w:t>Акционерное общество «First Heartland Securities»</w:t>
      </w:r>
    </w:p>
    <w:p w14:paraId="3C9D4152"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Сокращенное фирменное наименование:</w:t>
      </w:r>
      <w:r w:rsidRPr="005C53F5">
        <w:rPr>
          <w:rFonts w:ascii="Times New Roman" w:hAnsi="Times New Roman" w:cs="Times New Roman"/>
          <w:sz w:val="24"/>
        </w:rPr>
        <w:t xml:space="preserve"> АО «First Heartland Securities»</w:t>
      </w:r>
    </w:p>
    <w:p w14:paraId="77DFB9BB" w14:textId="77777777" w:rsidR="006941E6" w:rsidRPr="005C53F5" w:rsidRDefault="006941E6"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Бизнес-идентификационный номер: </w:t>
      </w:r>
      <w:r w:rsidRPr="005C53F5">
        <w:rPr>
          <w:rFonts w:ascii="Times New Roman" w:hAnsi="Times New Roman" w:cs="Times New Roman"/>
          <w:sz w:val="24"/>
        </w:rPr>
        <w:t>080 340 017 099</w:t>
      </w:r>
    </w:p>
    <w:p w14:paraId="5CE53E0F"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Адрес:</w:t>
      </w:r>
      <w:r w:rsidRPr="005C53F5">
        <w:rPr>
          <w:rFonts w:ascii="Times New Roman" w:hAnsi="Times New Roman" w:cs="Times New Roman"/>
          <w:sz w:val="24"/>
        </w:rPr>
        <w:t xml:space="preserve"> Республика Казахстан, 050059, г. Алматы, пр. Назарбаева, 242</w:t>
      </w:r>
    </w:p>
    <w:p w14:paraId="618A9A7E"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Номер лицензии на осуществление деятельности на рынке ценных бумаг:</w:t>
      </w:r>
      <w:r w:rsidRPr="005C53F5">
        <w:rPr>
          <w:rFonts w:ascii="Times New Roman" w:hAnsi="Times New Roman" w:cs="Times New Roman"/>
          <w:sz w:val="24"/>
        </w:rPr>
        <w:t xml:space="preserve"> 3.1.1.224</w:t>
      </w:r>
    </w:p>
    <w:p w14:paraId="1D55B3D5"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Дата выдачи лицензии на осуществление брокерской деятельности:</w:t>
      </w:r>
      <w:r w:rsidRPr="005C53F5">
        <w:rPr>
          <w:rFonts w:ascii="Times New Roman" w:hAnsi="Times New Roman" w:cs="Times New Roman"/>
          <w:sz w:val="24"/>
        </w:rPr>
        <w:t xml:space="preserve"> 27.03.2018 </w:t>
      </w:r>
    </w:p>
    <w:p w14:paraId="521E681F" w14:textId="5FC8B3B1"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Орган, выдавший лицензию на осуществление брокерской деятельности:</w:t>
      </w:r>
      <w:r w:rsidRPr="005C53F5">
        <w:rPr>
          <w:rFonts w:ascii="Times New Roman" w:hAnsi="Times New Roman" w:cs="Times New Roman"/>
          <w:sz w:val="24"/>
        </w:rPr>
        <w:t xml:space="preserve"> Национальный Банк Республики Казахстан</w:t>
      </w:r>
    </w:p>
    <w:p w14:paraId="12C6F6BA" w14:textId="77777777" w:rsidR="00A04874" w:rsidRPr="005C53F5" w:rsidRDefault="00A04874" w:rsidP="00057BE5">
      <w:pPr>
        <w:pStyle w:val="ConsPlusNormal"/>
        <w:ind w:firstLine="709"/>
        <w:jc w:val="both"/>
        <w:rPr>
          <w:rFonts w:ascii="Times New Roman" w:hAnsi="Times New Roman" w:cs="Times New Roman"/>
          <w:i/>
          <w:sz w:val="24"/>
        </w:rPr>
      </w:pPr>
    </w:p>
    <w:p w14:paraId="44269826"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Основные функции </w:t>
      </w:r>
      <w:r w:rsidRPr="005C53F5">
        <w:rPr>
          <w:rFonts w:ascii="Times New Roman" w:hAnsi="Times New Roman" w:cs="Times New Roman"/>
          <w:i/>
          <w:iCs/>
          <w:sz w:val="24"/>
        </w:rPr>
        <w:t>Организаторов</w:t>
      </w:r>
      <w:r w:rsidRPr="005C53F5">
        <w:rPr>
          <w:rFonts w:ascii="Times New Roman" w:hAnsi="Times New Roman" w:cs="Times New Roman"/>
          <w:i/>
          <w:sz w:val="24"/>
        </w:rPr>
        <w:t>:</w:t>
      </w:r>
    </w:p>
    <w:p w14:paraId="17A7C5BF"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Организаторы действуют на основании заключенного с Эмитентом договора. К основным функциям Организаторов относятся:</w:t>
      </w:r>
    </w:p>
    <w:p w14:paraId="1A59DEFF" w14:textId="77777777" w:rsidR="00E46880" w:rsidRPr="005C53F5" w:rsidRDefault="00E46880" w:rsidP="00057BE5">
      <w:pPr>
        <w:pStyle w:val="ConsPlusNormal"/>
        <w:numPr>
          <w:ilvl w:val="0"/>
          <w:numId w:val="18"/>
        </w:numPr>
        <w:jc w:val="both"/>
        <w:rPr>
          <w:rFonts w:ascii="Times New Roman" w:hAnsi="Times New Roman" w:cs="Times New Roman"/>
          <w:bCs/>
          <w:iCs/>
          <w:sz w:val="24"/>
        </w:rPr>
      </w:pPr>
      <w:r w:rsidRPr="005C53F5">
        <w:rPr>
          <w:rFonts w:ascii="Times New Roman" w:hAnsi="Times New Roman" w:cs="Times New Roman"/>
          <w:bCs/>
          <w:iCs/>
          <w:sz w:val="24"/>
        </w:rPr>
        <w:t>рекомендации по структуре и параметрам Выпуска, процедуре подготовки Выпуска и размещения Облигаций;</w:t>
      </w:r>
    </w:p>
    <w:p w14:paraId="04CC8F5E" w14:textId="77777777" w:rsidR="00E46880" w:rsidRPr="005C53F5" w:rsidRDefault="00E46880" w:rsidP="00057BE5">
      <w:pPr>
        <w:pStyle w:val="ConsPlusNormal"/>
        <w:numPr>
          <w:ilvl w:val="0"/>
          <w:numId w:val="18"/>
        </w:numPr>
        <w:jc w:val="both"/>
        <w:rPr>
          <w:rFonts w:ascii="Times New Roman" w:hAnsi="Times New Roman" w:cs="Times New Roman"/>
          <w:bCs/>
          <w:iCs/>
          <w:sz w:val="24"/>
        </w:rPr>
      </w:pPr>
      <w:r w:rsidRPr="005C53F5">
        <w:rPr>
          <w:rFonts w:ascii="Times New Roman" w:hAnsi="Times New Roman" w:cs="Times New Roman"/>
          <w:bCs/>
          <w:iCs/>
          <w:sz w:val="24"/>
        </w:rPr>
        <w:t>подготовка проектов документации, необходимой для размещения и обращения Облигаций;</w:t>
      </w:r>
    </w:p>
    <w:p w14:paraId="36A4BB80" w14:textId="77777777" w:rsidR="00E46880" w:rsidRPr="005C53F5" w:rsidRDefault="00E46880" w:rsidP="00057BE5">
      <w:pPr>
        <w:pStyle w:val="ConsPlusNormal"/>
        <w:numPr>
          <w:ilvl w:val="0"/>
          <w:numId w:val="18"/>
        </w:numPr>
        <w:jc w:val="both"/>
        <w:rPr>
          <w:rFonts w:ascii="Times New Roman" w:hAnsi="Times New Roman" w:cs="Times New Roman"/>
          <w:bCs/>
          <w:iCs/>
          <w:sz w:val="24"/>
        </w:rPr>
      </w:pPr>
      <w:r w:rsidRPr="005C53F5">
        <w:rPr>
          <w:rFonts w:ascii="Times New Roman" w:hAnsi="Times New Roman" w:cs="Times New Roman"/>
          <w:bCs/>
          <w:iCs/>
          <w:sz w:val="24"/>
        </w:rPr>
        <w:t>подготовка, организация и проведение маркетинговых и презентационных мероприятий перед размещением Облигаций;</w:t>
      </w:r>
    </w:p>
    <w:p w14:paraId="68B9F9BC" w14:textId="0C086E11" w:rsidR="00E46880" w:rsidRPr="005C53F5" w:rsidRDefault="00E46880" w:rsidP="00057BE5">
      <w:pPr>
        <w:pStyle w:val="ConsPlusNormal"/>
        <w:numPr>
          <w:ilvl w:val="0"/>
          <w:numId w:val="18"/>
        </w:numPr>
        <w:jc w:val="both"/>
        <w:rPr>
          <w:rFonts w:ascii="Times New Roman" w:hAnsi="Times New Roman" w:cs="Times New Roman"/>
          <w:bCs/>
          <w:iCs/>
          <w:sz w:val="24"/>
        </w:rPr>
      </w:pPr>
      <w:r w:rsidRPr="005C53F5">
        <w:rPr>
          <w:rFonts w:ascii="Times New Roman" w:hAnsi="Times New Roman" w:cs="Times New Roman"/>
          <w:bCs/>
          <w:iCs/>
          <w:sz w:val="24"/>
        </w:rPr>
        <w:t>предоставление консультаций по вопросам, связанным с требованиями применимого законодательства, предъявляемыми к процедуре выпуска Облигаций, их размещения, обращения и погашения, в том числе предоставление консультаций при раскрытии информации на этапах процедуры эмиссии ценных бумаг и помощь в подготовке соответствующих информационных сообщений</w:t>
      </w:r>
      <w:r w:rsidR="006941E6" w:rsidRPr="005C53F5">
        <w:rPr>
          <w:rFonts w:ascii="Times New Roman" w:hAnsi="Times New Roman" w:cs="Times New Roman"/>
          <w:bCs/>
          <w:iCs/>
          <w:sz w:val="24"/>
        </w:rPr>
        <w:t>.</w:t>
      </w:r>
    </w:p>
    <w:p w14:paraId="41AE9224"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Наличие у </w:t>
      </w:r>
      <w:r w:rsidRPr="005C53F5">
        <w:rPr>
          <w:rFonts w:ascii="Times New Roman" w:hAnsi="Times New Roman" w:cs="Times New Roman"/>
          <w:i/>
          <w:iCs/>
          <w:sz w:val="24"/>
        </w:rPr>
        <w:t>Организаторов</w:t>
      </w:r>
      <w:r w:rsidRPr="005C53F5">
        <w:rPr>
          <w:rFonts w:ascii="Times New Roman" w:hAnsi="Times New Roman" w:cs="Times New Roman"/>
          <w:i/>
          <w:sz w:val="24"/>
        </w:rPr>
        <w:t xml:space="preserve"> обязанностей по приобретению не размещенных в срок ценных бумаг, а при наличии такой обязанности - также количество (порядок определения количества) не размещенных в срок ценных бумаг, которое обязано приобрести указанное лицо, и срок (порядок определения срока), по истечении которого указанное лицо обязано приобрести такое количество ценных бумаг:</w:t>
      </w:r>
    </w:p>
    <w:p w14:paraId="612937AF"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Наличие у Организаторов обязанностей по приобретению не размещенных в срок ценных бумаг не предусмотрено.</w:t>
      </w:r>
    </w:p>
    <w:p w14:paraId="054A0ECB"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Наличие у </w:t>
      </w:r>
      <w:r w:rsidRPr="005C53F5">
        <w:rPr>
          <w:rFonts w:ascii="Times New Roman" w:hAnsi="Times New Roman" w:cs="Times New Roman"/>
          <w:i/>
          <w:iCs/>
          <w:sz w:val="24"/>
        </w:rPr>
        <w:t>Организаторов</w:t>
      </w:r>
      <w:r w:rsidRPr="005C53F5">
        <w:rPr>
          <w:rFonts w:ascii="Times New Roman" w:hAnsi="Times New Roman" w:cs="Times New Roman"/>
          <w:i/>
          <w:sz w:val="24"/>
        </w:rPr>
        <w:t xml:space="preserve"> обязанностей, связанных с поддержанием цен на размещаемые ценные бумаги на определенном уровне в течение определенного срока после </w:t>
      </w:r>
      <w:r w:rsidRPr="005C53F5">
        <w:rPr>
          <w:rFonts w:ascii="Times New Roman" w:hAnsi="Times New Roman" w:cs="Times New Roman"/>
          <w:i/>
          <w:sz w:val="24"/>
        </w:rPr>
        <w:lastRenderedPageBreak/>
        <w:t>завершения их размещения (стабилизация), в том числе обязанностей, связанных с оказанием услуг маркет-мейкера, а при наличии такой обязанности - также срок (порядок определения срока), в течение которого указанное лицо обязано осуществлять стабилизацию или оказывать услуги маркет-мейкера:</w:t>
      </w:r>
    </w:p>
    <w:p w14:paraId="05262989"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Наличие у Организаторов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не предусмотрено.</w:t>
      </w:r>
    </w:p>
    <w:p w14:paraId="2414318E"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Наличие у </w:t>
      </w:r>
      <w:r w:rsidRPr="005C53F5">
        <w:rPr>
          <w:rFonts w:ascii="Times New Roman" w:hAnsi="Times New Roman" w:cs="Times New Roman"/>
          <w:i/>
          <w:iCs/>
          <w:sz w:val="24"/>
        </w:rPr>
        <w:t>Организаторов</w:t>
      </w:r>
      <w:r w:rsidRPr="005C53F5">
        <w:rPr>
          <w:rFonts w:ascii="Times New Roman" w:hAnsi="Times New Roman" w:cs="Times New Roman"/>
          <w:i/>
          <w:sz w:val="24"/>
        </w:rPr>
        <w:t xml:space="preserve">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а при наличии такого права - дополнительное количество (порядок определения количества) ценных бумаг, которое может быть приобретено указанным лицом, и срок (порядок определения срока), в течение которого указанным лицом может быть реализовано право на приобретение дополнительного количества ценных бумаг:</w:t>
      </w:r>
    </w:p>
    <w:p w14:paraId="35BDE4AF"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Наличие у Организаторов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Облигации, которое может быть реализовано или не реализовано в зависимости от результатов размещения Облигаций, не предусмотрено.</w:t>
      </w:r>
    </w:p>
    <w:p w14:paraId="50FAEE15"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Размер вознаграждения </w:t>
      </w:r>
      <w:r w:rsidRPr="005C53F5">
        <w:rPr>
          <w:rFonts w:ascii="Times New Roman" w:hAnsi="Times New Roman" w:cs="Times New Roman"/>
          <w:i/>
          <w:iCs/>
          <w:sz w:val="24"/>
        </w:rPr>
        <w:t>Организаторов</w:t>
      </w:r>
      <w:r w:rsidRPr="005C53F5">
        <w:rPr>
          <w:rFonts w:ascii="Times New Roman" w:hAnsi="Times New Roman" w:cs="Times New Roman"/>
          <w:i/>
          <w:sz w:val="24"/>
        </w:rPr>
        <w:t>, а если указанное вознаграждение (часть вознаграждения) выплачивается такому лицу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 также размер указанного вознаграждения:</w:t>
      </w:r>
    </w:p>
    <w:p w14:paraId="458C73AB"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Размер вознаграждения Организаторов в совокупности не превысит 1% (один процент) от номинальной стоимости Выпуска. Вознаграждение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не предусмотрено.</w:t>
      </w:r>
    </w:p>
    <w:p w14:paraId="383E515F" w14:textId="77777777" w:rsidR="00E46880" w:rsidRPr="005C53F5" w:rsidRDefault="00E46880" w:rsidP="00057BE5">
      <w:pPr>
        <w:pStyle w:val="ConsPlusNormal"/>
        <w:ind w:firstLine="709"/>
        <w:jc w:val="both"/>
        <w:rPr>
          <w:rFonts w:ascii="Times New Roman" w:hAnsi="Times New Roman" w:cs="Times New Roman"/>
          <w:sz w:val="24"/>
        </w:rPr>
      </w:pPr>
    </w:p>
    <w:p w14:paraId="49C472B7" w14:textId="23F3DB23"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В качестве </w:t>
      </w:r>
      <w:r w:rsidR="00D610BC" w:rsidRPr="005C53F5">
        <w:rPr>
          <w:rFonts w:ascii="Times New Roman" w:hAnsi="Times New Roman" w:cs="Times New Roman"/>
          <w:sz w:val="24"/>
        </w:rPr>
        <w:t>организаций</w:t>
      </w:r>
      <w:r w:rsidRPr="005C53F5">
        <w:rPr>
          <w:rFonts w:ascii="Times New Roman" w:hAnsi="Times New Roman" w:cs="Times New Roman"/>
          <w:sz w:val="24"/>
        </w:rPr>
        <w:t xml:space="preserve">, </w:t>
      </w:r>
      <w:r w:rsidR="00D610BC" w:rsidRPr="005C53F5">
        <w:rPr>
          <w:rFonts w:ascii="Times New Roman" w:hAnsi="Times New Roman" w:cs="Times New Roman"/>
          <w:sz w:val="24"/>
        </w:rPr>
        <w:t xml:space="preserve">оказывающих </w:t>
      </w:r>
      <w:r w:rsidRPr="005C53F5">
        <w:rPr>
          <w:rFonts w:ascii="Times New Roman" w:hAnsi="Times New Roman" w:cs="Times New Roman"/>
          <w:sz w:val="24"/>
        </w:rPr>
        <w:t>Эмитенту услуги по размещению Облигаций (далее</w:t>
      </w:r>
      <w:r w:rsidR="00D610BC" w:rsidRPr="005C53F5">
        <w:rPr>
          <w:rFonts w:ascii="Times New Roman" w:hAnsi="Times New Roman" w:cs="Times New Roman"/>
          <w:sz w:val="24"/>
        </w:rPr>
        <w:t xml:space="preserve"> при совместном упоминании</w:t>
      </w:r>
      <w:r w:rsidRPr="005C53F5">
        <w:rPr>
          <w:rFonts w:ascii="Times New Roman" w:hAnsi="Times New Roman" w:cs="Times New Roman"/>
          <w:sz w:val="24"/>
        </w:rPr>
        <w:t xml:space="preserve"> – «</w:t>
      </w:r>
      <w:r w:rsidRPr="005C53F5">
        <w:rPr>
          <w:rFonts w:ascii="Times New Roman" w:hAnsi="Times New Roman" w:cs="Times New Roman"/>
          <w:b/>
          <w:sz w:val="24"/>
        </w:rPr>
        <w:t>Агент</w:t>
      </w:r>
      <w:r w:rsidR="00D610BC" w:rsidRPr="005C53F5">
        <w:rPr>
          <w:rFonts w:ascii="Times New Roman" w:hAnsi="Times New Roman" w:cs="Times New Roman"/>
          <w:b/>
          <w:sz w:val="24"/>
        </w:rPr>
        <w:t>ы</w:t>
      </w:r>
      <w:r w:rsidRPr="005C53F5">
        <w:rPr>
          <w:rFonts w:ascii="Times New Roman" w:hAnsi="Times New Roman" w:cs="Times New Roman"/>
          <w:b/>
          <w:sz w:val="24"/>
        </w:rPr>
        <w:t xml:space="preserve"> по размещению</w:t>
      </w:r>
      <w:r w:rsidRPr="005C53F5">
        <w:rPr>
          <w:rFonts w:ascii="Times New Roman" w:hAnsi="Times New Roman" w:cs="Times New Roman"/>
          <w:sz w:val="24"/>
        </w:rPr>
        <w:t>»</w:t>
      </w:r>
      <w:r w:rsidR="00D610BC" w:rsidRPr="005C53F5">
        <w:rPr>
          <w:rFonts w:ascii="Times New Roman" w:hAnsi="Times New Roman" w:cs="Times New Roman"/>
          <w:sz w:val="24"/>
        </w:rPr>
        <w:t>,</w:t>
      </w:r>
      <w:r w:rsidR="00D610BC" w:rsidRPr="005C53F5">
        <w:rPr>
          <w:rFonts w:ascii="Times New Roman" w:hAnsi="Times New Roman" w:cs="Times New Roman"/>
          <w:b/>
          <w:sz w:val="24"/>
        </w:rPr>
        <w:t xml:space="preserve"> </w:t>
      </w:r>
      <w:r w:rsidR="00D610BC" w:rsidRPr="005C53F5">
        <w:rPr>
          <w:rFonts w:ascii="Times New Roman" w:hAnsi="Times New Roman" w:cs="Times New Roman"/>
          <w:sz w:val="24"/>
        </w:rPr>
        <w:t>а по отдельности</w:t>
      </w:r>
      <w:r w:rsidR="00D610BC" w:rsidRPr="005C53F5">
        <w:rPr>
          <w:rFonts w:ascii="Times New Roman" w:hAnsi="Times New Roman" w:cs="Times New Roman"/>
          <w:b/>
          <w:sz w:val="24"/>
        </w:rPr>
        <w:t xml:space="preserve"> – </w:t>
      </w:r>
      <w:r w:rsidR="00D610BC" w:rsidRPr="005C53F5">
        <w:rPr>
          <w:rFonts w:ascii="Times New Roman" w:hAnsi="Times New Roman" w:cs="Times New Roman"/>
          <w:sz w:val="24"/>
        </w:rPr>
        <w:t>«</w:t>
      </w:r>
      <w:r w:rsidR="00D610BC" w:rsidRPr="005C53F5">
        <w:rPr>
          <w:rFonts w:ascii="Times New Roman" w:hAnsi="Times New Roman" w:cs="Times New Roman"/>
          <w:b/>
          <w:sz w:val="24"/>
        </w:rPr>
        <w:t>Агент по размещению</w:t>
      </w:r>
      <w:r w:rsidR="00D610BC" w:rsidRPr="005C53F5">
        <w:rPr>
          <w:rFonts w:ascii="Times New Roman" w:hAnsi="Times New Roman" w:cs="Times New Roman"/>
          <w:sz w:val="24"/>
        </w:rPr>
        <w:t>»</w:t>
      </w:r>
      <w:r w:rsidR="006418D3" w:rsidRPr="005C53F5">
        <w:rPr>
          <w:rFonts w:ascii="Times New Roman" w:hAnsi="Times New Roman" w:cs="Times New Roman"/>
          <w:sz w:val="24"/>
        </w:rPr>
        <w:t>,</w:t>
      </w:r>
      <w:r w:rsidR="006418D3" w:rsidRPr="005C53F5">
        <w:rPr>
          <w:rFonts w:ascii="Times New Roman" w:hAnsi="Times New Roman" w:cs="Times New Roman"/>
          <w:b/>
          <w:sz w:val="24"/>
        </w:rPr>
        <w:t xml:space="preserve"> </w:t>
      </w:r>
      <w:r w:rsidR="006418D3" w:rsidRPr="005C53F5">
        <w:rPr>
          <w:rFonts w:ascii="Times New Roman" w:hAnsi="Times New Roman" w:cs="Times New Roman"/>
          <w:sz w:val="24"/>
        </w:rPr>
        <w:t xml:space="preserve">если </w:t>
      </w:r>
      <w:r w:rsidR="006418D3" w:rsidRPr="005C53F5">
        <w:rPr>
          <w:rFonts w:ascii="Times New Roman" w:hAnsi="Times New Roman" w:cs="Times New Roman"/>
          <w:sz w:val="24"/>
          <w:szCs w:val="24"/>
        </w:rPr>
        <w:t>из контекста соответствующего положения Проспекта ценных бумаг не следует, что такое положение относится исключительно к определенному Агенту по размещению, указанному ниже</w:t>
      </w:r>
      <w:r w:rsidRPr="005C53F5">
        <w:rPr>
          <w:rFonts w:ascii="Times New Roman" w:hAnsi="Times New Roman" w:cs="Times New Roman"/>
          <w:sz w:val="24"/>
        </w:rPr>
        <w:t xml:space="preserve">), Эмитент привлекает </w:t>
      </w:r>
      <w:r w:rsidR="00D610BC" w:rsidRPr="005C53F5">
        <w:rPr>
          <w:rFonts w:ascii="Times New Roman" w:hAnsi="Times New Roman" w:cs="Times New Roman"/>
          <w:sz w:val="24"/>
        </w:rPr>
        <w:t xml:space="preserve">следующих </w:t>
      </w:r>
      <w:r w:rsidRPr="005C53F5">
        <w:rPr>
          <w:rFonts w:ascii="Times New Roman" w:hAnsi="Times New Roman" w:cs="Times New Roman"/>
          <w:sz w:val="24"/>
        </w:rPr>
        <w:t>лиц:</w:t>
      </w:r>
    </w:p>
    <w:p w14:paraId="5DF67449" w14:textId="637F1704" w:rsidR="00D610BC" w:rsidRPr="005C53F5" w:rsidRDefault="00D610BC" w:rsidP="00057BE5">
      <w:pPr>
        <w:pStyle w:val="ConsPlusNormal"/>
        <w:ind w:firstLine="709"/>
        <w:jc w:val="both"/>
        <w:rPr>
          <w:rFonts w:ascii="Times New Roman" w:hAnsi="Times New Roman" w:cs="Times New Roman"/>
          <w:b/>
          <w:i/>
          <w:sz w:val="24"/>
        </w:rPr>
      </w:pPr>
      <w:r w:rsidRPr="005C53F5">
        <w:rPr>
          <w:rFonts w:ascii="Times New Roman" w:hAnsi="Times New Roman" w:cs="Times New Roman"/>
          <w:b/>
          <w:i/>
          <w:sz w:val="24"/>
        </w:rPr>
        <w:t>1. На территории Российской Федерации:</w:t>
      </w:r>
    </w:p>
    <w:p w14:paraId="1071C215" w14:textId="7A13A038"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Полное фирменное наименование: </w:t>
      </w:r>
      <w:r w:rsidRPr="005C53F5">
        <w:rPr>
          <w:rFonts w:ascii="Times New Roman" w:hAnsi="Times New Roman" w:cs="Times New Roman"/>
          <w:sz w:val="24"/>
        </w:rPr>
        <w:t>Публичное акционерное общество РОСБАНК</w:t>
      </w:r>
    </w:p>
    <w:p w14:paraId="772F4CCF"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Сокращенное фирменное наименование: </w:t>
      </w:r>
      <w:r w:rsidRPr="005C53F5">
        <w:rPr>
          <w:rFonts w:ascii="Times New Roman" w:hAnsi="Times New Roman" w:cs="Times New Roman"/>
          <w:sz w:val="24"/>
        </w:rPr>
        <w:t>ПАО РОСБАНК</w:t>
      </w:r>
    </w:p>
    <w:p w14:paraId="6CA28F57"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Идентификационный номер налогоплательщика: </w:t>
      </w:r>
      <w:r w:rsidRPr="005C53F5">
        <w:rPr>
          <w:rFonts w:ascii="Times New Roman" w:hAnsi="Times New Roman" w:cs="Times New Roman"/>
          <w:sz w:val="24"/>
        </w:rPr>
        <w:t>7730060164</w:t>
      </w:r>
    </w:p>
    <w:p w14:paraId="3361FD69"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Основной государственный регистрационный номер (ОГРН): </w:t>
      </w:r>
      <w:r w:rsidRPr="005C53F5">
        <w:rPr>
          <w:rFonts w:ascii="Times New Roman" w:hAnsi="Times New Roman" w:cs="Times New Roman"/>
          <w:sz w:val="24"/>
        </w:rPr>
        <w:t>1027739460737</w:t>
      </w:r>
    </w:p>
    <w:p w14:paraId="514361E9"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Место нахождения: </w:t>
      </w:r>
      <w:r w:rsidRPr="005C53F5">
        <w:rPr>
          <w:rFonts w:ascii="Times New Roman" w:hAnsi="Times New Roman" w:cs="Times New Roman"/>
          <w:sz w:val="24"/>
        </w:rPr>
        <w:t>Российская Федерация, 107078, Москва, ул. Маши Порываевой, д. 34</w:t>
      </w:r>
    </w:p>
    <w:p w14:paraId="21100D66"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Адрес:</w:t>
      </w:r>
      <w:r w:rsidRPr="005C53F5">
        <w:rPr>
          <w:rFonts w:ascii="Times New Roman" w:hAnsi="Times New Roman" w:cs="Times New Roman"/>
          <w:sz w:val="24"/>
        </w:rPr>
        <w:t xml:space="preserve"> Российская Федерация, 107078, Москва, ул. Маши Порываевой, д. 34</w:t>
      </w:r>
    </w:p>
    <w:p w14:paraId="7FDECF27"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Номер лицензии на осуществление брокерской деятельности: </w:t>
      </w:r>
      <w:r w:rsidRPr="005C53F5">
        <w:rPr>
          <w:rFonts w:ascii="Times New Roman" w:hAnsi="Times New Roman" w:cs="Times New Roman"/>
          <w:sz w:val="24"/>
        </w:rPr>
        <w:t>177-05721-100000</w:t>
      </w:r>
    </w:p>
    <w:p w14:paraId="21BE07DA"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Дата выдачи лицензии на осуществление брокерской деятельности: </w:t>
      </w:r>
      <w:r w:rsidRPr="005C53F5">
        <w:rPr>
          <w:rFonts w:ascii="Times New Roman" w:hAnsi="Times New Roman" w:cs="Times New Roman"/>
          <w:sz w:val="24"/>
        </w:rPr>
        <w:t>06.11.2001</w:t>
      </w:r>
    </w:p>
    <w:p w14:paraId="123FF344"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Срок действия лицензии на осуществление брокерской деятельности:</w:t>
      </w:r>
      <w:r w:rsidRPr="005C53F5">
        <w:rPr>
          <w:rFonts w:ascii="Times New Roman" w:hAnsi="Times New Roman" w:cs="Times New Roman"/>
          <w:sz w:val="24"/>
        </w:rPr>
        <w:t xml:space="preserve"> без ограничения срока действия </w:t>
      </w:r>
    </w:p>
    <w:p w14:paraId="3A642C9A"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Орган, выдавший лицензию на осуществление брокерской деятельности:</w:t>
      </w:r>
      <w:r w:rsidRPr="005C53F5">
        <w:rPr>
          <w:rFonts w:ascii="Times New Roman" w:hAnsi="Times New Roman" w:cs="Times New Roman"/>
          <w:sz w:val="24"/>
        </w:rPr>
        <w:t xml:space="preserve"> ФКЦБ России</w:t>
      </w:r>
    </w:p>
    <w:p w14:paraId="537211F2" w14:textId="77777777" w:rsidR="00D610BC" w:rsidRPr="005C53F5" w:rsidRDefault="00D610BC" w:rsidP="00057BE5">
      <w:pPr>
        <w:pStyle w:val="ConsPlusNormal"/>
        <w:ind w:firstLine="709"/>
        <w:jc w:val="both"/>
        <w:rPr>
          <w:rFonts w:ascii="Times New Roman" w:hAnsi="Times New Roman" w:cs="Times New Roman"/>
          <w:b/>
          <w:i/>
          <w:sz w:val="24"/>
        </w:rPr>
      </w:pPr>
    </w:p>
    <w:p w14:paraId="1AD53076" w14:textId="1950FFCD" w:rsidR="00D610BC" w:rsidRPr="005C53F5" w:rsidRDefault="00D610BC" w:rsidP="00057BE5">
      <w:pPr>
        <w:pStyle w:val="ConsPlusNormal"/>
        <w:ind w:firstLine="709"/>
        <w:jc w:val="both"/>
        <w:rPr>
          <w:rFonts w:ascii="Times New Roman" w:hAnsi="Times New Roman" w:cs="Times New Roman"/>
          <w:b/>
          <w:i/>
          <w:sz w:val="24"/>
        </w:rPr>
      </w:pPr>
      <w:r w:rsidRPr="005C53F5">
        <w:rPr>
          <w:rFonts w:ascii="Times New Roman" w:hAnsi="Times New Roman" w:cs="Times New Roman"/>
          <w:b/>
          <w:i/>
          <w:sz w:val="24"/>
        </w:rPr>
        <w:t>2. На территории Республики Казахстан:</w:t>
      </w:r>
    </w:p>
    <w:p w14:paraId="7FB0E24D" w14:textId="77777777" w:rsidR="00D610BC" w:rsidRPr="005C53F5" w:rsidRDefault="00D610B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Полное фирменное наименование: </w:t>
      </w:r>
      <w:r w:rsidRPr="005C53F5">
        <w:rPr>
          <w:rFonts w:ascii="Times New Roman" w:hAnsi="Times New Roman" w:cs="Times New Roman"/>
          <w:sz w:val="24"/>
        </w:rPr>
        <w:t>Акционерное общество «First Heartland Securities»</w:t>
      </w:r>
    </w:p>
    <w:p w14:paraId="3FE69018"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Сокращенное фирменное наименование:</w:t>
      </w:r>
      <w:r w:rsidRPr="005C53F5">
        <w:rPr>
          <w:rFonts w:ascii="Times New Roman" w:hAnsi="Times New Roman" w:cs="Times New Roman"/>
          <w:sz w:val="24"/>
        </w:rPr>
        <w:t xml:space="preserve"> АО «First Heartland Securities»</w:t>
      </w:r>
    </w:p>
    <w:p w14:paraId="0B32C6C2" w14:textId="77777777" w:rsidR="00D610BC" w:rsidRPr="005C53F5" w:rsidRDefault="00D610B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Бизнес-идентификационный номер: </w:t>
      </w:r>
      <w:r w:rsidRPr="005C53F5">
        <w:rPr>
          <w:rFonts w:ascii="Times New Roman" w:hAnsi="Times New Roman" w:cs="Times New Roman"/>
          <w:sz w:val="24"/>
        </w:rPr>
        <w:t>080 340 017 099</w:t>
      </w:r>
    </w:p>
    <w:p w14:paraId="35FFB261"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Адрес:</w:t>
      </w:r>
      <w:r w:rsidRPr="005C53F5">
        <w:rPr>
          <w:rFonts w:ascii="Times New Roman" w:hAnsi="Times New Roman" w:cs="Times New Roman"/>
          <w:sz w:val="24"/>
        </w:rPr>
        <w:t xml:space="preserve"> Республика Казахстан, 050059, г. Алматы, пр. Назарбаева, 242</w:t>
      </w:r>
    </w:p>
    <w:p w14:paraId="2D6B0C08"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Номер лицензии на осуществление деятельности на рынке ценных бумаг:</w:t>
      </w:r>
      <w:r w:rsidRPr="005C53F5">
        <w:rPr>
          <w:rFonts w:ascii="Times New Roman" w:hAnsi="Times New Roman" w:cs="Times New Roman"/>
          <w:sz w:val="24"/>
        </w:rPr>
        <w:t xml:space="preserve"> 3.1.1.224</w:t>
      </w:r>
    </w:p>
    <w:p w14:paraId="7EB94BBF"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Дата выдачи лицензии на осуществление брокерской деятельности:</w:t>
      </w:r>
      <w:r w:rsidRPr="005C53F5">
        <w:rPr>
          <w:rFonts w:ascii="Times New Roman" w:hAnsi="Times New Roman" w:cs="Times New Roman"/>
          <w:sz w:val="24"/>
        </w:rPr>
        <w:t xml:space="preserve"> 27.03.2018 </w:t>
      </w:r>
    </w:p>
    <w:p w14:paraId="259BCB1C"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Орган, выдавший лицензию на осуществление брокерской деятельности:</w:t>
      </w:r>
      <w:r w:rsidRPr="005C53F5">
        <w:rPr>
          <w:rFonts w:ascii="Times New Roman" w:hAnsi="Times New Roman" w:cs="Times New Roman"/>
          <w:sz w:val="24"/>
        </w:rPr>
        <w:t xml:space="preserve"> Национальный Банк Республики Казахстан</w:t>
      </w:r>
    </w:p>
    <w:p w14:paraId="23DC542B" w14:textId="77777777" w:rsidR="00D610BC" w:rsidRPr="005C53F5" w:rsidRDefault="00D610BC" w:rsidP="00057BE5">
      <w:pPr>
        <w:pStyle w:val="ConsPlusNormal"/>
        <w:ind w:firstLine="709"/>
        <w:jc w:val="both"/>
        <w:rPr>
          <w:rFonts w:ascii="Times New Roman" w:hAnsi="Times New Roman" w:cs="Times New Roman"/>
          <w:i/>
          <w:sz w:val="24"/>
        </w:rPr>
      </w:pPr>
    </w:p>
    <w:p w14:paraId="300FF2ED" w14:textId="715BB0DE"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Основные функции </w:t>
      </w:r>
      <w:r w:rsidR="00D610BC" w:rsidRPr="005C53F5">
        <w:rPr>
          <w:rFonts w:ascii="Times New Roman" w:hAnsi="Times New Roman" w:cs="Times New Roman"/>
          <w:i/>
          <w:iCs/>
          <w:sz w:val="24"/>
        </w:rPr>
        <w:t xml:space="preserve">Агентов </w:t>
      </w:r>
      <w:r w:rsidRPr="005C53F5">
        <w:rPr>
          <w:rFonts w:ascii="Times New Roman" w:hAnsi="Times New Roman" w:cs="Times New Roman"/>
          <w:i/>
          <w:iCs/>
          <w:sz w:val="24"/>
        </w:rPr>
        <w:t>по размещению</w:t>
      </w:r>
      <w:r w:rsidRPr="005C53F5">
        <w:rPr>
          <w:rFonts w:ascii="Times New Roman" w:hAnsi="Times New Roman" w:cs="Times New Roman"/>
          <w:i/>
          <w:sz w:val="24"/>
        </w:rPr>
        <w:t>:</w:t>
      </w:r>
    </w:p>
    <w:p w14:paraId="6EE745E9" w14:textId="57276D3A"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Агент</w:t>
      </w:r>
      <w:r w:rsidR="00D610BC" w:rsidRPr="005C53F5">
        <w:rPr>
          <w:rFonts w:ascii="Times New Roman" w:hAnsi="Times New Roman" w:cs="Times New Roman"/>
          <w:sz w:val="24"/>
        </w:rPr>
        <w:t>ы</w:t>
      </w:r>
      <w:r w:rsidRPr="005C53F5">
        <w:rPr>
          <w:rFonts w:ascii="Times New Roman" w:hAnsi="Times New Roman" w:cs="Times New Roman"/>
          <w:sz w:val="24"/>
        </w:rPr>
        <w:t xml:space="preserve"> по размещению действу</w:t>
      </w:r>
      <w:r w:rsidR="00D610BC" w:rsidRPr="005C53F5">
        <w:rPr>
          <w:rFonts w:ascii="Times New Roman" w:hAnsi="Times New Roman" w:cs="Times New Roman"/>
          <w:sz w:val="24"/>
        </w:rPr>
        <w:t>ю</w:t>
      </w:r>
      <w:r w:rsidRPr="005C53F5">
        <w:rPr>
          <w:rFonts w:ascii="Times New Roman" w:hAnsi="Times New Roman" w:cs="Times New Roman"/>
          <w:sz w:val="24"/>
        </w:rPr>
        <w:t>т на основании заключенного с Эмитентом договора. К основным функциям Агент</w:t>
      </w:r>
      <w:r w:rsidR="00D610BC" w:rsidRPr="005C53F5">
        <w:rPr>
          <w:rFonts w:ascii="Times New Roman" w:hAnsi="Times New Roman" w:cs="Times New Roman"/>
          <w:sz w:val="24"/>
        </w:rPr>
        <w:t>ов</w:t>
      </w:r>
      <w:r w:rsidRPr="005C53F5">
        <w:rPr>
          <w:rFonts w:ascii="Times New Roman" w:hAnsi="Times New Roman" w:cs="Times New Roman"/>
          <w:sz w:val="24"/>
        </w:rPr>
        <w:t xml:space="preserve"> по размещению относятся:</w:t>
      </w:r>
    </w:p>
    <w:p w14:paraId="3971F75A" w14:textId="77777777" w:rsidR="00E46880" w:rsidRPr="005C53F5" w:rsidRDefault="00E46880" w:rsidP="00057BE5">
      <w:pPr>
        <w:pStyle w:val="ConsPlusNormal"/>
        <w:numPr>
          <w:ilvl w:val="0"/>
          <w:numId w:val="19"/>
        </w:numPr>
        <w:jc w:val="both"/>
        <w:rPr>
          <w:rFonts w:ascii="Times New Roman" w:hAnsi="Times New Roman" w:cs="Times New Roman"/>
          <w:bCs/>
          <w:iCs/>
          <w:sz w:val="24"/>
        </w:rPr>
      </w:pPr>
      <w:r w:rsidRPr="005C53F5">
        <w:rPr>
          <w:rFonts w:ascii="Times New Roman" w:hAnsi="Times New Roman" w:cs="Times New Roman"/>
          <w:bCs/>
          <w:iCs/>
          <w:sz w:val="24"/>
        </w:rPr>
        <w:t>удовлетворение заявок на покупку Облигаций по поручению и за счет Эмитента в соответствии с условиями договора и процедурой, установленной Проспектом ценных бумаг;</w:t>
      </w:r>
    </w:p>
    <w:p w14:paraId="642B0D56" w14:textId="77777777" w:rsidR="00E46880" w:rsidRPr="005C53F5" w:rsidRDefault="00E46880" w:rsidP="00057BE5">
      <w:pPr>
        <w:pStyle w:val="ConsPlusNormal"/>
        <w:numPr>
          <w:ilvl w:val="0"/>
          <w:numId w:val="19"/>
        </w:numPr>
        <w:jc w:val="both"/>
        <w:rPr>
          <w:rFonts w:ascii="Times New Roman" w:hAnsi="Times New Roman" w:cs="Times New Roman"/>
          <w:bCs/>
          <w:iCs/>
          <w:sz w:val="24"/>
        </w:rPr>
      </w:pPr>
      <w:r w:rsidRPr="005C53F5">
        <w:rPr>
          <w:rFonts w:ascii="Times New Roman" w:hAnsi="Times New Roman" w:cs="Times New Roman"/>
          <w:bCs/>
          <w:iCs/>
          <w:sz w:val="24"/>
        </w:rPr>
        <w:t>информирование Эмитента о количестве фактически размещенных Облигаций, а также о размере полученных от продажи Облигаций денежных средств;</w:t>
      </w:r>
    </w:p>
    <w:p w14:paraId="62AB8DAF" w14:textId="77777777" w:rsidR="00E46880" w:rsidRPr="005C53F5" w:rsidRDefault="00E46880" w:rsidP="00057BE5">
      <w:pPr>
        <w:pStyle w:val="ConsPlusNormal"/>
        <w:numPr>
          <w:ilvl w:val="0"/>
          <w:numId w:val="19"/>
        </w:numPr>
        <w:jc w:val="both"/>
        <w:rPr>
          <w:rFonts w:ascii="Times New Roman" w:hAnsi="Times New Roman" w:cs="Times New Roman"/>
          <w:bCs/>
          <w:iCs/>
          <w:sz w:val="24"/>
        </w:rPr>
      </w:pPr>
      <w:r w:rsidRPr="005C53F5">
        <w:rPr>
          <w:rFonts w:ascii="Times New Roman" w:hAnsi="Times New Roman" w:cs="Times New Roman"/>
          <w:bCs/>
          <w:iCs/>
          <w:sz w:val="24"/>
        </w:rPr>
        <w:t xml:space="preserve">перечисление денежных средств, получаемых </w:t>
      </w:r>
      <w:r w:rsidRPr="005C53F5">
        <w:rPr>
          <w:rFonts w:ascii="Times New Roman" w:hAnsi="Times New Roman" w:cs="Times New Roman"/>
          <w:sz w:val="24"/>
        </w:rPr>
        <w:t>Агентом по размещению</w:t>
      </w:r>
      <w:r w:rsidRPr="005C53F5">
        <w:rPr>
          <w:rFonts w:ascii="Times New Roman" w:hAnsi="Times New Roman" w:cs="Times New Roman"/>
          <w:bCs/>
          <w:iCs/>
          <w:sz w:val="24"/>
        </w:rPr>
        <w:t xml:space="preserve"> от приобретателей Облигаций в счет их оплаты, на расчетный счет Эмитента в соответствии с условиями заключенного договора;</w:t>
      </w:r>
    </w:p>
    <w:p w14:paraId="6A674C90" w14:textId="77777777" w:rsidR="00E46880" w:rsidRPr="005C53F5" w:rsidRDefault="00E46880" w:rsidP="00057BE5">
      <w:pPr>
        <w:pStyle w:val="ConsPlusNormal"/>
        <w:numPr>
          <w:ilvl w:val="0"/>
          <w:numId w:val="19"/>
        </w:numPr>
        <w:jc w:val="both"/>
        <w:rPr>
          <w:rFonts w:ascii="Times New Roman" w:hAnsi="Times New Roman" w:cs="Times New Roman"/>
          <w:sz w:val="24"/>
        </w:rPr>
      </w:pPr>
      <w:r w:rsidRPr="005C53F5">
        <w:rPr>
          <w:rFonts w:ascii="Times New Roman" w:hAnsi="Times New Roman" w:cs="Times New Roman"/>
          <w:bCs/>
          <w:iCs/>
          <w:sz w:val="24"/>
        </w:rPr>
        <w:t>осуществление иных действий, необходимых для размещения Облигаций, в соответствии с примен</w:t>
      </w:r>
      <w:r w:rsidRPr="005C53F5">
        <w:rPr>
          <w:rFonts w:ascii="Times New Roman" w:hAnsi="Times New Roman" w:cs="Times New Roman"/>
          <w:sz w:val="24"/>
        </w:rPr>
        <w:t>имым законодательством и договором между Эмитентом и Агента по размещению.</w:t>
      </w:r>
    </w:p>
    <w:p w14:paraId="17F10FEC" w14:textId="1E961D8B"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Наличие у </w:t>
      </w:r>
      <w:r w:rsidRPr="005C53F5">
        <w:rPr>
          <w:rFonts w:ascii="Times New Roman" w:hAnsi="Times New Roman" w:cs="Times New Roman"/>
          <w:i/>
          <w:iCs/>
          <w:sz w:val="24"/>
        </w:rPr>
        <w:t>Агент</w:t>
      </w:r>
      <w:r w:rsidR="00D610BC" w:rsidRPr="005C53F5">
        <w:rPr>
          <w:rFonts w:ascii="Times New Roman" w:hAnsi="Times New Roman" w:cs="Times New Roman"/>
          <w:i/>
          <w:iCs/>
          <w:sz w:val="24"/>
        </w:rPr>
        <w:t>ов</w:t>
      </w:r>
      <w:r w:rsidRPr="005C53F5">
        <w:rPr>
          <w:rFonts w:ascii="Times New Roman" w:hAnsi="Times New Roman" w:cs="Times New Roman"/>
          <w:i/>
          <w:iCs/>
          <w:sz w:val="24"/>
        </w:rPr>
        <w:t xml:space="preserve"> по размещению</w:t>
      </w:r>
      <w:r w:rsidRPr="005C53F5">
        <w:rPr>
          <w:rFonts w:ascii="Times New Roman" w:hAnsi="Times New Roman" w:cs="Times New Roman"/>
          <w:i/>
          <w:sz w:val="24"/>
        </w:rPr>
        <w:t xml:space="preserve"> обязанностей по приобретению не размещенных в срок ценных бумаг, а при наличии такой обязанности - также количество (порядок определения количества) не размещенных в срок ценных бумаг, которое обязано приобрести указанное лицо, и срок (порядок определения срока), по истечении которого указанное лицо обязано приобрести такое количество ценных бумаг:</w:t>
      </w:r>
    </w:p>
    <w:p w14:paraId="15FCA1E2" w14:textId="7FF81E4E"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Наличие у Агент</w:t>
      </w:r>
      <w:r w:rsidR="00D610BC" w:rsidRPr="005C53F5">
        <w:rPr>
          <w:rFonts w:ascii="Times New Roman" w:hAnsi="Times New Roman" w:cs="Times New Roman"/>
          <w:sz w:val="24"/>
        </w:rPr>
        <w:t>ов</w:t>
      </w:r>
      <w:r w:rsidRPr="005C53F5">
        <w:rPr>
          <w:rFonts w:ascii="Times New Roman" w:hAnsi="Times New Roman" w:cs="Times New Roman"/>
          <w:sz w:val="24"/>
        </w:rPr>
        <w:t xml:space="preserve"> по размещению обязанностей по приобретению не размещенных в срок ценных бумаг не предусмотрено.</w:t>
      </w:r>
    </w:p>
    <w:p w14:paraId="17DB2A14" w14:textId="6CAF9B1B"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Наличие у </w:t>
      </w:r>
      <w:r w:rsidRPr="005C53F5">
        <w:rPr>
          <w:rFonts w:ascii="Times New Roman" w:hAnsi="Times New Roman" w:cs="Times New Roman"/>
          <w:i/>
          <w:iCs/>
          <w:sz w:val="24"/>
        </w:rPr>
        <w:t>Агент</w:t>
      </w:r>
      <w:r w:rsidR="00D610BC" w:rsidRPr="005C53F5">
        <w:rPr>
          <w:rFonts w:ascii="Times New Roman" w:hAnsi="Times New Roman" w:cs="Times New Roman"/>
          <w:i/>
          <w:iCs/>
          <w:sz w:val="24"/>
        </w:rPr>
        <w:t>ов</w:t>
      </w:r>
      <w:r w:rsidRPr="005C53F5">
        <w:rPr>
          <w:rFonts w:ascii="Times New Roman" w:hAnsi="Times New Roman" w:cs="Times New Roman"/>
          <w:i/>
          <w:iCs/>
          <w:sz w:val="24"/>
        </w:rPr>
        <w:t xml:space="preserve"> по размещению </w:t>
      </w:r>
      <w:r w:rsidRPr="005C53F5">
        <w:rPr>
          <w:rFonts w:ascii="Times New Roman" w:hAnsi="Times New Roman" w:cs="Times New Roman"/>
          <w:i/>
          <w:sz w:val="24"/>
        </w:rPr>
        <w:t>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а при наличии такой обязанности - также срок (порядок определения срока), в течение которого указанное лицо обязано осуществлять стабилизацию или оказывать услуги маркет-мейкера:</w:t>
      </w:r>
    </w:p>
    <w:p w14:paraId="4DEA05F9" w14:textId="27DE55EB"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Наличие у Агент</w:t>
      </w:r>
      <w:r w:rsidR="00D610BC" w:rsidRPr="005C53F5">
        <w:rPr>
          <w:rFonts w:ascii="Times New Roman" w:hAnsi="Times New Roman" w:cs="Times New Roman"/>
          <w:sz w:val="24"/>
        </w:rPr>
        <w:t>ов</w:t>
      </w:r>
      <w:r w:rsidRPr="005C53F5">
        <w:rPr>
          <w:rFonts w:ascii="Times New Roman" w:hAnsi="Times New Roman" w:cs="Times New Roman"/>
          <w:sz w:val="24"/>
        </w:rPr>
        <w:t xml:space="preserve"> по размещению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не предусмотрено.</w:t>
      </w:r>
    </w:p>
    <w:p w14:paraId="25F410F4" w14:textId="1792DCA2"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Наличие у </w:t>
      </w:r>
      <w:r w:rsidRPr="005C53F5">
        <w:rPr>
          <w:rFonts w:ascii="Times New Roman" w:hAnsi="Times New Roman" w:cs="Times New Roman"/>
          <w:i/>
          <w:iCs/>
          <w:sz w:val="24"/>
        </w:rPr>
        <w:t>Агент</w:t>
      </w:r>
      <w:r w:rsidR="00D610BC" w:rsidRPr="005C53F5">
        <w:rPr>
          <w:rFonts w:ascii="Times New Roman" w:hAnsi="Times New Roman" w:cs="Times New Roman"/>
          <w:i/>
          <w:iCs/>
          <w:sz w:val="24"/>
        </w:rPr>
        <w:t>ов</w:t>
      </w:r>
      <w:r w:rsidRPr="005C53F5">
        <w:rPr>
          <w:rFonts w:ascii="Times New Roman" w:hAnsi="Times New Roman" w:cs="Times New Roman"/>
          <w:i/>
          <w:iCs/>
          <w:sz w:val="24"/>
        </w:rPr>
        <w:t xml:space="preserve"> по размещению </w:t>
      </w:r>
      <w:r w:rsidRPr="005C53F5">
        <w:rPr>
          <w:rFonts w:ascii="Times New Roman" w:hAnsi="Times New Roman" w:cs="Times New Roman"/>
          <w:i/>
          <w:sz w:val="24"/>
        </w:rPr>
        <w:t>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а при наличии такого права - дополнительное количество (порядок определения количества) ценных бумаг, которое может быть приобретено указанным лицом, и срок (порядок определения срока), в течение которого указанным лицом может быть реализовано право на приобретение дополнительного количества ценных бумаг:</w:t>
      </w:r>
    </w:p>
    <w:p w14:paraId="1F3B1EE9" w14:textId="7826F888"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lastRenderedPageBreak/>
        <w:t>Наличие у Агент</w:t>
      </w:r>
      <w:r w:rsidR="00D610BC" w:rsidRPr="005C53F5">
        <w:rPr>
          <w:rFonts w:ascii="Times New Roman" w:hAnsi="Times New Roman" w:cs="Times New Roman"/>
          <w:sz w:val="24"/>
        </w:rPr>
        <w:t>ов</w:t>
      </w:r>
      <w:r w:rsidRPr="005C53F5">
        <w:rPr>
          <w:rFonts w:ascii="Times New Roman" w:hAnsi="Times New Roman" w:cs="Times New Roman"/>
          <w:sz w:val="24"/>
        </w:rPr>
        <w:t xml:space="preserve"> по размещению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Облигации, которое может быть реализовано или не реализовано в зависимости от результатов размещения Облигаций, не предусмотрено.</w:t>
      </w:r>
    </w:p>
    <w:p w14:paraId="3A1D81F3" w14:textId="0A1976C4"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Размер вознаграждения </w:t>
      </w:r>
      <w:r w:rsidRPr="005C53F5">
        <w:rPr>
          <w:rFonts w:ascii="Times New Roman" w:hAnsi="Times New Roman" w:cs="Times New Roman"/>
          <w:i/>
          <w:iCs/>
          <w:sz w:val="24"/>
        </w:rPr>
        <w:t>Агент</w:t>
      </w:r>
      <w:r w:rsidR="00D610BC" w:rsidRPr="005C53F5">
        <w:rPr>
          <w:rFonts w:ascii="Times New Roman" w:hAnsi="Times New Roman" w:cs="Times New Roman"/>
          <w:i/>
          <w:iCs/>
          <w:sz w:val="24"/>
        </w:rPr>
        <w:t>ов</w:t>
      </w:r>
      <w:r w:rsidRPr="005C53F5">
        <w:rPr>
          <w:rFonts w:ascii="Times New Roman" w:hAnsi="Times New Roman" w:cs="Times New Roman"/>
          <w:i/>
          <w:iCs/>
          <w:sz w:val="24"/>
        </w:rPr>
        <w:t xml:space="preserve"> по размещению</w:t>
      </w:r>
      <w:r w:rsidRPr="005C53F5">
        <w:rPr>
          <w:rFonts w:ascii="Times New Roman" w:hAnsi="Times New Roman" w:cs="Times New Roman"/>
          <w:i/>
          <w:sz w:val="24"/>
        </w:rPr>
        <w:t>, а если указанное вознаграждение (часть вознаграждения) выплачивается такому лицу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 также размер указанного вознаграждения:</w:t>
      </w:r>
    </w:p>
    <w:p w14:paraId="30CF8084" w14:textId="7B905C61" w:rsidR="006941E6"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Размер вознаграждения Агент</w:t>
      </w:r>
      <w:r w:rsidR="00D610BC" w:rsidRPr="005C53F5">
        <w:rPr>
          <w:rFonts w:ascii="Times New Roman" w:hAnsi="Times New Roman" w:cs="Times New Roman"/>
          <w:sz w:val="24"/>
        </w:rPr>
        <w:t>ов</w:t>
      </w:r>
      <w:r w:rsidRPr="005C53F5">
        <w:rPr>
          <w:rFonts w:ascii="Times New Roman" w:hAnsi="Times New Roman" w:cs="Times New Roman"/>
          <w:sz w:val="24"/>
        </w:rPr>
        <w:t xml:space="preserve"> по размещению в совокупности не превысит 1% (один процент) от номинальной стоимости Выпуска. Вознаграждение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не предусмотрено.</w:t>
      </w:r>
    </w:p>
    <w:p w14:paraId="02539FFF" w14:textId="77777777" w:rsidR="00D610BC" w:rsidRPr="005C53F5" w:rsidRDefault="00D610BC" w:rsidP="00057BE5">
      <w:pPr>
        <w:pStyle w:val="ConsPlusNormal"/>
        <w:ind w:firstLine="709"/>
        <w:jc w:val="both"/>
        <w:rPr>
          <w:rFonts w:ascii="Times New Roman" w:hAnsi="Times New Roman" w:cs="Times New Roman"/>
          <w:i/>
          <w:sz w:val="24"/>
        </w:rPr>
      </w:pPr>
    </w:p>
    <w:p w14:paraId="01E0F254" w14:textId="27BC6AA2"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размещение ценных бумаг предполагается осуществлять за пределами Российской Федерации, в том числе посредством размещения соответствующих иностранных ценных бумаг:</w:t>
      </w:r>
    </w:p>
    <w:p w14:paraId="2DBD3F62"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Размещение Облигаций предполагается осуществлять как на территории Российской Федерации, так и за пределами Российской Федерации.</w:t>
      </w:r>
    </w:p>
    <w:p w14:paraId="5035554A"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Размещение Облигаций за пределами Российской Федерации предполагается осуществить на AIX.</w:t>
      </w:r>
    </w:p>
    <w:p w14:paraId="2915DBB0"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Размещение Облигаций за пределами Российской Федерации не предполагается осуществлять посредством размещения соответствующих иностранных ценных бумаг.</w:t>
      </w:r>
    </w:p>
    <w:p w14:paraId="4699C6AE"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одновременно с размещением ценных бумаг планируется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w:t>
      </w:r>
    </w:p>
    <w:p w14:paraId="1467CF97"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Одновременно с размещением Облигаций не планируется предложить к приобретению ранее размещенные (находящиеся в обращении) ценные бумаги Эмитента того же вида, категории (типа).</w:t>
      </w:r>
    </w:p>
    <w:p w14:paraId="6D93872E"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эмитент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является хозяйственным обществом, имеющим стратегическое значение для обеспечения обороны страны и безопасности государства:</w:t>
      </w:r>
    </w:p>
    <w:p w14:paraId="4FB5D9CF"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Эмитент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не является хозяйственным обществом, имеющим стратегическое значение для обеспечения обороны страны и безопасности государства.</w:t>
      </w:r>
    </w:p>
    <w:p w14:paraId="0E71BBD6" w14:textId="77777777" w:rsidR="00E46880" w:rsidRPr="005C53F5" w:rsidRDefault="00E46880"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заключение договоров, направленных на отчуждение ценных бумаг эмитента, являющегося хозяйственным обществом, имеющим стратегическое значение для обеспечения обороны страны и безопасности государства, первым владельцам в ходе их размещения может потребовать принятия решения о предварительном согласовании указанных договоров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3C3FA7DB" w14:textId="77777777" w:rsidR="00E46880" w:rsidRPr="005C53F5" w:rsidRDefault="00E4688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Заключение договоров, направленных на отчуждение Облигаций потенциальным </w:t>
      </w:r>
      <w:r w:rsidRPr="005C53F5">
        <w:rPr>
          <w:rFonts w:ascii="Times New Roman" w:hAnsi="Times New Roman" w:cs="Times New Roman"/>
          <w:sz w:val="24"/>
        </w:rPr>
        <w:lastRenderedPageBreak/>
        <w:t>приобретателям в ходе их размещения, не требует принятия решения о предварительном согласовании указанных договоров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2FF7C994" w14:textId="7D9D8944" w:rsidR="00E46880" w:rsidRPr="005C53F5" w:rsidRDefault="00E46880" w:rsidP="00057BE5">
      <w:pPr>
        <w:pStyle w:val="ConsPlusNormal"/>
        <w:ind w:firstLine="708"/>
        <w:jc w:val="both"/>
        <w:rPr>
          <w:rFonts w:ascii="Times New Roman" w:hAnsi="Times New Roman" w:cs="Times New Roman"/>
          <w:i/>
          <w:iCs/>
          <w:sz w:val="24"/>
          <w:szCs w:val="24"/>
        </w:rPr>
      </w:pPr>
      <w:r w:rsidRPr="005C53F5">
        <w:rPr>
          <w:rFonts w:ascii="Times New Roman" w:hAnsi="Times New Roman" w:cs="Times New Roman"/>
          <w:i/>
          <w:iCs/>
          <w:sz w:val="24"/>
          <w:szCs w:val="24"/>
        </w:rPr>
        <w:t>Сроки размещения ценных бумаг (дата начала, дата окончания размещения или порядок их определения):</w:t>
      </w:r>
    </w:p>
    <w:p w14:paraId="439FDC7F" w14:textId="748E28C3" w:rsidR="00E46880" w:rsidRPr="005C53F5" w:rsidRDefault="00E46880" w:rsidP="00057BE5">
      <w:pPr>
        <w:pStyle w:val="ConsPlusNormal"/>
        <w:ind w:firstLine="709"/>
        <w:jc w:val="both"/>
        <w:rPr>
          <w:rFonts w:ascii="Times New Roman" w:hAnsi="Times New Roman" w:cs="Times New Roman"/>
          <w:i/>
          <w:sz w:val="24"/>
          <w:szCs w:val="24"/>
        </w:rPr>
      </w:pPr>
      <w:r w:rsidRPr="005C53F5">
        <w:rPr>
          <w:rFonts w:ascii="Times New Roman" w:hAnsi="Times New Roman" w:cs="Times New Roman"/>
          <w:i/>
          <w:sz w:val="24"/>
          <w:szCs w:val="24"/>
        </w:rPr>
        <w:t>Дата начала размещения ценных бумаг:</w:t>
      </w:r>
      <w:r w:rsidR="00A30B8F" w:rsidRPr="005C53F5">
        <w:rPr>
          <w:rFonts w:ascii="Times New Roman" w:hAnsi="Times New Roman" w:cs="Times New Roman"/>
          <w:i/>
          <w:sz w:val="24"/>
          <w:szCs w:val="24"/>
        </w:rPr>
        <w:t xml:space="preserve"> </w:t>
      </w:r>
    </w:p>
    <w:p w14:paraId="01329220" w14:textId="77777777" w:rsidR="00A30B8F" w:rsidRPr="005C53F5" w:rsidRDefault="00A30B8F"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Дата начала размещения Облигаций определяется уполномоченным органом Эмитента.</w:t>
      </w:r>
    </w:p>
    <w:p w14:paraId="0C1C7613" w14:textId="77777777" w:rsidR="00A30B8F" w:rsidRPr="005C53F5" w:rsidRDefault="00A30B8F"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о дате начала размещения Облигаций публикуется Эмитентом в соответствии с порядком раскрытия информации, указанным в пункте 8.11 Проспекта ценных бумаг, после публикации сообщения о принятии Банком России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Об определенной дате начала размещения Эмитент уведомляет Биржу и НРД в порядке, установленном пунктом 8.11 Проспекта ценных бумаг.</w:t>
      </w:r>
    </w:p>
    <w:p w14:paraId="3AEA5CF8" w14:textId="77777777" w:rsidR="00A30B8F" w:rsidRPr="005C53F5" w:rsidRDefault="00A30B8F"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Дата начала размещения Облигаций, определенная уполномоченным органом Эмитента, может быть изменена (перенесена) решением того же уполномоченного органа Эмитента, при условии соблюдения требований к порядку раскрытия информации об изменении (переносе) даты начала размещения Облигаций, определенному Проспектом ценных бумаг. Об изменении (переносе) даты начала размещения Облигаций Эмитент уведомляет Биржу и НРД в порядке, установленном пунктом 8.11 Проспекта ценных бумаг.</w:t>
      </w:r>
    </w:p>
    <w:p w14:paraId="4BFD5F8F" w14:textId="77777777" w:rsidR="00A30B8F" w:rsidRPr="005C53F5" w:rsidRDefault="00A30B8F" w:rsidP="00057BE5">
      <w:pPr>
        <w:pStyle w:val="ConsPlusNormal"/>
        <w:ind w:firstLine="709"/>
        <w:jc w:val="both"/>
        <w:rPr>
          <w:rFonts w:ascii="Times New Roman" w:hAnsi="Times New Roman" w:cs="Times New Roman"/>
          <w:bCs/>
          <w:i/>
          <w:iCs/>
          <w:sz w:val="24"/>
        </w:rPr>
      </w:pPr>
      <w:r w:rsidRPr="005C53F5">
        <w:rPr>
          <w:rFonts w:ascii="Times New Roman" w:hAnsi="Times New Roman" w:cs="Times New Roman"/>
          <w:bCs/>
          <w:i/>
          <w:iCs/>
          <w:sz w:val="24"/>
        </w:rPr>
        <w:t>Дата окончания размещения ценных бумаг:</w:t>
      </w:r>
    </w:p>
    <w:p w14:paraId="5247E1CA" w14:textId="77777777" w:rsidR="00A30B8F" w:rsidRPr="005C53F5" w:rsidRDefault="00A30B8F"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Датой окончания размещения Облигаций является наиболее ранняя из следующих дат: </w:t>
      </w:r>
    </w:p>
    <w:p w14:paraId="2AADF15A" w14:textId="350F90F6" w:rsidR="00A30B8F" w:rsidRPr="005C53F5" w:rsidRDefault="00A30B8F" w:rsidP="00057BE5">
      <w:pPr>
        <w:pStyle w:val="ConsPlusNormal"/>
        <w:numPr>
          <w:ilvl w:val="0"/>
          <w:numId w:val="16"/>
        </w:numPr>
        <w:jc w:val="both"/>
        <w:rPr>
          <w:rFonts w:ascii="Times New Roman" w:hAnsi="Times New Roman" w:cs="Times New Roman"/>
          <w:bCs/>
          <w:iCs/>
          <w:sz w:val="24"/>
        </w:rPr>
      </w:pPr>
      <w:r w:rsidRPr="005C53F5">
        <w:rPr>
          <w:rFonts w:ascii="Times New Roman" w:hAnsi="Times New Roman" w:cs="Times New Roman"/>
          <w:bCs/>
          <w:iCs/>
          <w:sz w:val="24"/>
        </w:rPr>
        <w:t xml:space="preserve">3-й (третий) рабочий день с даты начала размещения Облигаций; </w:t>
      </w:r>
    </w:p>
    <w:p w14:paraId="6E10E3E8" w14:textId="77777777" w:rsidR="00A30B8F" w:rsidRPr="005C53F5" w:rsidRDefault="00A30B8F" w:rsidP="00057BE5">
      <w:pPr>
        <w:pStyle w:val="ConsPlusNormal"/>
        <w:numPr>
          <w:ilvl w:val="0"/>
          <w:numId w:val="16"/>
        </w:numPr>
        <w:jc w:val="both"/>
        <w:rPr>
          <w:rFonts w:ascii="Times New Roman" w:hAnsi="Times New Roman" w:cs="Times New Roman"/>
          <w:bCs/>
          <w:iCs/>
          <w:sz w:val="24"/>
        </w:rPr>
      </w:pPr>
      <w:r w:rsidRPr="005C53F5">
        <w:rPr>
          <w:rFonts w:ascii="Times New Roman" w:hAnsi="Times New Roman" w:cs="Times New Roman"/>
          <w:bCs/>
          <w:iCs/>
          <w:sz w:val="24"/>
        </w:rPr>
        <w:t>дата размещения последней Облигации.</w:t>
      </w:r>
    </w:p>
    <w:p w14:paraId="1FA7FA8E" w14:textId="19042FCC" w:rsidR="00E46880" w:rsidRPr="005C53F5" w:rsidRDefault="00A30B8F"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Выпуск не предполагается размещать траншами.</w:t>
      </w:r>
    </w:p>
    <w:p w14:paraId="34405D2F" w14:textId="77777777" w:rsidR="00A30B8F" w:rsidRPr="005C53F5" w:rsidRDefault="00A30B8F"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Цена размещения ценных бумаг или порядок ее определения:</w:t>
      </w:r>
    </w:p>
    <w:p w14:paraId="628E80AF" w14:textId="77777777" w:rsidR="00A30B8F" w:rsidRPr="005C53F5" w:rsidRDefault="00A30B8F"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Цена размещения Облигаций: 1 000 (одна тысяча) российских рублей за Облигацию, что соответствует 100% (ста процентам) от номинальной стоимости Облигации.</w:t>
      </w:r>
    </w:p>
    <w:p w14:paraId="6A11E1C5" w14:textId="4DCDF6D3" w:rsidR="00A30B8F" w:rsidRPr="005C53F5" w:rsidRDefault="00A30B8F" w:rsidP="00057BE5">
      <w:pPr>
        <w:pStyle w:val="ConsPlusNormal"/>
        <w:ind w:firstLine="709"/>
        <w:jc w:val="both"/>
        <w:rPr>
          <w:rFonts w:ascii="Times New Roman" w:hAnsi="Times New Roman" w:cs="Times New Roman"/>
          <w:iCs/>
          <w:sz w:val="24"/>
          <w:szCs w:val="24"/>
        </w:rPr>
      </w:pPr>
      <w:r w:rsidRPr="005C53F5">
        <w:rPr>
          <w:rFonts w:ascii="Times New Roman" w:hAnsi="Times New Roman" w:cs="Times New Roman"/>
          <w:sz w:val="24"/>
        </w:rPr>
        <w:t>Начиная со второго дня размещения Облигаций, покупатель при совершении сделки купли - продажи Облигаций также уплачивает накопленный купонный доход по Облигациям (далее также – «</w:t>
      </w:r>
      <w:r w:rsidRPr="005C53F5">
        <w:rPr>
          <w:rFonts w:ascii="Times New Roman" w:hAnsi="Times New Roman" w:cs="Times New Roman"/>
          <w:b/>
          <w:sz w:val="24"/>
        </w:rPr>
        <w:t>НКД</w:t>
      </w:r>
      <w:r w:rsidRPr="005C53F5">
        <w:rPr>
          <w:rFonts w:ascii="Times New Roman" w:hAnsi="Times New Roman" w:cs="Times New Roman"/>
          <w:sz w:val="24"/>
        </w:rPr>
        <w:t>»), определяемый по формуле, установленной в пункте 8.19.2 Проспекта ценных бумаг</w:t>
      </w:r>
      <w:r w:rsidR="006810EF" w:rsidRPr="005C53F5">
        <w:rPr>
          <w:rFonts w:ascii="Times New Roman" w:hAnsi="Times New Roman" w:cs="Times New Roman"/>
          <w:sz w:val="24"/>
        </w:rPr>
        <w:t>.</w:t>
      </w:r>
    </w:p>
    <w:p w14:paraId="4FDA2DD4" w14:textId="77777777" w:rsidR="00A30B8F" w:rsidRPr="005C53F5" w:rsidRDefault="00A30B8F"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Условия обеспечения (для облигаций с обеспечением):</w:t>
      </w:r>
    </w:p>
    <w:p w14:paraId="001CFB61" w14:textId="77777777" w:rsidR="00A30B8F" w:rsidRPr="005C53F5" w:rsidRDefault="00A30B8F"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Предоставление обеспечения по Облигациям не предусмотрено.</w:t>
      </w:r>
    </w:p>
    <w:p w14:paraId="72E47826" w14:textId="77777777" w:rsidR="00A30B8F" w:rsidRPr="005C53F5" w:rsidRDefault="00A30B8F" w:rsidP="00057BE5">
      <w:pPr>
        <w:pStyle w:val="ConsPlusNormal"/>
        <w:ind w:firstLine="709"/>
        <w:jc w:val="both"/>
        <w:rPr>
          <w:rFonts w:ascii="Times New Roman" w:hAnsi="Times New Roman" w:cs="Times New Roman"/>
          <w:i/>
          <w:iCs/>
          <w:sz w:val="24"/>
          <w:szCs w:val="24"/>
        </w:rPr>
      </w:pPr>
      <w:r w:rsidRPr="005C53F5">
        <w:rPr>
          <w:rFonts w:ascii="Times New Roman" w:hAnsi="Times New Roman" w:cs="Times New Roman"/>
          <w:i/>
          <w:iCs/>
          <w:sz w:val="24"/>
          <w:szCs w:val="24"/>
        </w:rPr>
        <w:t>Условия конвертации (для конвертируемых ценных бумаг):</w:t>
      </w:r>
    </w:p>
    <w:p w14:paraId="0D2BB2E2" w14:textId="1AFB14F5" w:rsidR="00A30B8F" w:rsidRPr="005C53F5" w:rsidRDefault="00A30B8F"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Не применимо, поскольку Облигации не являются конвертируемыми ценными бумагами.</w:t>
      </w:r>
    </w:p>
    <w:p w14:paraId="094E1B9B" w14:textId="77777777" w:rsidR="002D7CF7" w:rsidRPr="005C53F5" w:rsidRDefault="007F68E4" w:rsidP="00057BE5">
      <w:pPr>
        <w:pStyle w:val="ConsPlusNormal"/>
        <w:ind w:firstLine="709"/>
        <w:jc w:val="both"/>
        <w:rPr>
          <w:rFonts w:ascii="Times New Roman" w:hAnsi="Times New Roman" w:cs="Times New Roman"/>
          <w:b/>
          <w:i/>
          <w:sz w:val="24"/>
          <w:szCs w:val="24"/>
          <w:u w:val="single"/>
        </w:rPr>
      </w:pPr>
      <w:bookmarkStart w:id="33" w:name="_Toc521608794"/>
      <w:bookmarkStart w:id="34" w:name="_Toc533784478"/>
      <w:r w:rsidRPr="005C53F5">
        <w:rPr>
          <w:rFonts w:ascii="Times New Roman" w:hAnsi="Times New Roman" w:cs="Times New Roman"/>
          <w:b/>
          <w:i/>
          <w:sz w:val="24"/>
          <w:szCs w:val="24"/>
          <w:u w:val="single"/>
        </w:rPr>
        <w:t>в) основные сведения о размещенных эмитентом ценных бумагах, в отношении которых осуществляется регистрация проспекта (в случае регистрации проспекта ценных бумаг впоследствии (после государственной регистрации отчета (представления уведомления) об итогах выпуска (дополнительного выпуска) ценных бумаг): вид, категория (тип), серия (для облигаций) и иные идентификационные признаки ценных бумаг, количество размещенных ценных бумаг, номинальная стоимость (в случае если наличие номинальной стоимости предусмотрено законодательством Российской Федерации), условия обеспечения (для облигаций с обеспечением), условия конвертации (д</w:t>
      </w:r>
      <w:r w:rsidR="009C2BA4" w:rsidRPr="005C53F5">
        <w:rPr>
          <w:rFonts w:ascii="Times New Roman" w:hAnsi="Times New Roman" w:cs="Times New Roman"/>
          <w:b/>
          <w:i/>
          <w:sz w:val="24"/>
          <w:szCs w:val="24"/>
          <w:u w:val="single"/>
        </w:rPr>
        <w:t>ля конвертируемых ценных бумаг):</w:t>
      </w:r>
      <w:bookmarkEnd w:id="33"/>
      <w:bookmarkEnd w:id="34"/>
      <w:r w:rsidR="002D7CF7" w:rsidRPr="005C53F5">
        <w:rPr>
          <w:rFonts w:ascii="Times New Roman" w:hAnsi="Times New Roman" w:cs="Times New Roman"/>
          <w:b/>
          <w:i/>
          <w:sz w:val="24"/>
          <w:szCs w:val="24"/>
          <w:u w:val="single"/>
        </w:rPr>
        <w:t xml:space="preserve"> </w:t>
      </w:r>
    </w:p>
    <w:p w14:paraId="5D5F0B21" w14:textId="2FD97D39" w:rsidR="007F68E4" w:rsidRPr="005C53F5" w:rsidRDefault="002D7CF7" w:rsidP="00057BE5">
      <w:pPr>
        <w:pStyle w:val="ConsPlusNormal"/>
        <w:ind w:firstLine="709"/>
        <w:jc w:val="both"/>
        <w:rPr>
          <w:rFonts w:ascii="Times New Roman" w:hAnsi="Times New Roman" w:cs="Times New Roman"/>
          <w:sz w:val="24"/>
          <w:szCs w:val="24"/>
        </w:rPr>
      </w:pPr>
      <w:bookmarkStart w:id="35" w:name="_Toc521608795"/>
      <w:bookmarkStart w:id="36" w:name="_Toc533784479"/>
      <w:r w:rsidRPr="005C53F5">
        <w:rPr>
          <w:rFonts w:ascii="Times New Roman" w:hAnsi="Times New Roman" w:cs="Times New Roman"/>
          <w:sz w:val="24"/>
          <w:szCs w:val="24"/>
        </w:rPr>
        <w:t>Не применимо, поскольку</w:t>
      </w:r>
      <w:r w:rsidR="0059799F" w:rsidRPr="005C53F5">
        <w:rPr>
          <w:rFonts w:ascii="Times New Roman" w:hAnsi="Times New Roman" w:cs="Times New Roman"/>
          <w:sz w:val="24"/>
          <w:szCs w:val="24"/>
        </w:rPr>
        <w:t xml:space="preserve"> регистрация Проспекта ценных бумаг осуществляется в отношении размещаемых Облигаций, сведения о которых указаны в пункте «б» выше.</w:t>
      </w:r>
      <w:bookmarkEnd w:id="35"/>
      <w:bookmarkEnd w:id="36"/>
    </w:p>
    <w:p w14:paraId="223AD34C" w14:textId="03172A07" w:rsidR="007F68E4" w:rsidRPr="005C53F5" w:rsidRDefault="007F68E4" w:rsidP="00057BE5">
      <w:pPr>
        <w:pStyle w:val="ConsPlusNormal"/>
        <w:ind w:firstLine="709"/>
        <w:jc w:val="both"/>
        <w:rPr>
          <w:rFonts w:ascii="Times New Roman" w:hAnsi="Times New Roman" w:cs="Times New Roman"/>
          <w:b/>
          <w:i/>
          <w:sz w:val="24"/>
          <w:szCs w:val="24"/>
          <w:u w:val="single"/>
        </w:rPr>
      </w:pPr>
      <w:bookmarkStart w:id="37" w:name="_Toc521608796"/>
      <w:bookmarkStart w:id="38" w:name="_Toc533784480"/>
      <w:r w:rsidRPr="005C53F5">
        <w:rPr>
          <w:rFonts w:ascii="Times New Roman" w:hAnsi="Times New Roman" w:cs="Times New Roman"/>
          <w:b/>
          <w:i/>
          <w:sz w:val="24"/>
          <w:szCs w:val="24"/>
          <w:u w:val="single"/>
        </w:rPr>
        <w:t xml:space="preserve">г) основные цели эмиссии и направления использования средств, полученных в </w:t>
      </w:r>
      <w:r w:rsidRPr="005C53F5">
        <w:rPr>
          <w:rFonts w:ascii="Times New Roman" w:hAnsi="Times New Roman" w:cs="Times New Roman"/>
          <w:b/>
          <w:i/>
          <w:sz w:val="24"/>
          <w:szCs w:val="24"/>
          <w:u w:val="single"/>
        </w:rPr>
        <w:lastRenderedPageBreak/>
        <w:t>результате размещения ценных бумаг, в случае если регистрация проспекта осуществляется в отношении ценных бумаг, размещаемых путем</w:t>
      </w:r>
      <w:r w:rsidR="002D7CF7" w:rsidRPr="005C53F5">
        <w:rPr>
          <w:rFonts w:ascii="Times New Roman" w:hAnsi="Times New Roman" w:cs="Times New Roman"/>
          <w:b/>
          <w:i/>
          <w:sz w:val="24"/>
          <w:szCs w:val="24"/>
          <w:u w:val="single"/>
        </w:rPr>
        <w:t xml:space="preserve"> открытой или закрытой подписки:</w:t>
      </w:r>
      <w:bookmarkEnd w:id="37"/>
      <w:bookmarkEnd w:id="38"/>
    </w:p>
    <w:p w14:paraId="6EE0640B" w14:textId="6C34FDD5" w:rsidR="00905E1E" w:rsidRPr="005C53F5" w:rsidRDefault="00905E1E"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Эмитент планирует направить средства, поступившие от размещения Облигаций, для целей финансирования дефицита бюджета Республики Казахстан в соответствии с положениями Бюджетного кодекса Республики Казахстан от 4 декабря 2008 года № 95-IV, законом Республики Казахстан «О республиканском бюджете на 2020 – 2022 годы» от 4</w:t>
      </w:r>
      <w:r w:rsidR="00BB28E7" w:rsidRPr="005C53F5">
        <w:rPr>
          <w:rFonts w:ascii="Times New Roman" w:eastAsia="Calibri" w:hAnsi="Times New Roman" w:cs="Times New Roman"/>
          <w:sz w:val="24"/>
          <w:szCs w:val="24"/>
        </w:rPr>
        <w:t> </w:t>
      </w:r>
      <w:r w:rsidRPr="005C53F5">
        <w:rPr>
          <w:rFonts w:ascii="Times New Roman" w:eastAsia="Calibri" w:hAnsi="Times New Roman" w:cs="Times New Roman"/>
          <w:sz w:val="24"/>
          <w:szCs w:val="24"/>
        </w:rPr>
        <w:t>декабря 2019 года № 276-VІ ЗРК</w:t>
      </w:r>
      <w:r w:rsidR="00DD6B8E" w:rsidRPr="005C53F5">
        <w:rPr>
          <w:rFonts w:ascii="Times New Roman" w:eastAsia="Calibri" w:hAnsi="Times New Roman" w:cs="Times New Roman"/>
          <w:sz w:val="24"/>
          <w:szCs w:val="24"/>
        </w:rPr>
        <w:t xml:space="preserve">, </w:t>
      </w:r>
      <w:r w:rsidR="00436F34" w:rsidRPr="005C53F5">
        <w:rPr>
          <w:rFonts w:ascii="Times New Roman" w:eastAsia="Calibri" w:hAnsi="Times New Roman" w:cs="Times New Roman"/>
          <w:sz w:val="24"/>
          <w:szCs w:val="24"/>
        </w:rPr>
        <w:t>Указом Президента Республики Казахстан от 8 апреля 2020 года № 299 «Об уточненном республиканском бюджете на 2020 год»</w:t>
      </w:r>
      <w:r w:rsidRPr="005C53F5">
        <w:rPr>
          <w:rFonts w:ascii="Times New Roman" w:eastAsia="Calibri" w:hAnsi="Times New Roman" w:cs="Times New Roman"/>
          <w:sz w:val="24"/>
          <w:szCs w:val="24"/>
        </w:rPr>
        <w:t xml:space="preserve"> и другими нормативными правовыми актами</w:t>
      </w:r>
      <w:r w:rsidR="006878B9" w:rsidRPr="005C53F5">
        <w:rPr>
          <w:rFonts w:ascii="Times New Roman" w:eastAsia="Calibri" w:hAnsi="Times New Roman" w:cs="Times New Roman"/>
          <w:sz w:val="24"/>
          <w:szCs w:val="24"/>
        </w:rPr>
        <w:t xml:space="preserve"> Республики Казахстан</w:t>
      </w:r>
      <w:r w:rsidRPr="005C53F5">
        <w:rPr>
          <w:rFonts w:ascii="Times New Roman" w:eastAsia="Calibri" w:hAnsi="Times New Roman" w:cs="Times New Roman"/>
          <w:sz w:val="24"/>
          <w:szCs w:val="24"/>
        </w:rPr>
        <w:t xml:space="preserve">. </w:t>
      </w:r>
    </w:p>
    <w:p w14:paraId="2AB3FB20" w14:textId="6E8C199A" w:rsidR="003A1D6B" w:rsidRPr="005C53F5" w:rsidRDefault="00905E1E"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Размещение Эмитентом Облигаций не осуществляется с целью финансирования определенной сделки (взаимосвязанных сделок) или иной операции.</w:t>
      </w:r>
    </w:p>
    <w:p w14:paraId="45C8CA13" w14:textId="48B560A1" w:rsidR="007F68E4" w:rsidRPr="005C53F5" w:rsidRDefault="007F68E4" w:rsidP="00057BE5">
      <w:pPr>
        <w:pStyle w:val="ConsPlusNormal"/>
        <w:ind w:firstLine="851"/>
        <w:jc w:val="both"/>
        <w:rPr>
          <w:rFonts w:ascii="Times New Roman" w:hAnsi="Times New Roman" w:cs="Times New Roman"/>
          <w:b/>
          <w:i/>
          <w:sz w:val="24"/>
          <w:szCs w:val="24"/>
          <w:u w:val="single"/>
        </w:rPr>
      </w:pPr>
      <w:bookmarkStart w:id="39" w:name="_Toc521608799"/>
      <w:bookmarkStart w:id="40" w:name="_Toc533784483"/>
      <w:r w:rsidRPr="005C53F5">
        <w:rPr>
          <w:rFonts w:ascii="Times New Roman" w:hAnsi="Times New Roman" w:cs="Times New Roman"/>
          <w:b/>
          <w:i/>
          <w:sz w:val="24"/>
          <w:szCs w:val="24"/>
          <w:u w:val="single"/>
        </w:rPr>
        <w:t xml:space="preserve">д) иная информация, которую эмитент считает </w:t>
      </w:r>
      <w:r w:rsidR="002D7CF7" w:rsidRPr="005C53F5">
        <w:rPr>
          <w:rFonts w:ascii="Times New Roman" w:hAnsi="Times New Roman" w:cs="Times New Roman"/>
          <w:b/>
          <w:i/>
          <w:sz w:val="24"/>
          <w:szCs w:val="24"/>
          <w:u w:val="single"/>
        </w:rPr>
        <w:t>необходимым указать во введении:</w:t>
      </w:r>
      <w:bookmarkEnd w:id="39"/>
      <w:bookmarkEnd w:id="40"/>
    </w:p>
    <w:p w14:paraId="6611BB32" w14:textId="77777777" w:rsidR="00504FE6" w:rsidRPr="005C53F5" w:rsidRDefault="00504FE6" w:rsidP="00057BE5">
      <w:pPr>
        <w:pStyle w:val="ConsPlusNormal"/>
        <w:ind w:firstLine="851"/>
        <w:jc w:val="both"/>
        <w:rPr>
          <w:rFonts w:ascii="Times New Roman" w:hAnsi="Times New Roman" w:cs="Times New Roman"/>
          <w:i/>
          <w:sz w:val="24"/>
          <w:szCs w:val="24"/>
        </w:rPr>
      </w:pPr>
      <w:bookmarkStart w:id="41" w:name="_Toc151370897"/>
      <w:bookmarkStart w:id="42" w:name="_Toc151370945"/>
      <w:bookmarkStart w:id="43" w:name="_Toc151370993"/>
      <w:bookmarkStart w:id="44" w:name="_Toc151453295"/>
      <w:bookmarkStart w:id="45" w:name="_Toc151454881"/>
      <w:bookmarkStart w:id="46" w:name="_Toc151455118"/>
      <w:bookmarkStart w:id="47" w:name="_Toc152424582"/>
      <w:bookmarkStart w:id="48" w:name="_Toc152498992"/>
      <w:bookmarkStart w:id="49" w:name="_Toc174364279"/>
      <w:bookmarkStart w:id="50" w:name="_Toc174429984"/>
      <w:bookmarkStart w:id="51" w:name="_Toc224018395"/>
      <w:bookmarkStart w:id="52" w:name="_Toc521608800"/>
      <w:bookmarkStart w:id="53" w:name="_Toc533784484"/>
      <w:r w:rsidRPr="005C53F5">
        <w:rPr>
          <w:rFonts w:ascii="Times New Roman" w:hAnsi="Times New Roman" w:cs="Times New Roman"/>
          <w:i/>
          <w:sz w:val="24"/>
          <w:szCs w:val="24"/>
        </w:rPr>
        <w:t>Определения и толкование</w:t>
      </w:r>
      <w:bookmarkStart w:id="54" w:name="_DV_M239"/>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60401826" w14:textId="4B82FF75" w:rsidR="00504FE6" w:rsidRPr="005C53F5" w:rsidRDefault="00504FE6" w:rsidP="00057BE5">
      <w:pPr>
        <w:pStyle w:val="ConsPlusNormal"/>
        <w:ind w:firstLine="851"/>
        <w:jc w:val="both"/>
        <w:rPr>
          <w:rFonts w:ascii="Times New Roman" w:hAnsi="Times New Roman" w:cs="Times New Roman"/>
          <w:sz w:val="24"/>
          <w:szCs w:val="24"/>
        </w:rPr>
      </w:pPr>
      <w:bookmarkStart w:id="55" w:name="_DV_M240"/>
      <w:bookmarkStart w:id="56" w:name="_Ref220675653"/>
      <w:bookmarkStart w:id="57" w:name="_Toc521608801"/>
      <w:bookmarkStart w:id="58" w:name="_Toc533784485"/>
      <w:bookmarkEnd w:id="55"/>
      <w:r w:rsidRPr="005C53F5">
        <w:rPr>
          <w:rFonts w:ascii="Times New Roman" w:hAnsi="Times New Roman" w:cs="Times New Roman"/>
          <w:sz w:val="24"/>
          <w:szCs w:val="24"/>
        </w:rPr>
        <w:t xml:space="preserve">Если из контекста не следует иное, в Проспекте ценных бумаг следующие термины имеют значения, указанные </w:t>
      </w:r>
      <w:bookmarkEnd w:id="56"/>
      <w:r w:rsidRPr="005C53F5">
        <w:rPr>
          <w:rFonts w:ascii="Times New Roman" w:hAnsi="Times New Roman" w:cs="Times New Roman"/>
          <w:sz w:val="24"/>
          <w:szCs w:val="24"/>
        </w:rPr>
        <w:t>ниже:</w:t>
      </w:r>
      <w:bookmarkEnd w:id="57"/>
      <w:bookmarkEnd w:id="58"/>
    </w:p>
    <w:p w14:paraId="081D3C63" w14:textId="78A63E13" w:rsidR="009270BE" w:rsidRPr="005C53F5" w:rsidRDefault="009270BE" w:rsidP="00057BE5">
      <w:pPr>
        <w:spacing w:after="0" w:line="240" w:lineRule="auto"/>
        <w:ind w:firstLine="851"/>
        <w:jc w:val="both"/>
        <w:rPr>
          <w:rFonts w:ascii="Times New Roman" w:eastAsia="Times New Roman" w:hAnsi="Times New Roman" w:cs="Times New Roman"/>
          <w:b/>
          <w:sz w:val="24"/>
          <w:lang w:eastAsia="ru-RU"/>
        </w:rPr>
      </w:pPr>
      <w:r w:rsidRPr="005C53F5">
        <w:rPr>
          <w:rFonts w:ascii="Times New Roman" w:eastAsia="Times New Roman" w:hAnsi="Times New Roman" w:cs="Times New Roman"/>
          <w:b/>
          <w:bCs/>
          <w:sz w:val="24"/>
          <w:lang w:eastAsia="ru-RU"/>
        </w:rPr>
        <w:t xml:space="preserve">«Биржа» </w:t>
      </w:r>
      <w:r w:rsidRPr="005C53F5">
        <w:rPr>
          <w:rFonts w:ascii="Times New Roman" w:eastAsia="Times New Roman" w:hAnsi="Times New Roman" w:cs="Times New Roman"/>
          <w:sz w:val="24"/>
          <w:lang w:eastAsia="ru-RU"/>
        </w:rPr>
        <w:t>– Публичное акционерное общество «Московская Биржа ММВБ-РТС»;</w:t>
      </w:r>
    </w:p>
    <w:p w14:paraId="70A6AE65" w14:textId="77777777" w:rsidR="00636FFD" w:rsidRPr="005C53F5" w:rsidRDefault="00A02BFB" w:rsidP="00057BE5">
      <w:pPr>
        <w:spacing w:after="0" w:line="240" w:lineRule="auto"/>
        <w:ind w:firstLine="851"/>
        <w:jc w:val="both"/>
        <w:rPr>
          <w:rFonts w:ascii="Times New Roman" w:hAnsi="Times New Roman" w:cs="Times New Roman"/>
          <w:sz w:val="24"/>
          <w:szCs w:val="24"/>
        </w:rPr>
      </w:pPr>
      <w:r w:rsidRPr="005C53F5">
        <w:rPr>
          <w:rFonts w:ascii="Times New Roman" w:eastAsia="Times New Roman" w:hAnsi="Times New Roman" w:cs="Times New Roman"/>
          <w:b/>
          <w:sz w:val="24"/>
          <w:lang w:eastAsia="ru-RU"/>
        </w:rPr>
        <w:t xml:space="preserve">«Выпуск» </w:t>
      </w:r>
      <w:r w:rsidRPr="005C53F5">
        <w:rPr>
          <w:rFonts w:ascii="Times New Roman" w:hAnsi="Times New Roman" w:cs="Times New Roman"/>
          <w:sz w:val="24"/>
          <w:szCs w:val="24"/>
        </w:rPr>
        <w:t>– выпуск Облигаций, размещаемых на основании Условий выпуска;</w:t>
      </w:r>
    </w:p>
    <w:p w14:paraId="4FBC0CB1" w14:textId="49517DA4" w:rsidR="00636FFD" w:rsidRPr="005C53F5" w:rsidRDefault="00636FFD" w:rsidP="00057BE5">
      <w:pPr>
        <w:spacing w:after="0" w:line="240" w:lineRule="auto"/>
        <w:ind w:firstLine="851"/>
        <w:jc w:val="both"/>
        <w:rPr>
          <w:rFonts w:ascii="Times New Roman" w:eastAsia="Times New Roman" w:hAnsi="Times New Roman" w:cs="Times New Roman"/>
          <w:sz w:val="24"/>
          <w:lang w:eastAsia="ru-RU"/>
        </w:rPr>
      </w:pPr>
      <w:r w:rsidRPr="005C53F5">
        <w:rPr>
          <w:rFonts w:ascii="Times New Roman" w:eastAsia="Times New Roman" w:hAnsi="Times New Roman" w:cs="Times New Roman"/>
          <w:b/>
          <w:sz w:val="24"/>
          <w:lang w:eastAsia="ru-RU"/>
        </w:rPr>
        <w:t xml:space="preserve">«день» – </w:t>
      </w:r>
      <w:r w:rsidRPr="005C53F5">
        <w:rPr>
          <w:rFonts w:ascii="Times New Roman" w:eastAsia="Times New Roman" w:hAnsi="Times New Roman" w:cs="Times New Roman"/>
          <w:sz w:val="24"/>
          <w:lang w:eastAsia="ru-RU"/>
        </w:rPr>
        <w:t>календарный день;</w:t>
      </w:r>
    </w:p>
    <w:p w14:paraId="0A9A02F3" w14:textId="3138FCDE" w:rsidR="00272E80" w:rsidRPr="005C53F5" w:rsidRDefault="00272E80" w:rsidP="00057BE5">
      <w:pPr>
        <w:spacing w:after="0" w:line="240" w:lineRule="auto"/>
        <w:ind w:firstLine="851"/>
        <w:jc w:val="both"/>
        <w:rPr>
          <w:rFonts w:ascii="Times New Roman" w:eastAsia="Times New Roman" w:hAnsi="Times New Roman" w:cs="Times New Roman"/>
          <w:sz w:val="24"/>
          <w:lang w:eastAsia="ru-RU"/>
        </w:rPr>
      </w:pPr>
      <w:r w:rsidRPr="005C53F5">
        <w:rPr>
          <w:rFonts w:ascii="Times New Roman" w:eastAsia="Times New Roman" w:hAnsi="Times New Roman" w:cs="Times New Roman"/>
          <w:b/>
          <w:sz w:val="24"/>
          <w:lang w:eastAsia="ru-RU"/>
        </w:rPr>
        <w:t>«Депозитарий»</w:t>
      </w:r>
      <w:r w:rsidRPr="005C53F5">
        <w:rPr>
          <w:rFonts w:ascii="Times New Roman" w:hAnsi="Times New Roman" w:cs="Times New Roman"/>
          <w:sz w:val="24"/>
          <w:szCs w:val="24"/>
        </w:rPr>
        <w:t xml:space="preserve"> – </w:t>
      </w:r>
      <w:r w:rsidRPr="005C53F5">
        <w:rPr>
          <w:rFonts w:ascii="Times New Roman" w:eastAsia="Times New Roman" w:hAnsi="Times New Roman" w:cs="Times New Roman"/>
          <w:sz w:val="24"/>
          <w:lang w:eastAsia="ru-RU"/>
        </w:rPr>
        <w:t>депозитарии</w:t>
      </w:r>
      <w:r w:rsidR="00BC22EE" w:rsidRPr="005C53F5">
        <w:rPr>
          <w:rFonts w:ascii="Times New Roman" w:eastAsia="Times New Roman" w:hAnsi="Times New Roman" w:cs="Times New Roman"/>
          <w:sz w:val="24"/>
          <w:lang w:eastAsia="ru-RU"/>
        </w:rPr>
        <w:t xml:space="preserve"> (помимо НРД)</w:t>
      </w:r>
      <w:r w:rsidRPr="005C53F5">
        <w:rPr>
          <w:rFonts w:ascii="Times New Roman" w:eastAsia="Times New Roman" w:hAnsi="Times New Roman" w:cs="Times New Roman"/>
          <w:sz w:val="24"/>
          <w:lang w:eastAsia="ru-RU"/>
        </w:rPr>
        <w:t>, осуществляющие учет и удостоверение прав на Облигации, учет и удостоверение передачи Облигаций, включая случаи обременения Облигаций обязательствами;</w:t>
      </w:r>
    </w:p>
    <w:p w14:paraId="35E896A8" w14:textId="25058D57" w:rsidR="00272E80" w:rsidRPr="005C53F5" w:rsidRDefault="007B1A80" w:rsidP="00057BE5">
      <w:pPr>
        <w:spacing w:after="0" w:line="240" w:lineRule="auto"/>
        <w:ind w:firstLine="851"/>
        <w:jc w:val="both"/>
        <w:rPr>
          <w:rFonts w:ascii="Times New Roman" w:hAnsi="Times New Roman" w:cs="Times New Roman"/>
          <w:sz w:val="24"/>
          <w:szCs w:val="24"/>
        </w:rPr>
      </w:pPr>
      <w:r w:rsidRPr="005C53F5">
        <w:rPr>
          <w:rFonts w:ascii="Times New Roman" w:hAnsi="Times New Roman" w:cs="Times New Roman"/>
          <w:b/>
          <w:bCs/>
          <w:sz w:val="24"/>
          <w:szCs w:val="24"/>
        </w:rPr>
        <w:t>«</w:t>
      </w:r>
      <w:r w:rsidR="00272E80" w:rsidRPr="005C53F5">
        <w:rPr>
          <w:rFonts w:ascii="Times New Roman" w:hAnsi="Times New Roman" w:cs="Times New Roman"/>
          <w:b/>
          <w:bCs/>
          <w:sz w:val="24"/>
          <w:szCs w:val="24"/>
        </w:rPr>
        <w:t xml:space="preserve">НРД» </w:t>
      </w:r>
      <w:r w:rsidR="00272E80" w:rsidRPr="005C53F5">
        <w:rPr>
          <w:rFonts w:ascii="Times New Roman" w:hAnsi="Times New Roman" w:cs="Times New Roman"/>
          <w:sz w:val="24"/>
          <w:szCs w:val="24"/>
        </w:rPr>
        <w:t>– Небанковская кредитная организация акционерное общество «Наци</w:t>
      </w:r>
      <w:r w:rsidR="006B4804" w:rsidRPr="005C53F5">
        <w:rPr>
          <w:rFonts w:ascii="Times New Roman" w:hAnsi="Times New Roman" w:cs="Times New Roman"/>
          <w:sz w:val="24"/>
          <w:szCs w:val="24"/>
        </w:rPr>
        <w:t>ональный расчетный депозитарий»;</w:t>
      </w:r>
    </w:p>
    <w:p w14:paraId="33B9040E" w14:textId="736177ED" w:rsidR="006B4804" w:rsidRPr="005C53F5" w:rsidRDefault="006B4804" w:rsidP="00057BE5">
      <w:pPr>
        <w:spacing w:after="0" w:line="240" w:lineRule="auto"/>
        <w:ind w:firstLine="851"/>
        <w:jc w:val="both"/>
        <w:rPr>
          <w:rFonts w:ascii="Times New Roman" w:hAnsi="Times New Roman" w:cs="Times New Roman"/>
          <w:b/>
          <w:sz w:val="24"/>
          <w:szCs w:val="24"/>
        </w:rPr>
      </w:pPr>
      <w:bookmarkStart w:id="59" w:name="_Toc493901803"/>
      <w:r w:rsidRPr="005C53F5">
        <w:rPr>
          <w:rFonts w:ascii="Times New Roman" w:hAnsi="Times New Roman" w:cs="Times New Roman"/>
          <w:b/>
          <w:sz w:val="24"/>
          <w:szCs w:val="24"/>
        </w:rPr>
        <w:t>«Облигации»</w:t>
      </w:r>
      <w:r w:rsidRPr="005C53F5">
        <w:rPr>
          <w:rFonts w:ascii="Times New Roman" w:hAnsi="Times New Roman"/>
          <w:b/>
          <w:sz w:val="24"/>
        </w:rPr>
        <w:t xml:space="preserve">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соответствующей серии: Облигации серии 01, Облигации серии 02, Облигации серии 03, Облигации серии 04, Облигации серии 05, Облигации серии 06, Облигации серии 07, Облигации серии 08, Облигации серии 09, Облигации серии 10, Облигации серии 11, Облигации серии 12, Облигации серии 13, Облигации серии 14, при этом «</w:t>
      </w:r>
      <w:r w:rsidRPr="005C53F5">
        <w:rPr>
          <w:rFonts w:ascii="Times New Roman" w:hAnsi="Times New Roman" w:cs="Times New Roman"/>
          <w:b/>
          <w:sz w:val="24"/>
          <w:szCs w:val="24"/>
        </w:rPr>
        <w:t>Облигация</w:t>
      </w:r>
      <w:r w:rsidRPr="005C53F5">
        <w:rPr>
          <w:rFonts w:ascii="Times New Roman" w:hAnsi="Times New Roman" w:cs="Times New Roman"/>
          <w:sz w:val="24"/>
          <w:szCs w:val="24"/>
        </w:rPr>
        <w:t>» означает любую из них, а ссылка на «</w:t>
      </w:r>
      <w:r w:rsidRPr="005C53F5">
        <w:rPr>
          <w:rFonts w:ascii="Times New Roman" w:hAnsi="Times New Roman" w:cs="Times New Roman"/>
          <w:b/>
          <w:sz w:val="24"/>
          <w:szCs w:val="24"/>
        </w:rPr>
        <w:t>Облигации</w:t>
      </w:r>
      <w:r w:rsidRPr="005C53F5">
        <w:rPr>
          <w:rFonts w:ascii="Times New Roman" w:hAnsi="Times New Roman" w:cs="Times New Roman"/>
          <w:sz w:val="24"/>
          <w:szCs w:val="24"/>
        </w:rPr>
        <w:t>» по тексту настоящего документа подразумевает, что соответствующее положение настоящего документа применимо к Облигациям каждой серии, перечисленной выше, за исключением случаев, когда из контекста соответствующего положения следует, что такое положение относится исключительно к Облигациям определенной серии, перечисленной выше;</w:t>
      </w:r>
      <w:bookmarkEnd w:id="59"/>
    </w:p>
    <w:p w14:paraId="5BDD6803" w14:textId="5A053A8D" w:rsidR="006B4804" w:rsidRPr="005C53F5" w:rsidRDefault="006B4804" w:rsidP="00057BE5">
      <w:pPr>
        <w:spacing w:after="0" w:line="240" w:lineRule="auto"/>
        <w:ind w:firstLine="851"/>
        <w:jc w:val="both"/>
        <w:rPr>
          <w:rFonts w:ascii="Times New Roman" w:hAnsi="Times New Roman"/>
          <w:b/>
          <w:sz w:val="24"/>
        </w:rPr>
      </w:pPr>
      <w:r w:rsidRPr="005C53F5">
        <w:rPr>
          <w:rFonts w:ascii="Times New Roman" w:hAnsi="Times New Roman" w:cs="Times New Roman"/>
          <w:b/>
          <w:sz w:val="24"/>
          <w:szCs w:val="24"/>
        </w:rPr>
        <w:t xml:space="preserve">«Облигации серии 01»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01 в количестве 20 000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(двадцать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20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(двадцать миллиардов) российских рублей, со сроком погашения в 1092-й (одна тысяча девяносто второй) день с даты начала размещения облигаций, размещаемые среди неограниченного круга лиц;</w:t>
      </w:r>
    </w:p>
    <w:p w14:paraId="57EC11E5" w14:textId="77777777" w:rsidR="006B4804" w:rsidRPr="005C53F5" w:rsidRDefault="006B4804"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t xml:space="preserve">«Облигации серии 02»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02 в количестве 20 000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(двадцать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20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(двадцать миллиардов) российских рублей, со сроком погашения в 1092-й (одна тысяча девяносто второй) день с даты начала размещения облигаций, размещаемые среди неограниченного круга лиц;</w:t>
      </w:r>
    </w:p>
    <w:p w14:paraId="16775569" w14:textId="77777777" w:rsidR="006B4804" w:rsidRPr="005C53F5" w:rsidRDefault="006B4804"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lastRenderedPageBreak/>
        <w:t xml:space="preserve">«Облигации серии 03»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03 в количестве 10 000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10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миллиардов) российских рублей, со сроком погашения в 1092-й (одна тысяча девяносто второй) день с даты начала размещения облигаций, размещаемые среди неограниченного круга лиц;</w:t>
      </w:r>
    </w:p>
    <w:p w14:paraId="7B14611A" w14:textId="77777777" w:rsidR="006B4804" w:rsidRPr="005C53F5" w:rsidRDefault="006B4804"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t xml:space="preserve">«Облигации серии 04»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04 в количестве 10 000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10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миллиардов) российских рублей, со сроком погашения в 1092-й (одна тысяча девяносто второй) день с даты начала размещения облигаций, размещаемые среди неограниченного круга лиц;</w:t>
      </w:r>
    </w:p>
    <w:p w14:paraId="57DE18FB" w14:textId="77777777" w:rsidR="006B4804" w:rsidRPr="005C53F5" w:rsidRDefault="006B4804"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t xml:space="preserve">«Облигации серии 05»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05 в количестве 10 000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10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миллиардов) российских рублей, со сроком погашения в 1820-й (одна тысяча восемьсот двадцатый) день с даты начала размещения облигаций, размещаемые среди неограниченного круга лиц;</w:t>
      </w:r>
    </w:p>
    <w:p w14:paraId="7E713CCE" w14:textId="77777777" w:rsidR="006B4804" w:rsidRPr="005C53F5" w:rsidRDefault="006B4804"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t xml:space="preserve">«Облигации серии 06»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06 в количестве 15 000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(пятнадцать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15</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(пятнадцать миллиардов) российских рублей, со сроком погашения в 1820-й (одна тысяча восемьсот двадцатый) день с даты начала размещения облигаций, размещаемые среди неограниченного круга лиц;</w:t>
      </w:r>
    </w:p>
    <w:p w14:paraId="5936B30E" w14:textId="77777777" w:rsidR="006B4804" w:rsidRPr="005C53F5" w:rsidRDefault="006B4804"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t xml:space="preserve">«Облигации серии 07»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07 в количестве 10 000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10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миллиардов) российских рублей, со сроком погашения в 2548-й (две тысячи пятьсот сорок восьмой) день с даты начала размещения облигаций, размещаемые среди неограниченного круга лиц;</w:t>
      </w:r>
    </w:p>
    <w:p w14:paraId="2280029E" w14:textId="77777777" w:rsidR="006B4804" w:rsidRPr="005C53F5" w:rsidRDefault="006B4804"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t xml:space="preserve">«Облигации серии 08»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08 в количестве 10 000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10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миллиардов) российских рублей, со сроком погашения в 2548-й (две тысячи пятьсот сорок восьмой) день с даты начала размещения облигаций, размещаемые среди неограниченного круга лиц;</w:t>
      </w:r>
    </w:p>
    <w:p w14:paraId="23F13BC5" w14:textId="77777777" w:rsidR="006B4804" w:rsidRPr="005C53F5" w:rsidRDefault="006B4804"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t xml:space="preserve">«Облигации серии 09»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09 в количестве 10 000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10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миллиардов) российских рублей, со сроком погашения в 2548-й (две тысячи пятьсот сорок восьмой) день с даты начала размещения облигаций, размещаемые среди неограниченного круга лиц;</w:t>
      </w:r>
    </w:p>
    <w:p w14:paraId="788EBC45" w14:textId="77777777" w:rsidR="006B4804" w:rsidRPr="005C53F5" w:rsidRDefault="006B4804"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t xml:space="preserve">«Облигации серии 10»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10 в количестве 15 000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(пятнадцать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15</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(пятнадцать миллиардов) российских рублей, со сроком погашения в 2548-й (две тысячи пятьсот сорок восьмой) день с даты начала размещения облигаций, размещаемые среди неограниченного круга лиц;</w:t>
      </w:r>
    </w:p>
    <w:p w14:paraId="16D99CC1" w14:textId="77777777" w:rsidR="006B4804" w:rsidRPr="005C53F5" w:rsidRDefault="006B4804"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t xml:space="preserve">«Облигации серии 11»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11 в количестве 10 000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10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миллиардов) российских рублей, со сроком погашения в 3640-й (три тысячи шестьсот сороковой) день с даты начала размещения облигаций, размещаемые среди неограниченного круга лиц;</w:t>
      </w:r>
    </w:p>
    <w:p w14:paraId="355F4AFE" w14:textId="77777777" w:rsidR="006B4804" w:rsidRPr="005C53F5" w:rsidRDefault="006B4804"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t xml:space="preserve">«Облигации серии 12»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12 в количестве 10 000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10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миллиардов) российских рублей, со сроком погашения в 3640-й (три тысячи шестьсот сороковой) день с даты начала размещения облигаций, размещаемые среди неограниченного круга лиц;</w:t>
      </w:r>
    </w:p>
    <w:p w14:paraId="23CCB290" w14:textId="77777777" w:rsidR="006B4804" w:rsidRPr="005C53F5" w:rsidRDefault="006B4804"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t xml:space="preserve">«Облигации серии 13»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13 в количестве 10 000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10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миллиардов) российских рублей, со сроком погашения в 3640-й (три тысячи шестьсот сороковой) день с даты начала размещения облигаций, размещаемые среди неограниченного круга лиц;</w:t>
      </w:r>
    </w:p>
    <w:p w14:paraId="13AD907D" w14:textId="7EEB124E" w:rsidR="006B4804" w:rsidRPr="005C53F5" w:rsidRDefault="006B4804"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t xml:space="preserve">«Облигации серии 14» – </w:t>
      </w:r>
      <w:r w:rsidRPr="005C53F5">
        <w:rPr>
          <w:rFonts w:ascii="Times New Roman" w:hAnsi="Times New Roman" w:cs="Times New Roman"/>
          <w:sz w:val="24"/>
          <w:szCs w:val="24"/>
        </w:rPr>
        <w:t>бездокументарные процентные неконвертируемые государственные облигации Республики Казахстан с централизованным учетом прав серии 14 в количестве 10 000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миллионов) штук номинальной стоимостью 1</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(одна тысяча) российских рублей каждая, общей номинальной стоимостью 10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w:t>
      </w:r>
      <w:r w:rsidRPr="005C53F5">
        <w:rPr>
          <w:rFonts w:ascii="Times New Roman" w:hAnsi="Times New Roman" w:cs="Times New Roman"/>
          <w:bCs/>
          <w:iCs/>
          <w:sz w:val="24"/>
          <w:szCs w:val="24"/>
        </w:rPr>
        <w:t> </w:t>
      </w:r>
      <w:r w:rsidRPr="005C53F5">
        <w:rPr>
          <w:rFonts w:ascii="Times New Roman" w:hAnsi="Times New Roman" w:cs="Times New Roman"/>
          <w:sz w:val="24"/>
          <w:szCs w:val="24"/>
        </w:rPr>
        <w:t>000 (десять миллиардов) российских рублей, со сроком погашения в 3640-й (три тысячи шестьсот сороковой) день с даты начала размещения облигаций, размещаемые среди неограниченного круга лиц;</w:t>
      </w:r>
    </w:p>
    <w:p w14:paraId="38F287B5" w14:textId="6991A681" w:rsidR="00504FE6" w:rsidRPr="005C53F5" w:rsidRDefault="006B4804" w:rsidP="00057BE5">
      <w:pPr>
        <w:spacing w:after="0" w:line="240" w:lineRule="auto"/>
        <w:ind w:firstLine="851"/>
        <w:jc w:val="both"/>
        <w:rPr>
          <w:rFonts w:ascii="Times New Roman" w:hAnsi="Times New Roman" w:cs="Times New Roman"/>
          <w:bCs/>
          <w:iCs/>
          <w:sz w:val="24"/>
          <w:szCs w:val="24"/>
        </w:rPr>
      </w:pPr>
      <w:r w:rsidRPr="005C53F5">
        <w:rPr>
          <w:rFonts w:ascii="Times New Roman" w:hAnsi="Times New Roman" w:cs="Times New Roman"/>
          <w:b/>
          <w:bCs/>
          <w:iCs/>
          <w:sz w:val="24"/>
          <w:szCs w:val="24"/>
        </w:rPr>
        <w:t xml:space="preserve"> </w:t>
      </w:r>
      <w:r w:rsidR="00504FE6" w:rsidRPr="005C53F5">
        <w:rPr>
          <w:rFonts w:ascii="Times New Roman" w:hAnsi="Times New Roman" w:cs="Times New Roman"/>
          <w:b/>
          <w:bCs/>
          <w:iCs/>
          <w:sz w:val="24"/>
          <w:szCs w:val="24"/>
        </w:rPr>
        <w:t>«Положение Банка России № 454-П»</w:t>
      </w:r>
      <w:r w:rsidR="00504FE6" w:rsidRPr="005C53F5">
        <w:rPr>
          <w:rFonts w:ascii="Times New Roman" w:hAnsi="Times New Roman" w:cs="Times New Roman"/>
          <w:bCs/>
          <w:iCs/>
          <w:sz w:val="24"/>
          <w:szCs w:val="24"/>
        </w:rPr>
        <w:t xml:space="preserve"> </w:t>
      </w:r>
      <w:r w:rsidR="00504FE6" w:rsidRPr="005C53F5">
        <w:rPr>
          <w:rFonts w:ascii="Times New Roman" w:hAnsi="Times New Roman" w:cs="Times New Roman"/>
          <w:sz w:val="24"/>
          <w:szCs w:val="24"/>
        </w:rPr>
        <w:t>–</w:t>
      </w:r>
      <w:r w:rsidR="00504FE6" w:rsidRPr="005C53F5">
        <w:rPr>
          <w:rFonts w:ascii="Times New Roman" w:hAnsi="Times New Roman" w:cs="Times New Roman"/>
          <w:bCs/>
          <w:iCs/>
          <w:sz w:val="24"/>
          <w:szCs w:val="24"/>
        </w:rPr>
        <w:t xml:space="preserve"> Положение Банка России от 30.12.2014 № 454-П «О раскрытии информации эмитентами эмиссионных ценных бумаг»</w:t>
      </w:r>
      <w:r w:rsidR="002948FB" w:rsidRPr="005C53F5">
        <w:rPr>
          <w:rFonts w:ascii="Times New Roman" w:hAnsi="Times New Roman" w:cs="Times New Roman"/>
          <w:sz w:val="24"/>
          <w:szCs w:val="24"/>
        </w:rPr>
        <w:t>;</w:t>
      </w:r>
    </w:p>
    <w:p w14:paraId="4B4CEE90" w14:textId="43EE8EBF" w:rsidR="00504FE6" w:rsidRPr="005C53F5" w:rsidRDefault="00504FE6" w:rsidP="00057BE5">
      <w:pPr>
        <w:spacing w:after="0" w:line="240" w:lineRule="auto"/>
        <w:ind w:firstLine="851"/>
        <w:jc w:val="both"/>
        <w:rPr>
          <w:rFonts w:ascii="Times New Roman" w:hAnsi="Times New Roman" w:cs="Times New Roman"/>
          <w:sz w:val="24"/>
          <w:szCs w:val="24"/>
        </w:rPr>
      </w:pPr>
      <w:r w:rsidRPr="005C53F5">
        <w:rPr>
          <w:rFonts w:ascii="Times New Roman" w:hAnsi="Times New Roman" w:cs="Times New Roman"/>
          <w:b/>
          <w:sz w:val="24"/>
          <w:szCs w:val="24"/>
        </w:rPr>
        <w:t>«Проспект ценных бумаг»</w:t>
      </w:r>
      <w:r w:rsidR="006418D3" w:rsidRPr="005C53F5">
        <w:rPr>
          <w:rFonts w:ascii="Times New Roman" w:hAnsi="Times New Roman" w:cs="Times New Roman"/>
          <w:b/>
          <w:sz w:val="24"/>
          <w:szCs w:val="24"/>
        </w:rPr>
        <w:t>, «проспект Облигаций»</w:t>
      </w:r>
      <w:r w:rsidRPr="005C53F5">
        <w:rPr>
          <w:rFonts w:ascii="Times New Roman" w:hAnsi="Times New Roman" w:cs="Times New Roman"/>
          <w:sz w:val="24"/>
          <w:szCs w:val="24"/>
        </w:rPr>
        <w:t xml:space="preserve"> – настоящий проспект ценных бумаг</w:t>
      </w:r>
      <w:r w:rsidR="002948FB" w:rsidRPr="005C53F5">
        <w:rPr>
          <w:rFonts w:ascii="Times New Roman" w:hAnsi="Times New Roman" w:cs="Times New Roman"/>
          <w:sz w:val="24"/>
          <w:szCs w:val="24"/>
        </w:rPr>
        <w:t>;</w:t>
      </w:r>
    </w:p>
    <w:p w14:paraId="1AD77B98" w14:textId="2E8268A0" w:rsidR="00636FFD" w:rsidRPr="005C53F5" w:rsidRDefault="00636FFD" w:rsidP="00057BE5">
      <w:pPr>
        <w:spacing w:after="0" w:line="240" w:lineRule="auto"/>
        <w:ind w:firstLine="851"/>
        <w:jc w:val="both"/>
        <w:rPr>
          <w:rFonts w:ascii="Times New Roman" w:hAnsi="Times New Roman" w:cs="Times New Roman"/>
          <w:sz w:val="24"/>
          <w:szCs w:val="24"/>
        </w:rPr>
      </w:pPr>
      <w:r w:rsidRPr="005C53F5">
        <w:rPr>
          <w:rFonts w:ascii="Times New Roman" w:hAnsi="Times New Roman" w:cs="Times New Roman"/>
          <w:b/>
          <w:sz w:val="24"/>
          <w:szCs w:val="24"/>
        </w:rPr>
        <w:t>«рабочий день»</w:t>
      </w:r>
      <w:r w:rsidRPr="005C53F5">
        <w:rPr>
          <w:b/>
          <w:bCs/>
          <w:iCs/>
          <w:sz w:val="28"/>
          <w:szCs w:val="28"/>
        </w:rPr>
        <w:t xml:space="preserve"> </w:t>
      </w:r>
      <w:r w:rsidRPr="005C53F5">
        <w:rPr>
          <w:rFonts w:ascii="Times New Roman" w:hAnsi="Times New Roman" w:cs="Times New Roman"/>
          <w:sz w:val="24"/>
          <w:szCs w:val="24"/>
        </w:rPr>
        <w:t>– день, за исключением официально установленных в Российской Федерации нерабочих, выходных и праздничных дней;</w:t>
      </w:r>
    </w:p>
    <w:p w14:paraId="5BF4937F" w14:textId="2710E263" w:rsidR="00636FFD" w:rsidRPr="005C53F5" w:rsidRDefault="00636FFD" w:rsidP="00057BE5">
      <w:pPr>
        <w:spacing w:after="0" w:line="240" w:lineRule="auto"/>
        <w:ind w:firstLine="851"/>
        <w:jc w:val="both"/>
        <w:rPr>
          <w:rFonts w:ascii="Times New Roman" w:hAnsi="Times New Roman" w:cs="Times New Roman"/>
          <w:b/>
          <w:sz w:val="24"/>
          <w:szCs w:val="24"/>
        </w:rPr>
      </w:pPr>
      <w:r w:rsidRPr="005C53F5">
        <w:rPr>
          <w:rFonts w:ascii="Times New Roman" w:hAnsi="Times New Roman" w:cs="Times New Roman"/>
          <w:b/>
          <w:sz w:val="24"/>
          <w:szCs w:val="24"/>
        </w:rPr>
        <w:t xml:space="preserve">«российские рубли» – </w:t>
      </w:r>
      <w:r w:rsidRPr="005C53F5">
        <w:rPr>
          <w:rFonts w:ascii="Times New Roman" w:hAnsi="Times New Roman" w:cs="Times New Roman"/>
          <w:sz w:val="24"/>
          <w:szCs w:val="24"/>
        </w:rPr>
        <w:t>официальная валюта Российской Федерации;</w:t>
      </w:r>
    </w:p>
    <w:p w14:paraId="1CD67A28" w14:textId="2110495C" w:rsidR="00A02BFB" w:rsidRPr="005C53F5" w:rsidRDefault="00A02BFB" w:rsidP="00057BE5">
      <w:pPr>
        <w:spacing w:after="0" w:line="240" w:lineRule="auto"/>
        <w:ind w:firstLine="851"/>
        <w:jc w:val="both"/>
        <w:rPr>
          <w:rFonts w:ascii="Times New Roman" w:hAnsi="Times New Roman" w:cs="Times New Roman"/>
          <w:sz w:val="24"/>
          <w:szCs w:val="24"/>
        </w:rPr>
      </w:pPr>
      <w:r w:rsidRPr="005C53F5">
        <w:rPr>
          <w:rFonts w:ascii="Times New Roman" w:hAnsi="Times New Roman" w:cs="Times New Roman"/>
          <w:b/>
          <w:sz w:val="24"/>
          <w:szCs w:val="24"/>
        </w:rPr>
        <w:t>«Условия выпуска»</w:t>
      </w:r>
      <w:r w:rsidRPr="005C53F5">
        <w:rPr>
          <w:rFonts w:ascii="Times New Roman" w:hAnsi="Times New Roman" w:cs="Times New Roman"/>
          <w:sz w:val="24"/>
          <w:szCs w:val="24"/>
        </w:rPr>
        <w:t xml:space="preserve"> – приложение 1 к Приказу </w:t>
      </w:r>
      <w:r w:rsidR="00960E9D">
        <w:rPr>
          <w:rFonts w:ascii="Times New Roman" w:hAnsi="Times New Roman" w:cs="Times New Roman"/>
          <w:sz w:val="24"/>
          <w:szCs w:val="24"/>
        </w:rPr>
        <w:t>М</w:t>
      </w:r>
      <w:r w:rsidRPr="005C53F5">
        <w:rPr>
          <w:rFonts w:ascii="Times New Roman" w:hAnsi="Times New Roman" w:cs="Times New Roman"/>
          <w:sz w:val="24"/>
          <w:szCs w:val="24"/>
        </w:rPr>
        <w:t xml:space="preserve">инистра финансов Республики Казахстан </w:t>
      </w:r>
      <w:r w:rsidR="00C851E3" w:rsidRPr="005C53F5">
        <w:rPr>
          <w:rFonts w:ascii="Times New Roman" w:hAnsi="Times New Roman" w:cs="Times New Roman"/>
          <w:sz w:val="24"/>
          <w:szCs w:val="24"/>
        </w:rPr>
        <w:t>от</w:t>
      </w:r>
      <w:r w:rsidR="00C851E3">
        <w:rPr>
          <w:rFonts w:ascii="Times New Roman" w:hAnsi="Times New Roman" w:cs="Times New Roman"/>
          <w:sz w:val="24"/>
          <w:szCs w:val="24"/>
        </w:rPr>
        <w:t xml:space="preserve"> 29 мая 2020 </w:t>
      </w:r>
      <w:r w:rsidRPr="005C53F5">
        <w:rPr>
          <w:rFonts w:ascii="Times New Roman" w:hAnsi="Times New Roman" w:cs="Times New Roman"/>
          <w:sz w:val="24"/>
          <w:szCs w:val="24"/>
        </w:rPr>
        <w:t xml:space="preserve">года </w:t>
      </w:r>
      <w:r w:rsidR="00C851E3" w:rsidRPr="005C53F5">
        <w:rPr>
          <w:rFonts w:ascii="Times New Roman" w:hAnsi="Times New Roman" w:cs="Times New Roman"/>
          <w:sz w:val="24"/>
          <w:szCs w:val="24"/>
        </w:rPr>
        <w:t xml:space="preserve">№ </w:t>
      </w:r>
      <w:r w:rsidR="00C851E3">
        <w:rPr>
          <w:rFonts w:ascii="Times New Roman" w:hAnsi="Times New Roman" w:cs="Times New Roman"/>
          <w:sz w:val="24"/>
          <w:szCs w:val="24"/>
        </w:rPr>
        <w:t>537</w:t>
      </w:r>
      <w:r w:rsidRPr="005C53F5">
        <w:rPr>
          <w:rFonts w:ascii="Times New Roman" w:hAnsi="Times New Roman" w:cs="Times New Roman"/>
          <w:sz w:val="24"/>
          <w:szCs w:val="24"/>
        </w:rPr>
        <w:t>;</w:t>
      </w:r>
    </w:p>
    <w:p w14:paraId="2DC4014A" w14:textId="7435AA0B" w:rsidR="00504FE6" w:rsidRPr="005C53F5" w:rsidRDefault="00504FE6" w:rsidP="00057BE5">
      <w:pPr>
        <w:spacing w:after="0" w:line="240" w:lineRule="auto"/>
        <w:ind w:firstLine="851"/>
        <w:jc w:val="both"/>
        <w:rPr>
          <w:rFonts w:ascii="Times New Roman" w:hAnsi="Times New Roman" w:cs="Times New Roman"/>
          <w:sz w:val="24"/>
          <w:szCs w:val="24"/>
        </w:rPr>
      </w:pPr>
      <w:r w:rsidRPr="005C53F5">
        <w:rPr>
          <w:rFonts w:ascii="Times New Roman" w:hAnsi="Times New Roman" w:cs="Times New Roman"/>
          <w:b/>
          <w:sz w:val="24"/>
          <w:szCs w:val="24"/>
        </w:rPr>
        <w:t>«Эмитент»</w:t>
      </w:r>
      <w:r w:rsidRPr="005C53F5">
        <w:rPr>
          <w:rFonts w:ascii="Times New Roman" w:hAnsi="Times New Roman" w:cs="Times New Roman"/>
          <w:sz w:val="24"/>
          <w:szCs w:val="24"/>
        </w:rPr>
        <w:t xml:space="preserve"> – Республика Казахстан в лице Министерства финансов Республики Казахстан.</w:t>
      </w:r>
    </w:p>
    <w:p w14:paraId="080E2FE1" w14:textId="77D24998" w:rsidR="00BF2E33" w:rsidRPr="00FA5EE3" w:rsidRDefault="00913D4D" w:rsidP="00FA5EE3">
      <w:pPr>
        <w:spacing w:after="0" w:line="240" w:lineRule="auto"/>
        <w:ind w:firstLine="851"/>
        <w:jc w:val="both"/>
        <w:rPr>
          <w:rFonts w:ascii="Times New Roman" w:hAnsi="Times New Roman" w:cs="Times New Roman"/>
          <w:bCs/>
          <w:iCs/>
          <w:sz w:val="24"/>
        </w:rPr>
      </w:pPr>
      <w:r w:rsidRPr="005C53F5">
        <w:rPr>
          <w:rFonts w:ascii="Times New Roman" w:hAnsi="Times New Roman" w:cs="Times New Roman"/>
          <w:b/>
          <w:sz w:val="24"/>
          <w:szCs w:val="24"/>
        </w:rPr>
        <w:t>«</w:t>
      </w:r>
      <w:r w:rsidRPr="005C53F5">
        <w:rPr>
          <w:rFonts w:ascii="Times New Roman" w:hAnsi="Times New Roman" w:cs="Times New Roman"/>
          <w:b/>
          <w:sz w:val="24"/>
          <w:szCs w:val="24"/>
          <w:lang w:val="en-US"/>
        </w:rPr>
        <w:t>AIX</w:t>
      </w:r>
      <w:r w:rsidRPr="005C53F5">
        <w:rPr>
          <w:rFonts w:ascii="Times New Roman" w:hAnsi="Times New Roman" w:cs="Times New Roman"/>
          <w:b/>
          <w:sz w:val="24"/>
          <w:szCs w:val="24"/>
        </w:rPr>
        <w:t>»</w:t>
      </w:r>
      <w:r w:rsidRPr="005C53F5">
        <w:rPr>
          <w:rFonts w:ascii="Times New Roman" w:hAnsi="Times New Roman" w:cs="Times New Roman"/>
          <w:sz w:val="24"/>
          <w:szCs w:val="24"/>
        </w:rPr>
        <w:t xml:space="preserve"> – </w:t>
      </w:r>
      <w:r w:rsidRPr="005C53F5">
        <w:rPr>
          <w:rFonts w:ascii="Times New Roman" w:hAnsi="Times New Roman" w:cs="Times New Roman"/>
          <w:bCs/>
          <w:iCs/>
          <w:sz w:val="24"/>
        </w:rPr>
        <w:t>биржа «Astana International Exchange</w:t>
      </w:r>
      <w:r w:rsidR="00E659FC" w:rsidRPr="005C53F5">
        <w:rPr>
          <w:rFonts w:ascii="Times New Roman" w:hAnsi="Times New Roman" w:cs="Times New Roman"/>
          <w:bCs/>
          <w:iCs/>
          <w:sz w:val="24"/>
          <w:lang w:val="en-US"/>
        </w:rPr>
        <w:t> Limited</w:t>
      </w:r>
      <w:r w:rsidRPr="005C53F5">
        <w:rPr>
          <w:rFonts w:ascii="Times New Roman" w:hAnsi="Times New Roman" w:cs="Times New Roman"/>
          <w:bCs/>
          <w:iCs/>
          <w:sz w:val="24"/>
        </w:rPr>
        <w:t>», функционирующая на территории Международного финансового центра «Астана» (Республика Казахстан) в соответствии с действующим правом Международного финансового центра «Астана».</w:t>
      </w:r>
    </w:p>
    <w:p w14:paraId="79E92196" w14:textId="77777777" w:rsidR="00FA5EE3" w:rsidRDefault="00FA5EE3" w:rsidP="007347EA">
      <w:pPr>
        <w:pStyle w:val="ConsPlusNormal"/>
        <w:keepNext/>
        <w:ind w:firstLine="851"/>
        <w:jc w:val="both"/>
        <w:rPr>
          <w:rFonts w:ascii="Times New Roman" w:hAnsi="Times New Roman" w:cs="Times New Roman"/>
          <w:i/>
          <w:sz w:val="24"/>
          <w:szCs w:val="24"/>
        </w:rPr>
      </w:pPr>
    </w:p>
    <w:p w14:paraId="665A6EBF" w14:textId="6C1A0244" w:rsidR="00BF2E33" w:rsidRDefault="00BF2E33" w:rsidP="007347EA">
      <w:pPr>
        <w:pStyle w:val="ConsPlusNormal"/>
        <w:keepNext/>
        <w:ind w:firstLine="851"/>
        <w:jc w:val="both"/>
        <w:rPr>
          <w:rFonts w:ascii="Times New Roman" w:hAnsi="Times New Roman" w:cs="Times New Roman"/>
          <w:i/>
          <w:sz w:val="24"/>
          <w:szCs w:val="24"/>
        </w:rPr>
      </w:pPr>
      <w:r>
        <w:rPr>
          <w:rFonts w:ascii="Times New Roman" w:hAnsi="Times New Roman" w:cs="Times New Roman"/>
          <w:i/>
          <w:sz w:val="24"/>
          <w:szCs w:val="24"/>
        </w:rPr>
        <w:t>И</w:t>
      </w:r>
      <w:r w:rsidRPr="00BF2E33">
        <w:rPr>
          <w:rFonts w:ascii="Times New Roman" w:hAnsi="Times New Roman" w:cs="Times New Roman"/>
          <w:i/>
          <w:sz w:val="24"/>
          <w:szCs w:val="24"/>
        </w:rPr>
        <w:t>нформация, позволяющая составить общее представление об основных рисках, связанных с эмитентом и приобретением его эмиссионных ценных бумаг</w:t>
      </w:r>
    </w:p>
    <w:p w14:paraId="6D081AB1" w14:textId="77777777" w:rsidR="00AC555F" w:rsidRPr="00AC555F" w:rsidRDefault="00AC555F" w:rsidP="00AC555F">
      <w:pPr>
        <w:pStyle w:val="ConsPlusNormal"/>
        <w:keepNext/>
        <w:ind w:firstLine="851"/>
        <w:jc w:val="both"/>
        <w:rPr>
          <w:rFonts w:ascii="Times New Roman" w:hAnsi="Times New Roman" w:cs="Times New Roman"/>
          <w:sz w:val="24"/>
          <w:szCs w:val="24"/>
        </w:rPr>
      </w:pPr>
      <w:r w:rsidRPr="00AC555F">
        <w:rPr>
          <w:rFonts w:ascii="Times New Roman" w:hAnsi="Times New Roman" w:cs="Times New Roman"/>
          <w:sz w:val="24"/>
          <w:szCs w:val="24"/>
        </w:rPr>
        <w:t>В Проспекте ценных бумаг описаны только те риски, которые, по мнению Эмитента, являются существенными в настоящее время. Эмитент не исключает, что в его деятельности могут присутствовать иные риски, о которых он в настоящее время не знает либо считает их незначительными и которые могут оказать негативное влияние на возможность Эмитента исполнять обязательства перед владельцами Облигаций своевременно и в полном объеме.</w:t>
      </w:r>
    </w:p>
    <w:p w14:paraId="6AF4F4D4" w14:textId="77777777" w:rsidR="00AC555F" w:rsidRPr="00AC555F" w:rsidRDefault="00AC555F" w:rsidP="00AC555F">
      <w:pPr>
        <w:pStyle w:val="ConsPlusNormal"/>
        <w:keepNext/>
        <w:ind w:firstLine="851"/>
        <w:jc w:val="both"/>
        <w:rPr>
          <w:rFonts w:ascii="Times New Roman" w:hAnsi="Times New Roman" w:cs="Times New Roman"/>
          <w:sz w:val="24"/>
          <w:szCs w:val="24"/>
        </w:rPr>
      </w:pPr>
      <w:r w:rsidRPr="00AC555F">
        <w:rPr>
          <w:rFonts w:ascii="Times New Roman" w:hAnsi="Times New Roman" w:cs="Times New Roman"/>
          <w:sz w:val="24"/>
          <w:szCs w:val="24"/>
        </w:rPr>
        <w:t>Инвестиции в Облигации связаны с определенной степенью риска. В связи с этим потенциальные инвесторы, прежде чем принимать любое инвестиционное решение, должны тщательно изучить факторы риска, приведенные в пункте 2.5 Проспекта ценных бумаг. Инвестиции в ценные бумаги суверенных или корпоративных эмитентов на развивающихся рынках, таких как Казахстан, сопряжены с более высоким уровнем риска, чем инвестиции в ценные бумаги эмитентов на более развитых рынках. Инвесторы должны уделить особое внимание оценке рисков и должны самостоятельно принять решение относительно целесообразности инвестирования в свете таких рисков.</w:t>
      </w:r>
    </w:p>
    <w:p w14:paraId="7D6D6254" w14:textId="769267CD" w:rsidR="00AC555F" w:rsidRPr="00AC555F" w:rsidRDefault="00AC555F" w:rsidP="00C54A9E">
      <w:pPr>
        <w:pStyle w:val="ConsPlusNormal"/>
        <w:keepNext/>
        <w:ind w:firstLine="851"/>
        <w:jc w:val="both"/>
        <w:rPr>
          <w:rFonts w:ascii="Times New Roman" w:hAnsi="Times New Roman" w:cs="Times New Roman"/>
          <w:sz w:val="24"/>
          <w:szCs w:val="24"/>
        </w:rPr>
      </w:pPr>
      <w:r w:rsidRPr="00AC555F">
        <w:rPr>
          <w:rFonts w:ascii="Times New Roman" w:hAnsi="Times New Roman" w:cs="Times New Roman"/>
          <w:sz w:val="24"/>
          <w:szCs w:val="24"/>
        </w:rPr>
        <w:t xml:space="preserve">По мнению Эмитента, к основным рискам, которые могут повлиять на </w:t>
      </w:r>
      <w:r w:rsidR="00C54A9E">
        <w:rPr>
          <w:rFonts w:ascii="Times New Roman" w:hAnsi="Times New Roman" w:cs="Times New Roman"/>
          <w:sz w:val="24"/>
          <w:szCs w:val="24"/>
        </w:rPr>
        <w:t>финансовое положение</w:t>
      </w:r>
      <w:r w:rsidRPr="00AC555F">
        <w:rPr>
          <w:rFonts w:ascii="Times New Roman" w:hAnsi="Times New Roman" w:cs="Times New Roman"/>
          <w:sz w:val="24"/>
          <w:szCs w:val="24"/>
        </w:rPr>
        <w:t xml:space="preserve"> Эмитента и исполнение Эмитентом обязательств по Облигац</w:t>
      </w:r>
      <w:r w:rsidR="00C54A9E">
        <w:rPr>
          <w:rFonts w:ascii="Times New Roman" w:hAnsi="Times New Roman" w:cs="Times New Roman"/>
          <w:sz w:val="24"/>
          <w:szCs w:val="24"/>
        </w:rPr>
        <w:t>иям, относятся следующие риски:</w:t>
      </w:r>
    </w:p>
    <w:p w14:paraId="686237D6" w14:textId="7D4AD305" w:rsidR="00AC555F" w:rsidRPr="00AC555F" w:rsidRDefault="00AC555F" w:rsidP="00FA5EE3">
      <w:pPr>
        <w:pStyle w:val="ConsPlusNormal"/>
        <w:numPr>
          <w:ilvl w:val="0"/>
          <w:numId w:val="1"/>
        </w:numPr>
        <w:jc w:val="both"/>
        <w:rPr>
          <w:rFonts w:ascii="Times New Roman" w:hAnsi="Times New Roman" w:cs="Times New Roman"/>
          <w:sz w:val="24"/>
          <w:szCs w:val="24"/>
        </w:rPr>
      </w:pPr>
      <w:r w:rsidRPr="00AC555F">
        <w:rPr>
          <w:rFonts w:ascii="Times New Roman" w:hAnsi="Times New Roman" w:cs="Times New Roman"/>
          <w:sz w:val="24"/>
          <w:szCs w:val="24"/>
        </w:rPr>
        <w:t xml:space="preserve">риск существенного изменения цен на сырьевые товары. </w:t>
      </w:r>
    </w:p>
    <w:p w14:paraId="1B04E862" w14:textId="4BF64B8B" w:rsidR="00AC555F" w:rsidRPr="00AC555F" w:rsidRDefault="00AC555F" w:rsidP="00C54A9E">
      <w:pPr>
        <w:pStyle w:val="ConsPlusNormal"/>
        <w:keepNext/>
        <w:ind w:firstLine="851"/>
        <w:jc w:val="both"/>
        <w:rPr>
          <w:rFonts w:ascii="Times New Roman" w:hAnsi="Times New Roman" w:cs="Times New Roman"/>
          <w:sz w:val="24"/>
          <w:szCs w:val="24"/>
        </w:rPr>
      </w:pPr>
      <w:r w:rsidRPr="00AC555F">
        <w:rPr>
          <w:rFonts w:ascii="Times New Roman" w:hAnsi="Times New Roman" w:cs="Times New Roman"/>
          <w:sz w:val="24"/>
          <w:szCs w:val="24"/>
        </w:rPr>
        <w:t xml:space="preserve">Данный риск связан с тем, что нефтегазовый сектор имеет стратегическое значение для Казахстана, и, как следствие, </w:t>
      </w:r>
      <w:r w:rsidR="00C54A9E">
        <w:rPr>
          <w:rFonts w:ascii="Times New Roman" w:hAnsi="Times New Roman" w:cs="Times New Roman"/>
          <w:sz w:val="24"/>
          <w:szCs w:val="24"/>
        </w:rPr>
        <w:t>Эмитент подвержен</w:t>
      </w:r>
      <w:r w:rsidRPr="00AC555F">
        <w:rPr>
          <w:rFonts w:ascii="Times New Roman" w:hAnsi="Times New Roman" w:cs="Times New Roman"/>
          <w:sz w:val="24"/>
          <w:szCs w:val="24"/>
        </w:rPr>
        <w:t xml:space="preserve"> к</w:t>
      </w:r>
      <w:r w:rsidR="005E718E">
        <w:rPr>
          <w:rFonts w:ascii="Times New Roman" w:hAnsi="Times New Roman" w:cs="Times New Roman"/>
          <w:sz w:val="24"/>
          <w:szCs w:val="24"/>
        </w:rPr>
        <w:t>онъюнктуре мировых цен на сырье</w:t>
      </w:r>
      <w:r w:rsidRPr="00AC555F">
        <w:rPr>
          <w:rFonts w:ascii="Times New Roman" w:hAnsi="Times New Roman" w:cs="Times New Roman"/>
          <w:sz w:val="24"/>
          <w:szCs w:val="24"/>
        </w:rPr>
        <w:t>. Падение цен на нефть может вызвать волатильность доходо</w:t>
      </w:r>
      <w:r w:rsidR="00C54A9E">
        <w:rPr>
          <w:rFonts w:ascii="Times New Roman" w:hAnsi="Times New Roman" w:cs="Times New Roman"/>
          <w:sz w:val="24"/>
          <w:szCs w:val="24"/>
        </w:rPr>
        <w:t>в Казахстана от экспорта нефти в долларах США</w:t>
      </w:r>
      <w:r w:rsidRPr="00AC555F">
        <w:rPr>
          <w:rFonts w:ascii="Times New Roman" w:hAnsi="Times New Roman" w:cs="Times New Roman"/>
          <w:sz w:val="24"/>
          <w:szCs w:val="24"/>
        </w:rPr>
        <w:t xml:space="preserve"> и привести к ослаблению казахстанского тенге. В свою очередь значительное ослабление курса тенге может негативно отразиться на обслуживании Республикой Казахстан внешнего долга в иностранных валютах, увеличить долговую нагрузку на Эмитента, а также привести к росту инфляции и внутренних процентных ставок, что может оказать неблагоприятное влияние на экономику Казахстана и на качество активов казахстанског</w:t>
      </w:r>
      <w:r w:rsidR="005E718E">
        <w:rPr>
          <w:rFonts w:ascii="Times New Roman" w:hAnsi="Times New Roman" w:cs="Times New Roman"/>
          <w:sz w:val="24"/>
          <w:szCs w:val="24"/>
        </w:rPr>
        <w:t>о банковского сектора. При этом</w:t>
      </w:r>
      <w:r w:rsidRPr="00AC555F">
        <w:rPr>
          <w:rFonts w:ascii="Times New Roman" w:hAnsi="Times New Roman" w:cs="Times New Roman"/>
          <w:sz w:val="24"/>
          <w:szCs w:val="24"/>
        </w:rPr>
        <w:t xml:space="preserve"> </w:t>
      </w:r>
      <w:r w:rsidR="005E718E">
        <w:rPr>
          <w:rFonts w:ascii="Times New Roman" w:hAnsi="Times New Roman" w:cs="Times New Roman"/>
          <w:sz w:val="24"/>
          <w:szCs w:val="24"/>
        </w:rPr>
        <w:t>Казахстан</w:t>
      </w:r>
      <w:r w:rsidR="00C54A9E" w:rsidRPr="00C54A9E">
        <w:rPr>
          <w:rFonts w:ascii="Times New Roman" w:hAnsi="Times New Roman" w:cs="Times New Roman"/>
          <w:sz w:val="24"/>
          <w:szCs w:val="24"/>
        </w:rPr>
        <w:t xml:space="preserve"> обладает развитой производственной базой, которая обеспечивает достаточный уровень экономической диверсификации. В случае неблагоприятного изменения конъюнктуры на сырьевых рынках Республика Казахстан примет необходимые меры для минимизации ущерба и исполнения обязательств по Облигациям.</w:t>
      </w:r>
      <w:r w:rsidR="00C54A9E">
        <w:rPr>
          <w:rFonts w:ascii="Times New Roman" w:hAnsi="Times New Roman" w:cs="Times New Roman"/>
          <w:sz w:val="24"/>
          <w:szCs w:val="24"/>
        </w:rPr>
        <w:t xml:space="preserve"> Т</w:t>
      </w:r>
      <w:r w:rsidRPr="00AC555F">
        <w:rPr>
          <w:rFonts w:ascii="Times New Roman" w:hAnsi="Times New Roman" w:cs="Times New Roman"/>
          <w:sz w:val="24"/>
          <w:szCs w:val="24"/>
        </w:rPr>
        <w:t>емпы роста инфляции не окажут существенного влияния на выплаты по Облигациям, поскольку Правительство Республики Казахстан и НБК будут предпринимать комплекс ме</w:t>
      </w:r>
      <w:r w:rsidR="00C54A9E">
        <w:rPr>
          <w:rFonts w:ascii="Times New Roman" w:hAnsi="Times New Roman" w:cs="Times New Roman"/>
          <w:sz w:val="24"/>
          <w:szCs w:val="24"/>
        </w:rPr>
        <w:t>р по ограничению роста инфляции;</w:t>
      </w:r>
    </w:p>
    <w:p w14:paraId="2653B0B3" w14:textId="2DE17127" w:rsidR="00AC555F" w:rsidRPr="00AC555F" w:rsidRDefault="00AC555F" w:rsidP="00CE40DA">
      <w:pPr>
        <w:pStyle w:val="ConsPlusNormal"/>
        <w:numPr>
          <w:ilvl w:val="0"/>
          <w:numId w:val="1"/>
        </w:numPr>
        <w:jc w:val="both"/>
        <w:rPr>
          <w:rFonts w:ascii="Times New Roman" w:hAnsi="Times New Roman" w:cs="Times New Roman"/>
          <w:sz w:val="24"/>
          <w:szCs w:val="24"/>
        </w:rPr>
      </w:pPr>
      <w:r w:rsidRPr="00AC555F">
        <w:rPr>
          <w:rFonts w:ascii="Times New Roman" w:hAnsi="Times New Roman" w:cs="Times New Roman"/>
          <w:sz w:val="24"/>
          <w:szCs w:val="24"/>
        </w:rPr>
        <w:t>риск существенного ухудшения экономического состояния торговых партнеров Казахстана.</w:t>
      </w:r>
    </w:p>
    <w:p w14:paraId="73AE863C" w14:textId="20228C46" w:rsidR="00AC555F" w:rsidRPr="00AC555F" w:rsidRDefault="00AC555F" w:rsidP="00AC555F">
      <w:pPr>
        <w:pStyle w:val="ConsPlusNormal"/>
        <w:keepNext/>
        <w:ind w:firstLine="851"/>
        <w:jc w:val="both"/>
        <w:rPr>
          <w:rFonts w:ascii="Times New Roman" w:hAnsi="Times New Roman" w:cs="Times New Roman"/>
          <w:sz w:val="24"/>
          <w:szCs w:val="24"/>
        </w:rPr>
      </w:pPr>
      <w:r w:rsidRPr="00AC555F">
        <w:rPr>
          <w:rFonts w:ascii="Times New Roman" w:hAnsi="Times New Roman" w:cs="Times New Roman"/>
          <w:sz w:val="24"/>
          <w:szCs w:val="24"/>
        </w:rPr>
        <w:t>Данный риск связан с тем, что экономика Казахстана, как и экономики других стран, может быть восприимчива к внешним изменениям и экономическим показателям своих торговых партнеров. Ухудшение экономического состояния (в том числе торговые войны, санкции) важных торговых партнеров Казахстана может оказать негативное воздействие на торговый баланс и экономический рост Казахстана</w:t>
      </w:r>
      <w:r w:rsidR="005326F9">
        <w:rPr>
          <w:rFonts w:ascii="Times New Roman" w:hAnsi="Times New Roman" w:cs="Times New Roman"/>
          <w:sz w:val="24"/>
          <w:szCs w:val="24"/>
        </w:rPr>
        <w:t>;</w:t>
      </w:r>
    </w:p>
    <w:p w14:paraId="0960A961" w14:textId="6D810815" w:rsidR="00AC555F" w:rsidRPr="00AC555F" w:rsidRDefault="00AC555F" w:rsidP="00CE40DA">
      <w:pPr>
        <w:pStyle w:val="ConsPlusNormal"/>
        <w:numPr>
          <w:ilvl w:val="0"/>
          <w:numId w:val="1"/>
        </w:numPr>
        <w:jc w:val="both"/>
        <w:rPr>
          <w:rFonts w:ascii="Times New Roman" w:hAnsi="Times New Roman" w:cs="Times New Roman"/>
          <w:sz w:val="24"/>
          <w:szCs w:val="24"/>
        </w:rPr>
      </w:pPr>
      <w:r w:rsidRPr="00AC555F">
        <w:rPr>
          <w:rFonts w:ascii="Times New Roman" w:hAnsi="Times New Roman" w:cs="Times New Roman"/>
          <w:sz w:val="24"/>
          <w:szCs w:val="24"/>
        </w:rPr>
        <w:t xml:space="preserve">риск существенного изменения процентных ставок. </w:t>
      </w:r>
    </w:p>
    <w:p w14:paraId="5C4EB232" w14:textId="77777777" w:rsidR="00AC555F" w:rsidRPr="00AC555F" w:rsidRDefault="00AC555F" w:rsidP="00AC555F">
      <w:pPr>
        <w:pStyle w:val="ConsPlusNormal"/>
        <w:keepNext/>
        <w:ind w:firstLine="851"/>
        <w:jc w:val="both"/>
        <w:rPr>
          <w:rFonts w:ascii="Times New Roman" w:hAnsi="Times New Roman" w:cs="Times New Roman"/>
          <w:sz w:val="24"/>
          <w:szCs w:val="24"/>
        </w:rPr>
      </w:pPr>
      <w:r w:rsidRPr="00AC555F">
        <w:rPr>
          <w:rFonts w:ascii="Times New Roman" w:hAnsi="Times New Roman" w:cs="Times New Roman"/>
          <w:sz w:val="24"/>
          <w:szCs w:val="24"/>
        </w:rPr>
        <w:t>Данный риск может оказать существенное влияние на деятельность Эмитента по причине возможного удорожания стоимости как внутренних, так и внешних заимствований для Республики Казахстан, процентная ставка по которым может измениться в результате изменения рыночных условий.</w:t>
      </w:r>
    </w:p>
    <w:p w14:paraId="28B798D5" w14:textId="124F6B9E" w:rsidR="00AC555F" w:rsidRPr="00C54A9E" w:rsidRDefault="00AC555F" w:rsidP="00C54A9E">
      <w:pPr>
        <w:pStyle w:val="ConsPlusNormal"/>
        <w:keepNext/>
        <w:ind w:firstLine="851"/>
        <w:jc w:val="both"/>
        <w:rPr>
          <w:rFonts w:ascii="Times New Roman" w:hAnsi="Times New Roman" w:cs="Times New Roman"/>
          <w:sz w:val="24"/>
          <w:szCs w:val="24"/>
        </w:rPr>
      </w:pPr>
      <w:r w:rsidRPr="00AC555F">
        <w:rPr>
          <w:rFonts w:ascii="Times New Roman" w:hAnsi="Times New Roman" w:cs="Times New Roman"/>
          <w:sz w:val="24"/>
          <w:szCs w:val="24"/>
        </w:rPr>
        <w:t xml:space="preserve">Более подробная информация о рисках, связанных с Эмитентом и приобретением Облигаций, приведена в </w:t>
      </w:r>
      <w:r w:rsidR="00C54A9E">
        <w:rPr>
          <w:rFonts w:ascii="Times New Roman" w:hAnsi="Times New Roman" w:cs="Times New Roman"/>
          <w:sz w:val="24"/>
          <w:szCs w:val="24"/>
        </w:rPr>
        <w:t>пункте 2.5</w:t>
      </w:r>
      <w:r w:rsidRPr="00AC555F">
        <w:rPr>
          <w:rFonts w:ascii="Times New Roman" w:hAnsi="Times New Roman" w:cs="Times New Roman"/>
          <w:sz w:val="24"/>
          <w:szCs w:val="24"/>
        </w:rPr>
        <w:t xml:space="preserve"> Проспекта ценных бумаг.</w:t>
      </w:r>
    </w:p>
    <w:p w14:paraId="6ADFE80A" w14:textId="77777777" w:rsidR="00BF2E33" w:rsidRPr="005C53F5" w:rsidRDefault="00BF2E33" w:rsidP="00057BE5">
      <w:pPr>
        <w:spacing w:after="0" w:line="240" w:lineRule="auto"/>
        <w:ind w:firstLine="851"/>
        <w:jc w:val="both"/>
        <w:rPr>
          <w:rFonts w:ascii="Times New Roman" w:hAnsi="Times New Roman" w:cs="Times New Roman"/>
          <w:sz w:val="24"/>
          <w:szCs w:val="24"/>
        </w:rPr>
      </w:pPr>
    </w:p>
    <w:p w14:paraId="013438A8" w14:textId="3EC76E43" w:rsidR="007F68E4" w:rsidRPr="005C53F5" w:rsidRDefault="007F68E4" w:rsidP="00057BE5">
      <w:pPr>
        <w:pStyle w:val="ConsPlusNormal"/>
        <w:ind w:firstLine="851"/>
        <w:jc w:val="both"/>
        <w:rPr>
          <w:rFonts w:ascii="Times New Roman" w:hAnsi="Times New Roman" w:cs="Times New Roman"/>
          <w:caps/>
          <w:sz w:val="24"/>
          <w:szCs w:val="24"/>
        </w:rPr>
      </w:pPr>
      <w:bookmarkStart w:id="60" w:name="_Toc521608803"/>
      <w:bookmarkStart w:id="61" w:name="_Toc533784486"/>
      <w:r w:rsidRPr="005C53F5">
        <w:rPr>
          <w:rFonts w:ascii="Times New Roman" w:hAnsi="Times New Roman" w:cs="Times New Roman"/>
          <w:caps/>
          <w:sz w:val="24"/>
          <w:szCs w:val="24"/>
        </w:rPr>
        <w:t>Настоящий проспект ценных бумаг содержит оценки и прогнозы уполномоченных органов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его планов,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проспекте ценных бумаг.</w:t>
      </w:r>
      <w:bookmarkEnd w:id="60"/>
      <w:bookmarkEnd w:id="61"/>
    </w:p>
    <w:p w14:paraId="2FD3387F" w14:textId="77777777" w:rsidR="00CA1A99" w:rsidRDefault="00CA1A99" w:rsidP="00CA1A99">
      <w:pPr>
        <w:spacing w:after="0" w:line="240" w:lineRule="auto"/>
        <w:rPr>
          <w:rFonts w:ascii="Times New Roman" w:hAnsi="Times New Roman" w:cs="Times New Roman"/>
          <w:b/>
          <w:sz w:val="24"/>
          <w:szCs w:val="24"/>
        </w:rPr>
      </w:pPr>
      <w:bookmarkStart w:id="62" w:name="_Toc39616325"/>
      <w:bookmarkStart w:id="63" w:name="_Toc36145563"/>
      <w:r>
        <w:rPr>
          <w:rFonts w:ascii="Times New Roman" w:hAnsi="Times New Roman" w:cs="Times New Roman"/>
          <w:b/>
          <w:sz w:val="24"/>
          <w:szCs w:val="24"/>
        </w:rPr>
        <w:t xml:space="preserve"> </w:t>
      </w:r>
    </w:p>
    <w:p w14:paraId="77A494BB" w14:textId="77777777" w:rsidR="00CA1A99" w:rsidRDefault="00CA1A99" w:rsidP="00CA1A99">
      <w:pPr>
        <w:spacing w:after="0" w:line="240" w:lineRule="auto"/>
        <w:rPr>
          <w:rFonts w:ascii="Times New Roman" w:hAnsi="Times New Roman" w:cs="Times New Roman"/>
          <w:b/>
          <w:sz w:val="24"/>
          <w:szCs w:val="24"/>
        </w:rPr>
      </w:pPr>
    </w:p>
    <w:p w14:paraId="1611D5D5" w14:textId="77777777" w:rsidR="00CA1A99" w:rsidRDefault="00CA1A99" w:rsidP="00CA1A99">
      <w:pPr>
        <w:spacing w:after="0" w:line="240" w:lineRule="auto"/>
        <w:rPr>
          <w:rFonts w:ascii="Times New Roman" w:hAnsi="Times New Roman" w:cs="Times New Roman"/>
          <w:b/>
          <w:sz w:val="24"/>
          <w:szCs w:val="24"/>
        </w:rPr>
      </w:pPr>
    </w:p>
    <w:p w14:paraId="6B920376" w14:textId="77777777" w:rsidR="00CA1A99" w:rsidRDefault="00CA1A99" w:rsidP="00CA1A99">
      <w:pPr>
        <w:spacing w:after="0" w:line="240" w:lineRule="auto"/>
        <w:rPr>
          <w:rFonts w:ascii="Times New Roman" w:hAnsi="Times New Roman" w:cs="Times New Roman"/>
          <w:b/>
          <w:sz w:val="24"/>
          <w:szCs w:val="24"/>
        </w:rPr>
      </w:pPr>
    </w:p>
    <w:p w14:paraId="21731A91" w14:textId="77777777" w:rsidR="00CA1A99" w:rsidRDefault="00CA1A99" w:rsidP="00CA1A99">
      <w:pPr>
        <w:spacing w:after="0" w:line="240" w:lineRule="auto"/>
        <w:rPr>
          <w:rFonts w:ascii="Times New Roman" w:hAnsi="Times New Roman" w:cs="Times New Roman"/>
          <w:b/>
          <w:sz w:val="24"/>
          <w:szCs w:val="24"/>
        </w:rPr>
      </w:pPr>
    </w:p>
    <w:p w14:paraId="19769E7E" w14:textId="77777777" w:rsidR="00CA1A99" w:rsidRDefault="00CA1A99" w:rsidP="00CA1A99">
      <w:pPr>
        <w:spacing w:after="0" w:line="240" w:lineRule="auto"/>
        <w:rPr>
          <w:rFonts w:ascii="Times New Roman" w:hAnsi="Times New Roman" w:cs="Times New Roman"/>
          <w:b/>
          <w:sz w:val="24"/>
          <w:szCs w:val="24"/>
        </w:rPr>
      </w:pPr>
    </w:p>
    <w:p w14:paraId="1F397723" w14:textId="77777777" w:rsidR="00CA1A99" w:rsidRDefault="00CA1A99" w:rsidP="00CA1A99">
      <w:pPr>
        <w:spacing w:after="0" w:line="240" w:lineRule="auto"/>
        <w:rPr>
          <w:rFonts w:ascii="Times New Roman" w:hAnsi="Times New Roman" w:cs="Times New Roman"/>
          <w:b/>
          <w:sz w:val="24"/>
          <w:szCs w:val="24"/>
        </w:rPr>
      </w:pPr>
    </w:p>
    <w:p w14:paraId="662F322B" w14:textId="77777777" w:rsidR="00CA1A99" w:rsidRDefault="00CA1A99" w:rsidP="00CA1A99">
      <w:pPr>
        <w:spacing w:after="0" w:line="240" w:lineRule="auto"/>
        <w:rPr>
          <w:rFonts w:ascii="Times New Roman" w:hAnsi="Times New Roman" w:cs="Times New Roman"/>
          <w:b/>
          <w:sz w:val="24"/>
          <w:szCs w:val="24"/>
        </w:rPr>
      </w:pPr>
    </w:p>
    <w:p w14:paraId="103468A0" w14:textId="7F4A731E" w:rsidR="00BF5F06" w:rsidRPr="005C53F5" w:rsidRDefault="00BF5F06" w:rsidP="00CA1A99">
      <w:pPr>
        <w:pStyle w:val="ConsPlusNormal"/>
        <w:ind w:firstLine="709"/>
        <w:jc w:val="both"/>
        <w:outlineLvl w:val="0"/>
        <w:rPr>
          <w:rFonts w:ascii="Times New Roman" w:hAnsi="Times New Roman" w:cs="Times New Roman"/>
          <w:b/>
          <w:sz w:val="24"/>
          <w:szCs w:val="24"/>
        </w:rPr>
      </w:pPr>
      <w:r w:rsidRPr="005C53F5">
        <w:rPr>
          <w:rFonts w:ascii="Times New Roman" w:hAnsi="Times New Roman" w:cs="Times New Roman"/>
          <w:b/>
          <w:sz w:val="24"/>
          <w:szCs w:val="24"/>
        </w:rPr>
        <w:t>Раздел I. Сведения о банковских счетах, об аудиторе (аудиторской организации), оценщике и о финансовом консультанте эмитента, а также об иных лицах, подписавших проспект ценных бумаг</w:t>
      </w:r>
      <w:bookmarkEnd w:id="62"/>
      <w:bookmarkEnd w:id="63"/>
    </w:p>
    <w:p w14:paraId="459E7560"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64" w:name="_Toc39616326"/>
      <w:bookmarkStart w:id="65" w:name="_Toc36145564"/>
      <w:r w:rsidRPr="005C53F5">
        <w:rPr>
          <w:rFonts w:ascii="Times New Roman" w:hAnsi="Times New Roman" w:cs="Times New Roman"/>
          <w:b/>
          <w:sz w:val="24"/>
          <w:szCs w:val="24"/>
        </w:rPr>
        <w:t>1.1. Сведения о банковских счетах эмитента</w:t>
      </w:r>
      <w:bookmarkEnd w:id="64"/>
      <w:bookmarkEnd w:id="65"/>
    </w:p>
    <w:p w14:paraId="6B09C701" w14:textId="67ED790F" w:rsidR="001B6FBF" w:rsidRPr="005C53F5" w:rsidRDefault="001B6FBF" w:rsidP="00057BE5">
      <w:pPr>
        <w:pStyle w:val="ConsPlusNormal"/>
        <w:ind w:firstLine="709"/>
        <w:jc w:val="both"/>
        <w:rPr>
          <w:rFonts w:ascii="Times New Roman" w:hAnsi="Times New Roman" w:cs="Times New Roman"/>
          <w:sz w:val="24"/>
          <w:szCs w:val="24"/>
        </w:rPr>
      </w:pPr>
      <w:bookmarkStart w:id="66" w:name="_Toc521608806"/>
      <w:bookmarkStart w:id="67" w:name="_Toc533784489"/>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66"/>
      <w:bookmarkEnd w:id="67"/>
    </w:p>
    <w:p w14:paraId="7124571D"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68" w:name="_Toc39616327"/>
      <w:bookmarkStart w:id="69" w:name="_Toc36145565"/>
      <w:r w:rsidRPr="005C53F5">
        <w:rPr>
          <w:rFonts w:ascii="Times New Roman" w:hAnsi="Times New Roman" w:cs="Times New Roman"/>
          <w:b/>
          <w:sz w:val="24"/>
          <w:szCs w:val="24"/>
        </w:rPr>
        <w:t>1.2. Сведения об аудиторе (аудиторской организации) эмитента</w:t>
      </w:r>
      <w:bookmarkEnd w:id="68"/>
      <w:bookmarkEnd w:id="69"/>
    </w:p>
    <w:p w14:paraId="1A2EE727" w14:textId="77777777" w:rsidR="001B6FBF" w:rsidRPr="005C53F5" w:rsidRDefault="001B6FBF" w:rsidP="00057BE5">
      <w:pPr>
        <w:pStyle w:val="ConsPlusNormal"/>
        <w:ind w:firstLine="709"/>
        <w:jc w:val="both"/>
        <w:rPr>
          <w:rFonts w:ascii="Times New Roman" w:hAnsi="Times New Roman" w:cs="Times New Roman"/>
          <w:sz w:val="24"/>
          <w:szCs w:val="24"/>
        </w:rPr>
      </w:pPr>
      <w:bookmarkStart w:id="70" w:name="_Toc521608808"/>
      <w:bookmarkStart w:id="71" w:name="_Toc533784491"/>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70"/>
      <w:bookmarkEnd w:id="71"/>
    </w:p>
    <w:p w14:paraId="14668123"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72" w:name="_Toc39616328"/>
      <w:bookmarkStart w:id="73" w:name="_Toc36145566"/>
      <w:r w:rsidRPr="005C53F5">
        <w:rPr>
          <w:rFonts w:ascii="Times New Roman" w:hAnsi="Times New Roman" w:cs="Times New Roman"/>
          <w:b/>
          <w:sz w:val="24"/>
          <w:szCs w:val="24"/>
        </w:rPr>
        <w:t>1.3. Сведения об оценщике эмитента</w:t>
      </w:r>
      <w:bookmarkEnd w:id="72"/>
      <w:bookmarkEnd w:id="73"/>
    </w:p>
    <w:p w14:paraId="3B74D782" w14:textId="77777777" w:rsidR="001B6FBF" w:rsidRPr="005C53F5" w:rsidRDefault="001B6FBF" w:rsidP="00057BE5">
      <w:pPr>
        <w:pStyle w:val="ConsPlusNormal"/>
        <w:ind w:firstLine="709"/>
        <w:jc w:val="both"/>
        <w:rPr>
          <w:rFonts w:ascii="Times New Roman" w:hAnsi="Times New Roman" w:cs="Times New Roman"/>
          <w:sz w:val="24"/>
          <w:szCs w:val="24"/>
        </w:rPr>
      </w:pPr>
      <w:bookmarkStart w:id="74" w:name="_Toc521608810"/>
      <w:bookmarkStart w:id="75" w:name="_Toc533784493"/>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74"/>
      <w:bookmarkEnd w:id="75"/>
    </w:p>
    <w:p w14:paraId="0C7C6E1F"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76" w:name="_Toc39616329"/>
      <w:bookmarkStart w:id="77" w:name="_Toc36145567"/>
      <w:r w:rsidRPr="005C53F5">
        <w:rPr>
          <w:rFonts w:ascii="Times New Roman" w:hAnsi="Times New Roman" w:cs="Times New Roman"/>
          <w:b/>
          <w:sz w:val="24"/>
          <w:szCs w:val="24"/>
        </w:rPr>
        <w:t>1.4. Сведения о консультантах эмитента</w:t>
      </w:r>
      <w:bookmarkEnd w:id="76"/>
      <w:bookmarkEnd w:id="77"/>
    </w:p>
    <w:p w14:paraId="1C995136" w14:textId="77777777" w:rsidR="001B6FBF" w:rsidRPr="005C53F5" w:rsidRDefault="001B6FBF" w:rsidP="00057BE5">
      <w:pPr>
        <w:pStyle w:val="ConsPlusNormal"/>
        <w:ind w:firstLine="709"/>
        <w:jc w:val="both"/>
        <w:rPr>
          <w:rFonts w:ascii="Times New Roman" w:hAnsi="Times New Roman" w:cs="Times New Roman"/>
          <w:sz w:val="24"/>
          <w:szCs w:val="24"/>
        </w:rPr>
      </w:pPr>
      <w:bookmarkStart w:id="78" w:name="_Toc521608812"/>
      <w:bookmarkStart w:id="79" w:name="_Toc533784495"/>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78"/>
      <w:bookmarkEnd w:id="79"/>
    </w:p>
    <w:p w14:paraId="40CD5611"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80" w:name="_Toc39616330"/>
      <w:bookmarkStart w:id="81" w:name="_Toc36145568"/>
      <w:r w:rsidRPr="005C53F5">
        <w:rPr>
          <w:rFonts w:ascii="Times New Roman" w:hAnsi="Times New Roman" w:cs="Times New Roman"/>
          <w:b/>
          <w:sz w:val="24"/>
          <w:szCs w:val="24"/>
        </w:rPr>
        <w:t>1.5. Сведения об иных лицах, подписавших проспект ценных бумаг</w:t>
      </w:r>
      <w:bookmarkEnd w:id="80"/>
      <w:bookmarkEnd w:id="81"/>
    </w:p>
    <w:p w14:paraId="206B8EAA" w14:textId="77777777" w:rsidR="001B6FBF" w:rsidRPr="005C53F5" w:rsidRDefault="001B6FBF" w:rsidP="00057BE5">
      <w:pPr>
        <w:pStyle w:val="ConsPlusNormal"/>
        <w:ind w:firstLine="709"/>
        <w:jc w:val="both"/>
        <w:rPr>
          <w:rFonts w:ascii="Times New Roman" w:hAnsi="Times New Roman" w:cs="Times New Roman"/>
          <w:sz w:val="24"/>
          <w:szCs w:val="24"/>
        </w:rPr>
      </w:pPr>
      <w:bookmarkStart w:id="82" w:name="_Toc521608814"/>
      <w:bookmarkStart w:id="83" w:name="_Toc533784497"/>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82"/>
      <w:bookmarkEnd w:id="83"/>
      <w:r w:rsidRPr="005C53F5">
        <w:rPr>
          <w:rFonts w:ascii="Times New Roman" w:hAnsi="Times New Roman" w:cs="Times New Roman"/>
          <w:b/>
          <w:sz w:val="24"/>
          <w:szCs w:val="24"/>
        </w:rPr>
        <w:br w:type="page"/>
      </w:r>
    </w:p>
    <w:p w14:paraId="594CC3FB" w14:textId="77777777" w:rsidR="00BF5F06" w:rsidRPr="005C53F5" w:rsidRDefault="00BF5F06" w:rsidP="00057BE5">
      <w:pPr>
        <w:pStyle w:val="ConsPlusNormal"/>
        <w:ind w:firstLine="709"/>
        <w:jc w:val="both"/>
        <w:outlineLvl w:val="0"/>
        <w:rPr>
          <w:rFonts w:ascii="Times New Roman" w:hAnsi="Times New Roman" w:cs="Times New Roman"/>
          <w:b/>
          <w:sz w:val="24"/>
          <w:szCs w:val="24"/>
        </w:rPr>
      </w:pPr>
      <w:bookmarkStart w:id="84" w:name="_Toc39616331"/>
      <w:bookmarkStart w:id="85" w:name="_Toc36145569"/>
      <w:r w:rsidRPr="005C53F5">
        <w:rPr>
          <w:rFonts w:ascii="Times New Roman" w:hAnsi="Times New Roman" w:cs="Times New Roman"/>
          <w:b/>
          <w:sz w:val="24"/>
          <w:szCs w:val="24"/>
        </w:rPr>
        <w:t>Раздел II. Основная информация о финансово-экономическом состоянии эмитента</w:t>
      </w:r>
      <w:bookmarkEnd w:id="84"/>
      <w:bookmarkEnd w:id="85"/>
    </w:p>
    <w:p w14:paraId="7107652C"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86" w:name="_Toc39616332"/>
      <w:bookmarkStart w:id="87" w:name="_Toc36145570"/>
      <w:r w:rsidRPr="005C53F5">
        <w:rPr>
          <w:rFonts w:ascii="Times New Roman" w:hAnsi="Times New Roman" w:cs="Times New Roman"/>
          <w:b/>
          <w:sz w:val="24"/>
          <w:szCs w:val="24"/>
        </w:rPr>
        <w:t>2.1. Показатели финансово-экономической деятельности эмитента</w:t>
      </w:r>
      <w:bookmarkEnd w:id="86"/>
      <w:bookmarkEnd w:id="87"/>
    </w:p>
    <w:p w14:paraId="6AC2640B" w14:textId="77777777" w:rsidR="008E75DB" w:rsidRPr="005C53F5" w:rsidRDefault="008E75DB" w:rsidP="00057BE5">
      <w:pPr>
        <w:pStyle w:val="ConsPlusNormal"/>
        <w:ind w:firstLine="709"/>
        <w:jc w:val="both"/>
        <w:rPr>
          <w:rFonts w:ascii="Times New Roman" w:hAnsi="Times New Roman" w:cs="Times New Roman"/>
          <w:sz w:val="24"/>
          <w:szCs w:val="24"/>
        </w:rPr>
      </w:pPr>
      <w:bookmarkStart w:id="88" w:name="_Toc521608817"/>
      <w:bookmarkStart w:id="89" w:name="_Toc533784500"/>
      <w:r w:rsidRPr="005C53F5">
        <w:rPr>
          <w:rFonts w:ascii="Times New Roman" w:hAnsi="Times New Roman" w:cs="Times New Roman"/>
          <w:sz w:val="24"/>
          <w:szCs w:val="24"/>
        </w:rPr>
        <w:t>В соответствии с пунктом 91.5 Положения Банка России № 454-П в настоящем пункте приводится информация о следующих показателях финансово-экономической деятельности Эмитента:</w:t>
      </w:r>
      <w:bookmarkEnd w:id="88"/>
      <w:bookmarkEnd w:id="89"/>
    </w:p>
    <w:p w14:paraId="3E84DB41" w14:textId="4DA36BFF" w:rsidR="008E75DB" w:rsidRPr="005C53F5" w:rsidRDefault="008E75DB" w:rsidP="00057BE5">
      <w:pPr>
        <w:pStyle w:val="ConsPlusNormal"/>
        <w:numPr>
          <w:ilvl w:val="0"/>
          <w:numId w:val="1"/>
        </w:numPr>
        <w:jc w:val="both"/>
        <w:rPr>
          <w:rFonts w:ascii="Times New Roman" w:hAnsi="Times New Roman" w:cs="Times New Roman"/>
          <w:sz w:val="24"/>
          <w:szCs w:val="24"/>
        </w:rPr>
      </w:pPr>
      <w:bookmarkStart w:id="90" w:name="_Toc521608818"/>
      <w:bookmarkStart w:id="91" w:name="_Toc533784501"/>
      <w:r w:rsidRPr="005C53F5">
        <w:rPr>
          <w:rFonts w:ascii="Times New Roman" w:hAnsi="Times New Roman" w:cs="Times New Roman"/>
          <w:sz w:val="24"/>
          <w:szCs w:val="24"/>
        </w:rPr>
        <w:t>объем и темп роста валового внутреннего продукта (национального валового внутреннего продукта) Республики Казахстан;</w:t>
      </w:r>
      <w:bookmarkEnd w:id="90"/>
      <w:bookmarkEnd w:id="91"/>
    </w:p>
    <w:p w14:paraId="09DC1D9D" w14:textId="2746C2AF" w:rsidR="008E75DB" w:rsidRPr="005C53F5" w:rsidRDefault="008E75DB" w:rsidP="00057BE5">
      <w:pPr>
        <w:pStyle w:val="ConsPlusNormal"/>
        <w:numPr>
          <w:ilvl w:val="0"/>
          <w:numId w:val="1"/>
        </w:numPr>
        <w:jc w:val="both"/>
        <w:rPr>
          <w:rFonts w:ascii="Times New Roman" w:hAnsi="Times New Roman" w:cs="Times New Roman"/>
          <w:sz w:val="24"/>
          <w:szCs w:val="24"/>
        </w:rPr>
      </w:pPr>
      <w:bookmarkStart w:id="92" w:name="_Toc521608819"/>
      <w:bookmarkStart w:id="93" w:name="_Toc533784502"/>
      <w:r w:rsidRPr="005C53F5">
        <w:rPr>
          <w:rFonts w:ascii="Times New Roman" w:hAnsi="Times New Roman" w:cs="Times New Roman"/>
          <w:sz w:val="24"/>
          <w:szCs w:val="24"/>
        </w:rPr>
        <w:t>объем и предел (верхний предел) государственного внутреннего и внешнего долга Республики Казахстан;</w:t>
      </w:r>
      <w:bookmarkEnd w:id="92"/>
      <w:bookmarkEnd w:id="93"/>
    </w:p>
    <w:p w14:paraId="5C68D112" w14:textId="1B5582AD" w:rsidR="008E75DB" w:rsidRPr="005C53F5" w:rsidRDefault="008E75DB" w:rsidP="00057BE5">
      <w:pPr>
        <w:pStyle w:val="ConsPlusNormal"/>
        <w:numPr>
          <w:ilvl w:val="0"/>
          <w:numId w:val="1"/>
        </w:numPr>
        <w:jc w:val="both"/>
        <w:rPr>
          <w:rFonts w:ascii="Times New Roman" w:hAnsi="Times New Roman" w:cs="Times New Roman"/>
          <w:sz w:val="24"/>
          <w:szCs w:val="24"/>
        </w:rPr>
      </w:pPr>
      <w:bookmarkStart w:id="94" w:name="_Toc521608820"/>
      <w:bookmarkStart w:id="95" w:name="_Toc533784503"/>
      <w:r w:rsidRPr="005C53F5">
        <w:rPr>
          <w:rFonts w:ascii="Times New Roman" w:hAnsi="Times New Roman" w:cs="Times New Roman"/>
          <w:sz w:val="24"/>
          <w:szCs w:val="24"/>
        </w:rPr>
        <w:t>уровень инфляции (темп роста цен) в Республике Казахстан;</w:t>
      </w:r>
      <w:bookmarkEnd w:id="94"/>
      <w:bookmarkEnd w:id="95"/>
    </w:p>
    <w:p w14:paraId="3C2992DB" w14:textId="54FAAA1A" w:rsidR="008E75DB" w:rsidRPr="005C53F5" w:rsidRDefault="008E75DB" w:rsidP="00057BE5">
      <w:pPr>
        <w:pStyle w:val="ConsPlusNormal"/>
        <w:numPr>
          <w:ilvl w:val="0"/>
          <w:numId w:val="1"/>
        </w:numPr>
        <w:jc w:val="both"/>
        <w:rPr>
          <w:rFonts w:ascii="Times New Roman" w:hAnsi="Times New Roman" w:cs="Times New Roman"/>
          <w:sz w:val="24"/>
          <w:szCs w:val="24"/>
        </w:rPr>
      </w:pPr>
      <w:bookmarkStart w:id="96" w:name="_Toc521608821"/>
      <w:bookmarkStart w:id="97" w:name="_Toc533784504"/>
      <w:r w:rsidRPr="005C53F5">
        <w:rPr>
          <w:rFonts w:ascii="Times New Roman" w:hAnsi="Times New Roman" w:cs="Times New Roman"/>
          <w:sz w:val="24"/>
          <w:szCs w:val="24"/>
        </w:rPr>
        <w:t>общий объем доходов и расходов государственного бюджета Республики Казахстан;</w:t>
      </w:r>
      <w:bookmarkEnd w:id="96"/>
      <w:bookmarkEnd w:id="97"/>
    </w:p>
    <w:p w14:paraId="21F3A3F1" w14:textId="2D0FB677" w:rsidR="008E75DB" w:rsidRPr="005C53F5" w:rsidRDefault="008E75DB" w:rsidP="00057BE5">
      <w:pPr>
        <w:pStyle w:val="ConsPlusNormal"/>
        <w:numPr>
          <w:ilvl w:val="0"/>
          <w:numId w:val="1"/>
        </w:numPr>
        <w:jc w:val="both"/>
        <w:rPr>
          <w:rFonts w:ascii="Times New Roman" w:hAnsi="Times New Roman" w:cs="Times New Roman"/>
          <w:sz w:val="24"/>
          <w:szCs w:val="24"/>
        </w:rPr>
      </w:pPr>
      <w:bookmarkStart w:id="98" w:name="_Toc521608822"/>
      <w:bookmarkStart w:id="99" w:name="_Toc533784505"/>
      <w:r w:rsidRPr="005C53F5">
        <w:rPr>
          <w:rFonts w:ascii="Times New Roman" w:hAnsi="Times New Roman" w:cs="Times New Roman"/>
          <w:sz w:val="24"/>
          <w:szCs w:val="24"/>
        </w:rPr>
        <w:t>размер профицита (превышения доходов государственного бюджета над его расходами) или дефицита (превышения расходов государственного бюджета над его доходами) государственного бюджета Республики Казахстан.</w:t>
      </w:r>
      <w:bookmarkEnd w:id="98"/>
      <w:bookmarkEnd w:id="99"/>
    </w:p>
    <w:p w14:paraId="685812F4" w14:textId="4BC3AF84" w:rsidR="00A333CE" w:rsidRPr="005C53F5" w:rsidRDefault="008E75DB"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Указанные показатели рассчитаны в соответствии с методикой, применяемой Республикой Казахстан.</w:t>
      </w:r>
    </w:p>
    <w:p w14:paraId="541F8630" w14:textId="21912FF6" w:rsidR="008E75DB" w:rsidRPr="005C53F5" w:rsidRDefault="008E75DB" w:rsidP="00057BE5">
      <w:pPr>
        <w:pStyle w:val="ConsPlusNormal"/>
        <w:ind w:firstLine="709"/>
        <w:jc w:val="both"/>
        <w:rPr>
          <w:rFonts w:ascii="Times New Roman" w:hAnsi="Times New Roman" w:cs="Times New Roman"/>
          <w:b/>
          <w:i/>
          <w:sz w:val="24"/>
          <w:szCs w:val="24"/>
          <w:u w:val="single"/>
        </w:rPr>
      </w:pPr>
      <w:bookmarkStart w:id="100" w:name="_Toc521608824"/>
      <w:bookmarkStart w:id="101" w:name="_Toc533784507"/>
      <w:bookmarkStart w:id="102" w:name="_Hlk40009700"/>
      <w:r w:rsidRPr="005C53F5">
        <w:rPr>
          <w:rFonts w:ascii="Times New Roman" w:hAnsi="Times New Roman" w:cs="Times New Roman"/>
          <w:b/>
          <w:i/>
          <w:sz w:val="24"/>
          <w:szCs w:val="24"/>
          <w:u w:val="single"/>
        </w:rPr>
        <w:t xml:space="preserve">Объем и темп роста валового внутреннего продукта (ВВП) Республики </w:t>
      </w:r>
      <w:bookmarkEnd w:id="100"/>
      <w:bookmarkEnd w:id="101"/>
      <w:r w:rsidRPr="005C53F5">
        <w:rPr>
          <w:rFonts w:ascii="Times New Roman" w:hAnsi="Times New Roman" w:cs="Times New Roman"/>
          <w:b/>
          <w:i/>
          <w:sz w:val="24"/>
          <w:szCs w:val="24"/>
          <w:u w:val="single"/>
        </w:rPr>
        <w:t>Казахстан</w:t>
      </w:r>
    </w:p>
    <w:bookmarkEnd w:id="102"/>
    <w:p w14:paraId="633FE9D6" w14:textId="33E86E0A" w:rsidR="00A36FAF" w:rsidRPr="005C53F5" w:rsidRDefault="008E75DB" w:rsidP="00057BE5">
      <w:pPr>
        <w:pStyle w:val="ConsPlusNormal"/>
        <w:ind w:firstLine="709"/>
        <w:jc w:val="both"/>
        <w:rPr>
          <w:rFonts w:eastAsia="Calibri"/>
        </w:rPr>
      </w:pPr>
      <w:r w:rsidRPr="005C53F5">
        <w:rPr>
          <w:rFonts w:ascii="Times New Roman" w:hAnsi="Times New Roman" w:cs="Times New Roman"/>
          <w:sz w:val="24"/>
          <w:szCs w:val="24"/>
        </w:rPr>
        <w:t xml:space="preserve">В нижеследующей таблице содержится информация об объеме и приросте ВВП Республики </w:t>
      </w:r>
      <w:r w:rsidR="00305B4B" w:rsidRPr="005C53F5">
        <w:rPr>
          <w:rFonts w:ascii="Times New Roman" w:hAnsi="Times New Roman" w:cs="Times New Roman"/>
          <w:sz w:val="24"/>
          <w:szCs w:val="24"/>
        </w:rPr>
        <w:t xml:space="preserve">Казахстан </w:t>
      </w:r>
      <w:r w:rsidRPr="005C53F5">
        <w:rPr>
          <w:rFonts w:ascii="Times New Roman" w:hAnsi="Times New Roman" w:cs="Times New Roman"/>
          <w:sz w:val="24"/>
          <w:szCs w:val="24"/>
        </w:rPr>
        <w:t>в реальном выражении за каждый указанный период:</w:t>
      </w:r>
    </w:p>
    <w:tbl>
      <w:tblPr>
        <w:tblpPr w:leftFromText="180" w:rightFromText="180" w:vertAnchor="text" w:horzAnchor="margin" w:tblpY="210"/>
        <w:tblW w:w="5000" w:type="pct"/>
        <w:tblLayout w:type="fixed"/>
        <w:tblCellMar>
          <w:left w:w="0" w:type="dxa"/>
          <w:right w:w="0" w:type="dxa"/>
        </w:tblCellMar>
        <w:tblLook w:val="04A0" w:firstRow="1" w:lastRow="0" w:firstColumn="1" w:lastColumn="0" w:noHBand="0" w:noVBand="1"/>
      </w:tblPr>
      <w:tblGrid>
        <w:gridCol w:w="1669"/>
        <w:gridCol w:w="1325"/>
        <w:gridCol w:w="1327"/>
        <w:gridCol w:w="1327"/>
        <w:gridCol w:w="1325"/>
        <w:gridCol w:w="1327"/>
        <w:gridCol w:w="1327"/>
      </w:tblGrid>
      <w:tr w:rsidR="00A36FAF" w:rsidRPr="005C53F5" w14:paraId="2729C990" w14:textId="77777777" w:rsidTr="0037162F">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5FAAAF5" w14:textId="77777777" w:rsidR="00A36FAF" w:rsidRPr="005C53F5" w:rsidRDefault="00A36FAF" w:rsidP="00057BE5">
            <w:pPr>
              <w:spacing w:after="0" w:line="240" w:lineRule="auto"/>
              <w:rPr>
                <w:rFonts w:ascii="Times New Roman" w:eastAsia="Calibri" w:hAnsi="Times New Roman" w:cs="Times New Roman"/>
                <w:b/>
                <w:bCs/>
                <w:szCs w:val="24"/>
              </w:rPr>
            </w:pPr>
            <w:r w:rsidRPr="005C53F5">
              <w:rPr>
                <w:rFonts w:ascii="Times New Roman" w:eastAsia="Calibri" w:hAnsi="Times New Roman" w:cs="Times New Roman"/>
                <w:b/>
                <w:bCs/>
                <w:szCs w:val="24"/>
              </w:rPr>
              <w:t>Показатель</w:t>
            </w:r>
          </w:p>
        </w:tc>
        <w:tc>
          <w:tcPr>
            <w:tcW w:w="68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D4848" w14:textId="77777777" w:rsidR="00A36FAF" w:rsidRPr="005C53F5" w:rsidRDefault="00A36FAF" w:rsidP="00057BE5">
            <w:pPr>
              <w:spacing w:after="0" w:line="240" w:lineRule="auto"/>
              <w:jc w:val="center"/>
              <w:rPr>
                <w:rFonts w:ascii="Times New Roman" w:eastAsia="Calibri" w:hAnsi="Times New Roman" w:cs="Times New Roman"/>
                <w:b/>
                <w:bCs/>
                <w:szCs w:val="24"/>
              </w:rPr>
            </w:pPr>
            <w:r w:rsidRPr="005C53F5">
              <w:rPr>
                <w:rFonts w:ascii="Times New Roman" w:eastAsia="Calibri" w:hAnsi="Times New Roman" w:cs="Times New Roman"/>
                <w:b/>
                <w:bCs/>
                <w:szCs w:val="24"/>
              </w:rPr>
              <w:t>2014</w:t>
            </w:r>
          </w:p>
        </w:tc>
        <w:tc>
          <w:tcPr>
            <w:tcW w:w="68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AAC61" w14:textId="77777777" w:rsidR="00A36FAF" w:rsidRPr="005C53F5" w:rsidRDefault="00A36FAF" w:rsidP="00057BE5">
            <w:pPr>
              <w:spacing w:after="0" w:line="240" w:lineRule="auto"/>
              <w:jc w:val="center"/>
              <w:rPr>
                <w:rFonts w:ascii="Times New Roman" w:eastAsia="Calibri" w:hAnsi="Times New Roman" w:cs="Times New Roman"/>
                <w:b/>
                <w:bCs/>
                <w:szCs w:val="24"/>
              </w:rPr>
            </w:pPr>
            <w:r w:rsidRPr="005C53F5">
              <w:rPr>
                <w:rFonts w:ascii="Times New Roman" w:eastAsia="Calibri" w:hAnsi="Times New Roman" w:cs="Times New Roman"/>
                <w:b/>
                <w:bCs/>
                <w:szCs w:val="24"/>
              </w:rPr>
              <w:t>2015</w:t>
            </w:r>
          </w:p>
        </w:tc>
        <w:tc>
          <w:tcPr>
            <w:tcW w:w="689"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4C3BDE3" w14:textId="77777777" w:rsidR="00A36FAF" w:rsidRPr="005C53F5" w:rsidRDefault="00A36FAF" w:rsidP="00057BE5">
            <w:pPr>
              <w:spacing w:after="0" w:line="240" w:lineRule="auto"/>
              <w:jc w:val="center"/>
              <w:rPr>
                <w:rFonts w:ascii="Times New Roman" w:eastAsia="Calibri" w:hAnsi="Times New Roman" w:cs="Times New Roman"/>
                <w:b/>
                <w:bCs/>
                <w:szCs w:val="24"/>
              </w:rPr>
            </w:pPr>
            <w:r w:rsidRPr="005C53F5">
              <w:rPr>
                <w:rFonts w:ascii="Times New Roman" w:eastAsia="Calibri" w:hAnsi="Times New Roman" w:cs="Times New Roman"/>
                <w:b/>
                <w:bCs/>
                <w:szCs w:val="24"/>
              </w:rPr>
              <w:t>2016</w:t>
            </w:r>
          </w:p>
        </w:tc>
        <w:tc>
          <w:tcPr>
            <w:tcW w:w="688"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86D3A" w14:textId="77777777" w:rsidR="00A36FAF" w:rsidRPr="005C53F5" w:rsidRDefault="00A36FAF" w:rsidP="00057BE5">
            <w:pPr>
              <w:spacing w:after="0" w:line="240" w:lineRule="auto"/>
              <w:jc w:val="center"/>
              <w:rPr>
                <w:rFonts w:ascii="Times New Roman" w:eastAsia="Calibri" w:hAnsi="Times New Roman" w:cs="Times New Roman"/>
                <w:b/>
                <w:bCs/>
                <w:szCs w:val="24"/>
              </w:rPr>
            </w:pPr>
            <w:r w:rsidRPr="005C53F5">
              <w:rPr>
                <w:rFonts w:ascii="Times New Roman" w:eastAsia="Calibri" w:hAnsi="Times New Roman" w:cs="Times New Roman"/>
                <w:b/>
                <w:bCs/>
                <w:szCs w:val="24"/>
              </w:rPr>
              <w:t>2017*</w:t>
            </w:r>
          </w:p>
        </w:tc>
        <w:tc>
          <w:tcPr>
            <w:tcW w:w="689"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F633A04" w14:textId="77777777" w:rsidR="00A36FAF" w:rsidRPr="005C53F5" w:rsidRDefault="00A36FAF" w:rsidP="00057BE5">
            <w:pPr>
              <w:spacing w:after="0" w:line="240" w:lineRule="auto"/>
              <w:jc w:val="center"/>
              <w:rPr>
                <w:rFonts w:ascii="Times New Roman" w:eastAsia="Calibri" w:hAnsi="Times New Roman" w:cs="Times New Roman"/>
                <w:b/>
                <w:bCs/>
                <w:szCs w:val="24"/>
              </w:rPr>
            </w:pPr>
            <w:r w:rsidRPr="005C53F5">
              <w:rPr>
                <w:rFonts w:ascii="Times New Roman" w:eastAsia="Calibri" w:hAnsi="Times New Roman" w:cs="Times New Roman"/>
                <w:b/>
                <w:bCs/>
                <w:szCs w:val="24"/>
              </w:rPr>
              <w:t>2018</w:t>
            </w:r>
          </w:p>
        </w:tc>
        <w:tc>
          <w:tcPr>
            <w:tcW w:w="68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56D2B" w14:textId="0E0C4894" w:rsidR="00A36FAF" w:rsidRPr="005C53F5" w:rsidRDefault="00A36FAF" w:rsidP="00057BE5">
            <w:pPr>
              <w:spacing w:after="0" w:line="240" w:lineRule="auto"/>
              <w:jc w:val="center"/>
              <w:rPr>
                <w:rFonts w:ascii="Times New Roman" w:eastAsia="Calibri" w:hAnsi="Times New Roman" w:cs="Times New Roman"/>
                <w:b/>
                <w:bCs/>
                <w:szCs w:val="24"/>
              </w:rPr>
            </w:pPr>
            <w:r w:rsidRPr="005C53F5">
              <w:rPr>
                <w:rFonts w:ascii="Times New Roman" w:eastAsia="Calibri" w:hAnsi="Times New Roman" w:cs="Times New Roman"/>
                <w:b/>
                <w:bCs/>
                <w:szCs w:val="24"/>
              </w:rPr>
              <w:t>2019</w:t>
            </w:r>
          </w:p>
        </w:tc>
      </w:tr>
      <w:tr w:rsidR="00A36FAF" w:rsidRPr="005C53F5" w14:paraId="78593982" w14:textId="77777777" w:rsidTr="0037162F">
        <w:trPr>
          <w:trHeight w:val="1530"/>
        </w:trPr>
        <w:tc>
          <w:tcPr>
            <w:tcW w:w="86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92662F8" w14:textId="72499FC5" w:rsidR="00A36FAF" w:rsidRPr="005C53F5" w:rsidRDefault="00A36FAF" w:rsidP="00057BE5">
            <w:pPr>
              <w:spacing w:after="0" w:line="240" w:lineRule="auto"/>
              <w:rPr>
                <w:rFonts w:ascii="Times New Roman" w:eastAsia="Calibri" w:hAnsi="Times New Roman" w:cs="Times New Roman"/>
                <w:szCs w:val="24"/>
              </w:rPr>
            </w:pPr>
            <w:r w:rsidRPr="005C53F5">
              <w:rPr>
                <w:rFonts w:ascii="Times New Roman" w:eastAsia="Calibri" w:hAnsi="Times New Roman" w:cs="Times New Roman"/>
                <w:szCs w:val="24"/>
              </w:rPr>
              <w:t>Валовой внутренний продукт методом производства в млн тенге</w:t>
            </w:r>
          </w:p>
        </w:tc>
        <w:tc>
          <w:tcPr>
            <w:tcW w:w="6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AF8CC7" w14:textId="77777777"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39 </w:t>
            </w:r>
            <w:r w:rsidRPr="005C53F5">
              <w:rPr>
                <w:rFonts w:ascii="Times New Roman" w:eastAsia="Calibri" w:hAnsi="Times New Roman" w:cs="Times New Roman"/>
              </w:rPr>
              <w:t>675 832</w:t>
            </w:r>
            <w:r w:rsidRPr="005C53F5">
              <w:rPr>
                <w:rFonts w:ascii="Times New Roman" w:eastAsia="Calibri" w:hAnsi="Times New Roman" w:cs="Times New Roman"/>
                <w:szCs w:val="24"/>
              </w:rPr>
              <w:t>,9</w:t>
            </w:r>
          </w:p>
        </w:tc>
        <w:tc>
          <w:tcPr>
            <w:tcW w:w="6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B8691E" w14:textId="77777777"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40 884 133,6</w:t>
            </w:r>
          </w:p>
        </w:tc>
        <w:tc>
          <w:tcPr>
            <w:tcW w:w="68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2A54792" w14:textId="77777777"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46 971 150,0</w:t>
            </w:r>
          </w:p>
        </w:tc>
        <w:tc>
          <w:tcPr>
            <w:tcW w:w="68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B74AD6" w14:textId="77777777"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54 </w:t>
            </w:r>
            <w:r w:rsidRPr="005C53F5">
              <w:rPr>
                <w:rFonts w:ascii="Times New Roman" w:eastAsia="Calibri" w:hAnsi="Times New Roman" w:cs="Times New Roman"/>
              </w:rPr>
              <w:t>378 857</w:t>
            </w:r>
            <w:r w:rsidRPr="005C53F5">
              <w:rPr>
                <w:rFonts w:ascii="Times New Roman" w:eastAsia="Calibri" w:hAnsi="Times New Roman" w:cs="Times New Roman"/>
                <w:szCs w:val="24"/>
              </w:rPr>
              <w:t>,8</w:t>
            </w:r>
          </w:p>
        </w:tc>
        <w:tc>
          <w:tcPr>
            <w:tcW w:w="68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7BEC053" w14:textId="77777777"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61 819 536,4</w:t>
            </w:r>
          </w:p>
        </w:tc>
        <w:tc>
          <w:tcPr>
            <w:tcW w:w="6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E4ECB1" w14:textId="77777777"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rPr>
              <w:t>68 639</w:t>
            </w:r>
            <w:r w:rsidRPr="005C53F5">
              <w:rPr>
                <w:rFonts w:ascii="Times New Roman" w:eastAsia="Calibri" w:hAnsi="Times New Roman" w:cs="Times New Roman"/>
                <w:szCs w:val="24"/>
              </w:rPr>
              <w:t> 483,4</w:t>
            </w:r>
          </w:p>
        </w:tc>
      </w:tr>
      <w:tr w:rsidR="00A36FAF" w:rsidRPr="005C53F5" w14:paraId="36C13820" w14:textId="77777777" w:rsidTr="0037162F">
        <w:trPr>
          <w:trHeight w:val="1785"/>
        </w:trPr>
        <w:tc>
          <w:tcPr>
            <w:tcW w:w="86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200300F" w14:textId="0D834194" w:rsidR="00A36FAF" w:rsidRPr="005C53F5" w:rsidRDefault="00A36FAF" w:rsidP="00057BE5">
            <w:pPr>
              <w:spacing w:after="0" w:line="240" w:lineRule="auto"/>
              <w:rPr>
                <w:rFonts w:ascii="Times New Roman" w:eastAsia="Calibri" w:hAnsi="Times New Roman" w:cs="Times New Roman"/>
                <w:szCs w:val="24"/>
              </w:rPr>
            </w:pPr>
            <w:r w:rsidRPr="005C53F5">
              <w:rPr>
                <w:rFonts w:ascii="Times New Roman" w:eastAsia="Calibri" w:hAnsi="Times New Roman" w:cs="Times New Roman"/>
                <w:szCs w:val="24"/>
              </w:rPr>
              <w:t>Валовой внутренний продукт методом производства в млн долларов США</w:t>
            </w:r>
          </w:p>
        </w:tc>
        <w:tc>
          <w:tcPr>
            <w:tcW w:w="6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405E6E" w14:textId="77777777"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221 417,7</w:t>
            </w:r>
          </w:p>
        </w:tc>
        <w:tc>
          <w:tcPr>
            <w:tcW w:w="6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737788" w14:textId="77777777"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184 387,0</w:t>
            </w:r>
          </w:p>
        </w:tc>
        <w:tc>
          <w:tcPr>
            <w:tcW w:w="68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4BD6084" w14:textId="77777777"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137 278,3</w:t>
            </w:r>
          </w:p>
        </w:tc>
        <w:tc>
          <w:tcPr>
            <w:tcW w:w="68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2C8610" w14:textId="77777777"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166 806,3</w:t>
            </w:r>
          </w:p>
        </w:tc>
        <w:tc>
          <w:tcPr>
            <w:tcW w:w="68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71FF30C" w14:textId="77777777"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179 337,8</w:t>
            </w:r>
          </w:p>
        </w:tc>
        <w:tc>
          <w:tcPr>
            <w:tcW w:w="68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BBE808" w14:textId="77777777"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179 332,4</w:t>
            </w:r>
          </w:p>
        </w:tc>
      </w:tr>
      <w:tr w:rsidR="00A36FAF" w:rsidRPr="005C53F5" w14:paraId="472C0083" w14:textId="77777777" w:rsidTr="0037162F">
        <w:trPr>
          <w:trHeight w:val="510"/>
        </w:trPr>
        <w:tc>
          <w:tcPr>
            <w:tcW w:w="86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D92E676" w14:textId="47FAB350" w:rsidR="00A36FAF" w:rsidRPr="005C53F5" w:rsidRDefault="00BB28E7" w:rsidP="00057BE5">
            <w:pPr>
              <w:spacing w:after="0" w:line="240" w:lineRule="auto"/>
              <w:rPr>
                <w:rFonts w:ascii="Times New Roman" w:eastAsia="Calibri" w:hAnsi="Times New Roman" w:cs="Times New Roman"/>
                <w:szCs w:val="24"/>
              </w:rPr>
            </w:pPr>
            <w:r w:rsidRPr="005C53F5">
              <w:rPr>
                <w:rFonts w:ascii="Times New Roman" w:eastAsia="Calibri" w:hAnsi="Times New Roman" w:cs="Times New Roman"/>
                <w:szCs w:val="24"/>
              </w:rPr>
              <w:t>Реальный рост ВВП</w:t>
            </w:r>
            <w:r w:rsidR="00A36FAF" w:rsidRPr="005C53F5">
              <w:rPr>
                <w:rFonts w:ascii="Times New Roman" w:eastAsia="Calibri" w:hAnsi="Times New Roman" w:cs="Times New Roman"/>
                <w:szCs w:val="24"/>
              </w:rPr>
              <w:t>, %</w:t>
            </w:r>
          </w:p>
        </w:tc>
        <w:tc>
          <w:tcPr>
            <w:tcW w:w="6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7A0179A" w14:textId="77BDE34B"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4,2</w:t>
            </w:r>
          </w:p>
        </w:tc>
        <w:tc>
          <w:tcPr>
            <w:tcW w:w="6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3B66DDF" w14:textId="4AC5AF47"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1,2</w:t>
            </w:r>
          </w:p>
        </w:tc>
        <w:tc>
          <w:tcPr>
            <w:tcW w:w="6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8A1F8D4" w14:textId="1CE21A86"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1,1</w:t>
            </w:r>
          </w:p>
        </w:tc>
        <w:tc>
          <w:tcPr>
            <w:tcW w:w="68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8D39750" w14:textId="29205774"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4,1</w:t>
            </w:r>
          </w:p>
        </w:tc>
        <w:tc>
          <w:tcPr>
            <w:tcW w:w="6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86097AE" w14:textId="58C7CFA3"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4,1</w:t>
            </w:r>
          </w:p>
        </w:tc>
        <w:tc>
          <w:tcPr>
            <w:tcW w:w="6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CA7A9DA" w14:textId="04757989" w:rsidR="00A36FAF" w:rsidRPr="005C53F5" w:rsidRDefault="00A36FAF" w:rsidP="00057BE5">
            <w:pPr>
              <w:spacing w:after="0" w:line="240" w:lineRule="auto"/>
              <w:jc w:val="center"/>
              <w:rPr>
                <w:rFonts w:ascii="Times New Roman" w:eastAsia="Calibri" w:hAnsi="Times New Roman" w:cs="Times New Roman"/>
                <w:szCs w:val="24"/>
              </w:rPr>
            </w:pPr>
            <w:r w:rsidRPr="005C53F5">
              <w:rPr>
                <w:rFonts w:ascii="Times New Roman" w:eastAsia="Calibri" w:hAnsi="Times New Roman" w:cs="Times New Roman"/>
                <w:szCs w:val="24"/>
              </w:rPr>
              <w:t>4,5</w:t>
            </w:r>
          </w:p>
        </w:tc>
      </w:tr>
    </w:tbl>
    <w:p w14:paraId="7E1C8637" w14:textId="7A82462E" w:rsidR="00A36FAF" w:rsidRPr="005C53F5" w:rsidRDefault="00A36FAF" w:rsidP="00057BE5">
      <w:pPr>
        <w:spacing w:after="0" w:line="240" w:lineRule="auto"/>
        <w:jc w:val="both"/>
        <w:rPr>
          <w:rFonts w:ascii="Times New Roman" w:eastAsia="Calibri" w:hAnsi="Times New Roman" w:cs="Times New Roman"/>
          <w:sz w:val="20"/>
          <w:szCs w:val="20"/>
        </w:rPr>
      </w:pPr>
      <w:r w:rsidRPr="005C53F5">
        <w:rPr>
          <w:rFonts w:ascii="Times New Roman" w:eastAsia="Calibri" w:hAnsi="Times New Roman" w:cs="Times New Roman"/>
          <w:sz w:val="20"/>
          <w:szCs w:val="20"/>
        </w:rPr>
        <w:t xml:space="preserve">  * Произведен пересчет в соответствии с Методикой оценки ненаблюдаемой экономики, </w:t>
      </w:r>
      <w:r w:rsidR="006878B9" w:rsidRPr="005C53F5">
        <w:rPr>
          <w:rFonts w:ascii="Times New Roman" w:eastAsia="Calibri" w:hAnsi="Times New Roman" w:cs="Times New Roman"/>
          <w:sz w:val="20"/>
          <w:szCs w:val="20"/>
        </w:rPr>
        <w:t>утвержденной Приказом Председателя Комитета по статистике Министерства национальной экономики Республики Казахстан от 7 августа 2019 года № 4.</w:t>
      </w:r>
      <w:r w:rsidRPr="005C53F5">
        <w:rPr>
          <w:rFonts w:ascii="Times New Roman" w:eastAsia="Calibri" w:hAnsi="Times New Roman" w:cs="Times New Roman"/>
          <w:sz w:val="20"/>
          <w:szCs w:val="20"/>
        </w:rPr>
        <w:t xml:space="preserve"> </w:t>
      </w:r>
    </w:p>
    <w:p w14:paraId="2755EA03" w14:textId="7E639F4D" w:rsidR="00A36FAF" w:rsidRPr="005C53F5" w:rsidRDefault="00A36FAF" w:rsidP="00057BE5">
      <w:pPr>
        <w:spacing w:after="0" w:line="240" w:lineRule="auto"/>
        <w:jc w:val="both"/>
        <w:rPr>
          <w:rFonts w:ascii="Times New Roman" w:eastAsia="Calibri" w:hAnsi="Times New Roman" w:cs="Times New Roman"/>
          <w:i/>
          <w:iCs/>
          <w:sz w:val="20"/>
          <w:szCs w:val="20"/>
        </w:rPr>
      </w:pPr>
      <w:r w:rsidRPr="005C53F5">
        <w:rPr>
          <w:rFonts w:ascii="Times New Roman" w:eastAsia="Calibri" w:hAnsi="Times New Roman" w:cs="Times New Roman"/>
          <w:i/>
          <w:iCs/>
          <w:sz w:val="20"/>
          <w:szCs w:val="20"/>
        </w:rPr>
        <w:t>Источник: Комитет по статистике</w:t>
      </w:r>
      <w:r w:rsidR="006878B9" w:rsidRPr="005C53F5">
        <w:rPr>
          <w:rFonts w:ascii="Times New Roman" w:eastAsia="Calibri" w:hAnsi="Times New Roman" w:cs="Times New Roman"/>
          <w:i/>
          <w:iCs/>
          <w:sz w:val="20"/>
          <w:szCs w:val="20"/>
        </w:rPr>
        <w:t xml:space="preserve"> Министерства национальной экономики Республики Казахстан</w:t>
      </w:r>
      <w:r w:rsidRPr="005C53F5">
        <w:rPr>
          <w:rFonts w:ascii="Times New Roman" w:eastAsia="Calibri" w:hAnsi="Times New Roman" w:cs="Times New Roman"/>
          <w:i/>
          <w:iCs/>
          <w:sz w:val="20"/>
          <w:szCs w:val="20"/>
        </w:rPr>
        <w:t xml:space="preserve">, Министерство </w:t>
      </w:r>
      <w:r w:rsidR="006878B9" w:rsidRPr="005C53F5">
        <w:rPr>
          <w:rFonts w:ascii="Times New Roman" w:eastAsia="Calibri" w:hAnsi="Times New Roman" w:cs="Times New Roman"/>
          <w:i/>
          <w:iCs/>
          <w:sz w:val="20"/>
          <w:szCs w:val="20"/>
        </w:rPr>
        <w:t>национальной э</w:t>
      </w:r>
      <w:r w:rsidRPr="005C53F5">
        <w:rPr>
          <w:rFonts w:ascii="Times New Roman" w:eastAsia="Calibri" w:hAnsi="Times New Roman" w:cs="Times New Roman"/>
          <w:i/>
          <w:iCs/>
          <w:sz w:val="20"/>
          <w:szCs w:val="20"/>
        </w:rPr>
        <w:t>кономики Республики Казахстан.</w:t>
      </w:r>
    </w:p>
    <w:p w14:paraId="5A1681D5" w14:textId="63B2D2A1" w:rsidR="008B39A2" w:rsidRPr="005C53F5" w:rsidRDefault="006E4465"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Казахстан занимает 42-е место в списке стран по значению ВВП. В 2019 году ВВП страны составил </w:t>
      </w:r>
      <w:r w:rsidR="008B39A2" w:rsidRPr="005C53F5">
        <w:rPr>
          <w:rFonts w:ascii="Times New Roman" w:eastAsia="Calibri" w:hAnsi="Times New Roman" w:cs="Times New Roman"/>
          <w:sz w:val="24"/>
          <w:szCs w:val="24"/>
        </w:rPr>
        <w:t>68,6 триллион</w:t>
      </w:r>
      <w:r w:rsidR="00BB28E7" w:rsidRPr="005C53F5">
        <w:rPr>
          <w:rFonts w:ascii="Times New Roman" w:eastAsia="Calibri" w:hAnsi="Times New Roman" w:cs="Times New Roman"/>
          <w:sz w:val="24"/>
          <w:szCs w:val="24"/>
        </w:rPr>
        <w:t>а</w:t>
      </w:r>
      <w:r w:rsidR="008B39A2" w:rsidRPr="005C53F5">
        <w:rPr>
          <w:rFonts w:ascii="Times New Roman" w:eastAsia="Calibri" w:hAnsi="Times New Roman" w:cs="Times New Roman"/>
          <w:sz w:val="24"/>
          <w:szCs w:val="24"/>
        </w:rPr>
        <w:t xml:space="preserve"> тенге, увеличившись по сравнению с прошлым годом на 11%. </w:t>
      </w:r>
    </w:p>
    <w:p w14:paraId="66CA1E43" w14:textId="3F827889" w:rsidR="006E4465" w:rsidRPr="005C53F5" w:rsidRDefault="00BD3AF6"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Исторически р</w:t>
      </w:r>
      <w:r w:rsidR="008B39A2" w:rsidRPr="005C53F5">
        <w:rPr>
          <w:rFonts w:ascii="Times New Roman" w:eastAsia="Calibri" w:hAnsi="Times New Roman" w:cs="Times New Roman"/>
          <w:sz w:val="24"/>
          <w:szCs w:val="24"/>
        </w:rPr>
        <w:t>еальный рост ВВП с 2000 по 2011 годы показывал стремительный реальный рост на двузначном уровне с кратковременными корректировками в 2008-2009 г</w:t>
      </w:r>
      <w:r w:rsidR="00BB28E7" w:rsidRPr="005C53F5">
        <w:rPr>
          <w:rFonts w:ascii="Times New Roman" w:eastAsia="Calibri" w:hAnsi="Times New Roman" w:cs="Times New Roman"/>
          <w:sz w:val="24"/>
          <w:szCs w:val="24"/>
        </w:rPr>
        <w:t>одах</w:t>
      </w:r>
      <w:r w:rsidR="008B39A2" w:rsidRPr="005C53F5">
        <w:rPr>
          <w:rFonts w:ascii="Times New Roman" w:eastAsia="Calibri" w:hAnsi="Times New Roman" w:cs="Times New Roman"/>
          <w:sz w:val="24"/>
          <w:szCs w:val="24"/>
        </w:rPr>
        <w:t xml:space="preserve"> в связи с влиянием мирового финансового кризиса. С 2012 по 2014 годы темпы роста </w:t>
      </w:r>
      <w:r w:rsidR="00BB28E7" w:rsidRPr="005C53F5">
        <w:rPr>
          <w:rFonts w:ascii="Times New Roman" w:eastAsia="Calibri" w:hAnsi="Times New Roman" w:cs="Times New Roman"/>
          <w:sz w:val="24"/>
          <w:szCs w:val="24"/>
        </w:rPr>
        <w:t xml:space="preserve">ВВП </w:t>
      </w:r>
      <w:r w:rsidR="008B39A2" w:rsidRPr="005C53F5">
        <w:rPr>
          <w:rFonts w:ascii="Times New Roman" w:eastAsia="Calibri" w:hAnsi="Times New Roman" w:cs="Times New Roman"/>
          <w:sz w:val="24"/>
          <w:szCs w:val="24"/>
        </w:rPr>
        <w:t xml:space="preserve">страны стабилизировались на уровне 4-6%. Подобная динамика темпов роста объясняется существенным укрупнением экономики страны на фоне высоких цен на нефть и металлы. </w:t>
      </w:r>
      <w:r w:rsidR="004C121E" w:rsidRPr="005C53F5">
        <w:rPr>
          <w:rFonts w:ascii="Times New Roman" w:eastAsia="Calibri" w:hAnsi="Times New Roman" w:cs="Times New Roman"/>
          <w:sz w:val="24"/>
          <w:szCs w:val="24"/>
        </w:rPr>
        <w:t xml:space="preserve">Стоит отметить, что в связи с сырьевой направленностью и экспортной ориентированностью экономики Республики Казахстан развитие экономики страны тесно связано с ситуацией на рынке сырьевых товаров, прежде всего нефти и металлов. </w:t>
      </w:r>
      <w:r w:rsidR="008B39A2" w:rsidRPr="005C53F5">
        <w:rPr>
          <w:rFonts w:ascii="Times New Roman" w:eastAsia="Calibri" w:hAnsi="Times New Roman" w:cs="Times New Roman"/>
          <w:sz w:val="24"/>
          <w:szCs w:val="24"/>
        </w:rPr>
        <w:t xml:space="preserve">В 2015-2016 </w:t>
      </w:r>
      <w:r w:rsidR="00BB28E7" w:rsidRPr="005C53F5">
        <w:rPr>
          <w:rFonts w:ascii="Times New Roman" w:eastAsia="Calibri" w:hAnsi="Times New Roman" w:cs="Times New Roman"/>
          <w:sz w:val="24"/>
          <w:szCs w:val="24"/>
        </w:rPr>
        <w:t>годах</w:t>
      </w:r>
      <w:r w:rsidR="008B39A2" w:rsidRPr="005C53F5">
        <w:rPr>
          <w:rFonts w:ascii="Times New Roman" w:eastAsia="Calibri" w:hAnsi="Times New Roman" w:cs="Times New Roman"/>
          <w:sz w:val="24"/>
          <w:szCs w:val="24"/>
        </w:rPr>
        <w:t xml:space="preserve"> наблюдалось падение роста ВВП до 1,2 и 1,1% соответственно, что </w:t>
      </w:r>
      <w:r w:rsidR="00BB28E7" w:rsidRPr="005C53F5">
        <w:rPr>
          <w:rFonts w:ascii="Times New Roman" w:eastAsia="Calibri" w:hAnsi="Times New Roman" w:cs="Times New Roman"/>
          <w:sz w:val="24"/>
          <w:szCs w:val="24"/>
        </w:rPr>
        <w:t>являлось</w:t>
      </w:r>
      <w:r w:rsidR="008B39A2" w:rsidRPr="005C53F5">
        <w:rPr>
          <w:rFonts w:ascii="Times New Roman" w:eastAsia="Calibri" w:hAnsi="Times New Roman" w:cs="Times New Roman"/>
          <w:sz w:val="24"/>
          <w:szCs w:val="24"/>
        </w:rPr>
        <w:t xml:space="preserve"> следствием </w:t>
      </w:r>
      <w:r w:rsidR="00BB28E7" w:rsidRPr="005C53F5">
        <w:rPr>
          <w:rFonts w:ascii="Times New Roman" w:eastAsia="Calibri" w:hAnsi="Times New Roman" w:cs="Times New Roman"/>
          <w:sz w:val="24"/>
          <w:szCs w:val="24"/>
        </w:rPr>
        <w:t>обрушения</w:t>
      </w:r>
      <w:r w:rsidR="008B39A2" w:rsidRPr="005C53F5">
        <w:rPr>
          <w:rFonts w:ascii="Times New Roman" w:eastAsia="Calibri" w:hAnsi="Times New Roman" w:cs="Times New Roman"/>
          <w:sz w:val="24"/>
          <w:szCs w:val="24"/>
        </w:rPr>
        <w:t xml:space="preserve"> цен на нефть. При этом с 2017 года наблюдается восстановление показателей экономического роста Казахстана</w:t>
      </w:r>
      <w:r w:rsidR="004C121E" w:rsidRPr="005C53F5">
        <w:rPr>
          <w:rFonts w:ascii="Times New Roman" w:eastAsia="Calibri" w:hAnsi="Times New Roman" w:cs="Times New Roman"/>
          <w:sz w:val="24"/>
          <w:szCs w:val="24"/>
        </w:rPr>
        <w:t xml:space="preserve"> на уровне</w:t>
      </w:r>
      <w:r w:rsidR="008B39A2" w:rsidRPr="005C53F5">
        <w:rPr>
          <w:rFonts w:ascii="Times New Roman" w:eastAsia="Calibri" w:hAnsi="Times New Roman" w:cs="Times New Roman"/>
          <w:sz w:val="24"/>
          <w:szCs w:val="24"/>
        </w:rPr>
        <w:t xml:space="preserve"> чуть выше 4%.</w:t>
      </w:r>
    </w:p>
    <w:p w14:paraId="17044E6C" w14:textId="77777777"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нижеследующей таблице содержится информация об экспорте и импорте Республики Казахстан за каждый указанный период:</w:t>
      </w:r>
    </w:p>
    <w:tbl>
      <w:tblPr>
        <w:tblStyle w:val="60"/>
        <w:tblW w:w="5000" w:type="pct"/>
        <w:tblLayout w:type="fixed"/>
        <w:tblLook w:val="04A0" w:firstRow="1" w:lastRow="0" w:firstColumn="1" w:lastColumn="0" w:noHBand="0" w:noVBand="1"/>
      </w:tblPr>
      <w:tblGrid>
        <w:gridCol w:w="2008"/>
        <w:gridCol w:w="1294"/>
        <w:gridCol w:w="1294"/>
        <w:gridCol w:w="1294"/>
        <w:gridCol w:w="1294"/>
        <w:gridCol w:w="1294"/>
        <w:gridCol w:w="1149"/>
      </w:tblGrid>
      <w:tr w:rsidR="00A36FAF" w:rsidRPr="005C53F5" w14:paraId="6CA5BEF4" w14:textId="77777777" w:rsidTr="0037162F">
        <w:trPr>
          <w:trHeight w:val="290"/>
        </w:trPr>
        <w:tc>
          <w:tcPr>
            <w:tcW w:w="1043" w:type="pct"/>
            <w:hideMark/>
          </w:tcPr>
          <w:p w14:paraId="1B4144C7" w14:textId="77777777" w:rsidR="00A36FAF" w:rsidRPr="005C53F5" w:rsidRDefault="00A36FAF" w:rsidP="00057BE5">
            <w:pPr>
              <w:rPr>
                <w:rFonts w:ascii="Times New Roman" w:eastAsia="Calibri" w:hAnsi="Times New Roman" w:cs="Times New Roman"/>
                <w:b/>
                <w:bCs/>
                <w:szCs w:val="24"/>
              </w:rPr>
            </w:pPr>
            <w:r w:rsidRPr="005C53F5">
              <w:rPr>
                <w:rFonts w:ascii="Times New Roman" w:eastAsia="Calibri" w:hAnsi="Times New Roman" w:cs="Times New Roman"/>
                <w:b/>
                <w:bCs/>
                <w:szCs w:val="24"/>
              </w:rPr>
              <w:t> Показатель</w:t>
            </w:r>
          </w:p>
        </w:tc>
        <w:tc>
          <w:tcPr>
            <w:tcW w:w="672" w:type="pct"/>
            <w:noWrap/>
            <w:vAlign w:val="center"/>
            <w:hideMark/>
          </w:tcPr>
          <w:p w14:paraId="31F83AF8" w14:textId="77777777" w:rsidR="00A36FAF" w:rsidRPr="005C53F5" w:rsidRDefault="00A36FAF" w:rsidP="00057BE5">
            <w:pPr>
              <w:jc w:val="center"/>
              <w:rPr>
                <w:rFonts w:ascii="Times New Roman" w:eastAsia="Calibri" w:hAnsi="Times New Roman" w:cs="Times New Roman"/>
                <w:b/>
                <w:bCs/>
                <w:szCs w:val="24"/>
              </w:rPr>
            </w:pPr>
            <w:r w:rsidRPr="005C53F5">
              <w:rPr>
                <w:rFonts w:ascii="Times New Roman" w:eastAsia="Calibri" w:hAnsi="Times New Roman" w:cs="Times New Roman"/>
                <w:b/>
                <w:bCs/>
                <w:szCs w:val="24"/>
              </w:rPr>
              <w:t>2014</w:t>
            </w:r>
          </w:p>
        </w:tc>
        <w:tc>
          <w:tcPr>
            <w:tcW w:w="672" w:type="pct"/>
            <w:noWrap/>
            <w:vAlign w:val="center"/>
            <w:hideMark/>
          </w:tcPr>
          <w:p w14:paraId="1AFB0A2C" w14:textId="77777777" w:rsidR="00A36FAF" w:rsidRPr="005C53F5" w:rsidRDefault="00A36FAF" w:rsidP="00057BE5">
            <w:pPr>
              <w:jc w:val="center"/>
              <w:rPr>
                <w:rFonts w:ascii="Times New Roman" w:eastAsia="Calibri" w:hAnsi="Times New Roman" w:cs="Times New Roman"/>
                <w:b/>
                <w:bCs/>
                <w:szCs w:val="24"/>
              </w:rPr>
            </w:pPr>
            <w:r w:rsidRPr="005C53F5">
              <w:rPr>
                <w:rFonts w:ascii="Times New Roman" w:eastAsia="Calibri" w:hAnsi="Times New Roman" w:cs="Times New Roman"/>
                <w:b/>
                <w:bCs/>
                <w:szCs w:val="24"/>
              </w:rPr>
              <w:t>2015</w:t>
            </w:r>
          </w:p>
        </w:tc>
        <w:tc>
          <w:tcPr>
            <w:tcW w:w="672" w:type="pct"/>
            <w:noWrap/>
            <w:vAlign w:val="center"/>
            <w:hideMark/>
          </w:tcPr>
          <w:p w14:paraId="2BC1F7CD" w14:textId="77777777" w:rsidR="00A36FAF" w:rsidRPr="005C53F5" w:rsidRDefault="00A36FAF" w:rsidP="00057BE5">
            <w:pPr>
              <w:jc w:val="center"/>
              <w:rPr>
                <w:rFonts w:ascii="Times New Roman" w:eastAsia="Calibri" w:hAnsi="Times New Roman" w:cs="Times New Roman"/>
                <w:b/>
                <w:bCs/>
                <w:szCs w:val="24"/>
              </w:rPr>
            </w:pPr>
            <w:r w:rsidRPr="005C53F5">
              <w:rPr>
                <w:rFonts w:ascii="Times New Roman" w:eastAsia="Calibri" w:hAnsi="Times New Roman" w:cs="Times New Roman"/>
                <w:b/>
                <w:bCs/>
                <w:szCs w:val="24"/>
              </w:rPr>
              <w:t>2016</w:t>
            </w:r>
          </w:p>
        </w:tc>
        <w:tc>
          <w:tcPr>
            <w:tcW w:w="672" w:type="pct"/>
            <w:noWrap/>
            <w:vAlign w:val="center"/>
            <w:hideMark/>
          </w:tcPr>
          <w:p w14:paraId="4B4C47B1" w14:textId="77777777" w:rsidR="00A36FAF" w:rsidRPr="005C53F5" w:rsidRDefault="00A36FAF" w:rsidP="00057BE5">
            <w:pPr>
              <w:jc w:val="center"/>
              <w:rPr>
                <w:rFonts w:ascii="Times New Roman" w:eastAsia="Calibri" w:hAnsi="Times New Roman" w:cs="Times New Roman"/>
                <w:b/>
                <w:bCs/>
                <w:szCs w:val="24"/>
              </w:rPr>
            </w:pPr>
            <w:r w:rsidRPr="005C53F5">
              <w:rPr>
                <w:rFonts w:ascii="Times New Roman" w:eastAsia="Calibri" w:hAnsi="Times New Roman" w:cs="Times New Roman"/>
                <w:b/>
                <w:bCs/>
                <w:szCs w:val="24"/>
              </w:rPr>
              <w:t>2017</w:t>
            </w:r>
          </w:p>
        </w:tc>
        <w:tc>
          <w:tcPr>
            <w:tcW w:w="672" w:type="pct"/>
            <w:noWrap/>
            <w:vAlign w:val="center"/>
            <w:hideMark/>
          </w:tcPr>
          <w:p w14:paraId="4867316F" w14:textId="77777777" w:rsidR="00A36FAF" w:rsidRPr="005C53F5" w:rsidRDefault="00A36FAF" w:rsidP="00057BE5">
            <w:pPr>
              <w:jc w:val="center"/>
              <w:rPr>
                <w:rFonts w:ascii="Times New Roman" w:eastAsia="Calibri" w:hAnsi="Times New Roman" w:cs="Times New Roman"/>
                <w:b/>
                <w:bCs/>
                <w:szCs w:val="24"/>
              </w:rPr>
            </w:pPr>
            <w:r w:rsidRPr="005C53F5">
              <w:rPr>
                <w:rFonts w:ascii="Times New Roman" w:eastAsia="Calibri" w:hAnsi="Times New Roman" w:cs="Times New Roman"/>
                <w:b/>
                <w:bCs/>
                <w:szCs w:val="24"/>
              </w:rPr>
              <w:t>2018</w:t>
            </w:r>
          </w:p>
        </w:tc>
        <w:tc>
          <w:tcPr>
            <w:tcW w:w="597" w:type="pct"/>
            <w:noWrap/>
            <w:vAlign w:val="center"/>
            <w:hideMark/>
          </w:tcPr>
          <w:p w14:paraId="39E04AE3" w14:textId="77777777" w:rsidR="00A36FAF" w:rsidRPr="005C53F5" w:rsidRDefault="00A36FAF" w:rsidP="00057BE5">
            <w:pPr>
              <w:jc w:val="center"/>
              <w:rPr>
                <w:rFonts w:ascii="Times New Roman" w:eastAsia="Calibri" w:hAnsi="Times New Roman" w:cs="Times New Roman"/>
                <w:b/>
                <w:bCs/>
                <w:szCs w:val="24"/>
              </w:rPr>
            </w:pPr>
            <w:r w:rsidRPr="005C53F5">
              <w:rPr>
                <w:rFonts w:ascii="Times New Roman" w:eastAsia="Calibri" w:hAnsi="Times New Roman" w:cs="Times New Roman"/>
                <w:b/>
                <w:bCs/>
                <w:szCs w:val="24"/>
              </w:rPr>
              <w:t>2019</w:t>
            </w:r>
          </w:p>
        </w:tc>
      </w:tr>
      <w:tr w:rsidR="00A36FAF" w:rsidRPr="005C53F5" w14:paraId="33205D1F" w14:textId="77777777" w:rsidTr="0037162F">
        <w:trPr>
          <w:trHeight w:val="1233"/>
        </w:trPr>
        <w:tc>
          <w:tcPr>
            <w:tcW w:w="1043" w:type="pct"/>
            <w:hideMark/>
          </w:tcPr>
          <w:p w14:paraId="2D9B8456" w14:textId="7F778BBA" w:rsidR="00A36FAF" w:rsidRPr="005C53F5" w:rsidRDefault="00A36FAF" w:rsidP="00057BE5">
            <w:pPr>
              <w:rPr>
                <w:rFonts w:ascii="Times New Roman" w:eastAsia="Calibri" w:hAnsi="Times New Roman" w:cs="Times New Roman"/>
                <w:szCs w:val="24"/>
              </w:rPr>
            </w:pPr>
            <w:r w:rsidRPr="005C53F5">
              <w:rPr>
                <w:rFonts w:ascii="Times New Roman" w:eastAsia="Calibri" w:hAnsi="Times New Roman" w:cs="Times New Roman"/>
                <w:szCs w:val="24"/>
              </w:rPr>
              <w:t>Товарооборот в иностранной валюте (экспорт) млн долларов США</w:t>
            </w:r>
          </w:p>
        </w:tc>
        <w:tc>
          <w:tcPr>
            <w:tcW w:w="672" w:type="pct"/>
            <w:vAlign w:val="center"/>
            <w:hideMark/>
          </w:tcPr>
          <w:p w14:paraId="4230AE16"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79 459,8</w:t>
            </w:r>
          </w:p>
        </w:tc>
        <w:tc>
          <w:tcPr>
            <w:tcW w:w="672" w:type="pct"/>
            <w:vAlign w:val="center"/>
            <w:hideMark/>
          </w:tcPr>
          <w:p w14:paraId="60934979"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45 955,8</w:t>
            </w:r>
          </w:p>
        </w:tc>
        <w:tc>
          <w:tcPr>
            <w:tcW w:w="672" w:type="pct"/>
            <w:noWrap/>
            <w:vAlign w:val="center"/>
            <w:hideMark/>
          </w:tcPr>
          <w:p w14:paraId="0D768BBD"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36 736,9</w:t>
            </w:r>
          </w:p>
        </w:tc>
        <w:tc>
          <w:tcPr>
            <w:tcW w:w="672" w:type="pct"/>
            <w:noWrap/>
            <w:vAlign w:val="center"/>
            <w:hideMark/>
          </w:tcPr>
          <w:p w14:paraId="17DB90E7"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48 503,3</w:t>
            </w:r>
          </w:p>
        </w:tc>
        <w:tc>
          <w:tcPr>
            <w:tcW w:w="672" w:type="pct"/>
            <w:noWrap/>
            <w:vAlign w:val="center"/>
            <w:hideMark/>
          </w:tcPr>
          <w:p w14:paraId="5D52AD15"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61 111,2</w:t>
            </w:r>
          </w:p>
        </w:tc>
        <w:tc>
          <w:tcPr>
            <w:tcW w:w="597" w:type="pct"/>
            <w:noWrap/>
            <w:vAlign w:val="center"/>
            <w:hideMark/>
          </w:tcPr>
          <w:p w14:paraId="47C6DD30" w14:textId="55169431" w:rsidR="00A36FAF" w:rsidRPr="005C53F5" w:rsidRDefault="00F02B8A" w:rsidP="00057BE5">
            <w:pPr>
              <w:jc w:val="center"/>
              <w:rPr>
                <w:rFonts w:ascii="Times New Roman" w:eastAsia="Calibri" w:hAnsi="Times New Roman" w:cs="Times New Roman"/>
                <w:szCs w:val="24"/>
              </w:rPr>
            </w:pPr>
            <w:r w:rsidRPr="005C53F5">
              <w:rPr>
                <w:rFonts w:ascii="Times New Roman" w:eastAsia="Calibri" w:hAnsi="Times New Roman" w:cs="Times New Roman"/>
                <w:szCs w:val="24"/>
                <w:lang w:val="kk-KZ"/>
              </w:rPr>
              <w:t>57 716</w:t>
            </w:r>
            <w:r w:rsidRPr="005C53F5">
              <w:rPr>
                <w:rFonts w:ascii="Times New Roman" w:hAnsi="Times New Roman"/>
                <w:lang w:val="kk-KZ"/>
              </w:rPr>
              <w:t>,1</w:t>
            </w:r>
          </w:p>
        </w:tc>
      </w:tr>
      <w:tr w:rsidR="00A36FAF" w:rsidRPr="005C53F5" w14:paraId="4C03B37F" w14:textId="77777777" w:rsidTr="0037162F">
        <w:trPr>
          <w:trHeight w:val="740"/>
        </w:trPr>
        <w:tc>
          <w:tcPr>
            <w:tcW w:w="1043" w:type="pct"/>
            <w:hideMark/>
          </w:tcPr>
          <w:p w14:paraId="7BA12A33" w14:textId="77777777" w:rsidR="00A36FAF" w:rsidRPr="005C53F5" w:rsidRDefault="00A36FAF" w:rsidP="00057BE5">
            <w:pPr>
              <w:rPr>
                <w:rFonts w:ascii="Times New Roman" w:eastAsia="Calibri" w:hAnsi="Times New Roman" w:cs="Times New Roman"/>
                <w:szCs w:val="24"/>
              </w:rPr>
            </w:pPr>
            <w:r w:rsidRPr="005C53F5">
              <w:rPr>
                <w:rFonts w:ascii="Times New Roman" w:eastAsia="Calibri" w:hAnsi="Times New Roman" w:cs="Times New Roman"/>
                <w:szCs w:val="24"/>
              </w:rPr>
              <w:t>в процентах к предыдущему году</w:t>
            </w:r>
          </w:p>
        </w:tc>
        <w:tc>
          <w:tcPr>
            <w:tcW w:w="672" w:type="pct"/>
            <w:vAlign w:val="center"/>
            <w:hideMark/>
          </w:tcPr>
          <w:p w14:paraId="70DCF2B7"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93,8</w:t>
            </w:r>
          </w:p>
        </w:tc>
        <w:tc>
          <w:tcPr>
            <w:tcW w:w="672" w:type="pct"/>
            <w:noWrap/>
            <w:vAlign w:val="center"/>
            <w:hideMark/>
          </w:tcPr>
          <w:p w14:paraId="675850FC"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57,8</w:t>
            </w:r>
          </w:p>
        </w:tc>
        <w:tc>
          <w:tcPr>
            <w:tcW w:w="672" w:type="pct"/>
            <w:noWrap/>
            <w:vAlign w:val="center"/>
            <w:hideMark/>
          </w:tcPr>
          <w:p w14:paraId="4227D326"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79,9</w:t>
            </w:r>
          </w:p>
        </w:tc>
        <w:tc>
          <w:tcPr>
            <w:tcW w:w="672" w:type="pct"/>
            <w:noWrap/>
            <w:vAlign w:val="center"/>
            <w:hideMark/>
          </w:tcPr>
          <w:p w14:paraId="0CDC3F76"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132,0</w:t>
            </w:r>
          </w:p>
        </w:tc>
        <w:tc>
          <w:tcPr>
            <w:tcW w:w="672" w:type="pct"/>
            <w:noWrap/>
            <w:vAlign w:val="center"/>
            <w:hideMark/>
          </w:tcPr>
          <w:p w14:paraId="787B3F7F"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126,0</w:t>
            </w:r>
          </w:p>
        </w:tc>
        <w:tc>
          <w:tcPr>
            <w:tcW w:w="597" w:type="pct"/>
            <w:noWrap/>
            <w:vAlign w:val="center"/>
            <w:hideMark/>
          </w:tcPr>
          <w:p w14:paraId="2B3FDCBB" w14:textId="5E3FF4E4" w:rsidR="00A36FAF" w:rsidRPr="005C53F5" w:rsidRDefault="00F02B8A" w:rsidP="00057BE5">
            <w:pPr>
              <w:jc w:val="center"/>
              <w:rPr>
                <w:rFonts w:ascii="Times New Roman" w:eastAsia="Calibri" w:hAnsi="Times New Roman" w:cs="Times New Roman"/>
                <w:szCs w:val="24"/>
              </w:rPr>
            </w:pPr>
            <w:r w:rsidRPr="005C53F5">
              <w:rPr>
                <w:rFonts w:ascii="Times New Roman" w:eastAsia="Calibri" w:hAnsi="Times New Roman" w:cs="Times New Roman"/>
                <w:szCs w:val="24"/>
                <w:lang w:val="kk-KZ"/>
              </w:rPr>
              <w:t>94,4</w:t>
            </w:r>
          </w:p>
        </w:tc>
      </w:tr>
      <w:tr w:rsidR="00A36FAF" w:rsidRPr="005C53F5" w14:paraId="6CA02573" w14:textId="77777777" w:rsidTr="0037162F">
        <w:trPr>
          <w:trHeight w:val="986"/>
        </w:trPr>
        <w:tc>
          <w:tcPr>
            <w:tcW w:w="1043" w:type="pct"/>
            <w:hideMark/>
          </w:tcPr>
          <w:p w14:paraId="4509E681" w14:textId="28384AEB" w:rsidR="00A36FAF" w:rsidRPr="005C53F5" w:rsidRDefault="00A36FAF" w:rsidP="00057BE5">
            <w:pPr>
              <w:rPr>
                <w:rFonts w:ascii="Times New Roman" w:eastAsia="Calibri" w:hAnsi="Times New Roman" w:cs="Times New Roman"/>
                <w:szCs w:val="24"/>
              </w:rPr>
            </w:pPr>
            <w:r w:rsidRPr="005C53F5">
              <w:rPr>
                <w:rFonts w:ascii="Times New Roman" w:eastAsia="Calibri" w:hAnsi="Times New Roman" w:cs="Times New Roman"/>
                <w:szCs w:val="24"/>
              </w:rPr>
              <w:t>Товарооборот в иностранной валюте (импорт) млн долларов США</w:t>
            </w:r>
          </w:p>
        </w:tc>
        <w:tc>
          <w:tcPr>
            <w:tcW w:w="672" w:type="pct"/>
            <w:vAlign w:val="center"/>
            <w:hideMark/>
          </w:tcPr>
          <w:p w14:paraId="27DCB4C3"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41 295,5</w:t>
            </w:r>
          </w:p>
        </w:tc>
        <w:tc>
          <w:tcPr>
            <w:tcW w:w="672" w:type="pct"/>
            <w:vAlign w:val="center"/>
            <w:hideMark/>
          </w:tcPr>
          <w:p w14:paraId="590F64C5"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30 567,7</w:t>
            </w:r>
          </w:p>
        </w:tc>
        <w:tc>
          <w:tcPr>
            <w:tcW w:w="672" w:type="pct"/>
            <w:noWrap/>
            <w:vAlign w:val="center"/>
            <w:hideMark/>
          </w:tcPr>
          <w:p w14:paraId="3E99C1CB"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25 376,7</w:t>
            </w:r>
          </w:p>
        </w:tc>
        <w:tc>
          <w:tcPr>
            <w:tcW w:w="672" w:type="pct"/>
            <w:noWrap/>
            <w:vAlign w:val="center"/>
            <w:hideMark/>
          </w:tcPr>
          <w:p w14:paraId="2BAC55A0"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29 599,6</w:t>
            </w:r>
          </w:p>
        </w:tc>
        <w:tc>
          <w:tcPr>
            <w:tcW w:w="672" w:type="pct"/>
            <w:noWrap/>
            <w:vAlign w:val="center"/>
            <w:hideMark/>
          </w:tcPr>
          <w:p w14:paraId="0D5D9C8A" w14:textId="56A2B302" w:rsidR="00A36FAF" w:rsidRPr="005C53F5" w:rsidRDefault="00F02B8A" w:rsidP="00057BE5">
            <w:pPr>
              <w:jc w:val="center"/>
              <w:rPr>
                <w:rFonts w:ascii="Times New Roman" w:eastAsia="Calibri" w:hAnsi="Times New Roman" w:cs="Times New Roman"/>
                <w:szCs w:val="24"/>
              </w:rPr>
            </w:pPr>
            <w:r w:rsidRPr="005C53F5">
              <w:rPr>
                <w:rFonts w:ascii="Times New Roman" w:hAnsi="Times New Roman"/>
                <w:lang w:val="en-GB"/>
              </w:rPr>
              <w:t>33 </w:t>
            </w:r>
            <w:r w:rsidRPr="005C53F5">
              <w:rPr>
                <w:rFonts w:ascii="Times New Roman" w:eastAsia="Calibri" w:hAnsi="Times New Roman" w:cs="Times New Roman"/>
                <w:szCs w:val="24"/>
                <w:lang w:val="en-GB"/>
              </w:rPr>
              <w:t>656</w:t>
            </w:r>
            <w:r w:rsidRPr="005C53F5">
              <w:rPr>
                <w:rFonts w:ascii="Times New Roman" w:eastAsia="Calibri" w:hAnsi="Times New Roman" w:cs="Times New Roman"/>
                <w:szCs w:val="24"/>
              </w:rPr>
              <w:t>,4</w:t>
            </w:r>
          </w:p>
        </w:tc>
        <w:tc>
          <w:tcPr>
            <w:tcW w:w="597" w:type="pct"/>
            <w:noWrap/>
            <w:vAlign w:val="center"/>
            <w:hideMark/>
          </w:tcPr>
          <w:p w14:paraId="5B4B2390" w14:textId="3ABA27F2" w:rsidR="00A36FAF" w:rsidRPr="005C53F5" w:rsidRDefault="00F02B8A" w:rsidP="00057BE5">
            <w:pPr>
              <w:jc w:val="center"/>
              <w:rPr>
                <w:rFonts w:ascii="Times New Roman" w:eastAsia="Calibri" w:hAnsi="Times New Roman" w:cs="Times New Roman"/>
                <w:szCs w:val="24"/>
              </w:rPr>
            </w:pPr>
            <w:r w:rsidRPr="005C53F5">
              <w:rPr>
                <w:rFonts w:ascii="Times New Roman" w:eastAsia="Calibri" w:hAnsi="Times New Roman" w:cs="Times New Roman"/>
                <w:szCs w:val="24"/>
                <w:lang w:val="kk-KZ"/>
              </w:rPr>
              <w:t>38 249,8</w:t>
            </w:r>
          </w:p>
        </w:tc>
      </w:tr>
      <w:tr w:rsidR="00A36FAF" w:rsidRPr="005C53F5" w14:paraId="59472173" w14:textId="77777777" w:rsidTr="0037162F">
        <w:trPr>
          <w:trHeight w:val="740"/>
        </w:trPr>
        <w:tc>
          <w:tcPr>
            <w:tcW w:w="1043" w:type="pct"/>
            <w:hideMark/>
          </w:tcPr>
          <w:p w14:paraId="56C99A52" w14:textId="77777777" w:rsidR="00A36FAF" w:rsidRPr="005C53F5" w:rsidRDefault="00A36FAF" w:rsidP="00057BE5">
            <w:pPr>
              <w:ind w:left="29"/>
              <w:rPr>
                <w:rFonts w:ascii="Times New Roman" w:eastAsia="Calibri" w:hAnsi="Times New Roman" w:cs="Times New Roman"/>
                <w:szCs w:val="24"/>
              </w:rPr>
            </w:pPr>
            <w:r w:rsidRPr="005C53F5">
              <w:rPr>
                <w:rFonts w:ascii="Times New Roman" w:eastAsia="Calibri" w:hAnsi="Times New Roman" w:cs="Times New Roman"/>
                <w:szCs w:val="24"/>
              </w:rPr>
              <w:t>в процентах к предыдущему году</w:t>
            </w:r>
          </w:p>
        </w:tc>
        <w:tc>
          <w:tcPr>
            <w:tcW w:w="672" w:type="pct"/>
            <w:vAlign w:val="center"/>
            <w:hideMark/>
          </w:tcPr>
          <w:p w14:paraId="0F322B36"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84,6</w:t>
            </w:r>
          </w:p>
        </w:tc>
        <w:tc>
          <w:tcPr>
            <w:tcW w:w="672" w:type="pct"/>
            <w:vAlign w:val="center"/>
            <w:hideMark/>
          </w:tcPr>
          <w:p w14:paraId="12B06DEB"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74,0</w:t>
            </w:r>
          </w:p>
        </w:tc>
        <w:tc>
          <w:tcPr>
            <w:tcW w:w="672" w:type="pct"/>
            <w:noWrap/>
            <w:vAlign w:val="center"/>
            <w:hideMark/>
          </w:tcPr>
          <w:p w14:paraId="157585CC"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83,0</w:t>
            </w:r>
          </w:p>
        </w:tc>
        <w:tc>
          <w:tcPr>
            <w:tcW w:w="672" w:type="pct"/>
            <w:noWrap/>
            <w:vAlign w:val="center"/>
            <w:hideMark/>
          </w:tcPr>
          <w:p w14:paraId="589AAA24" w14:textId="77777777"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116,6</w:t>
            </w:r>
          </w:p>
        </w:tc>
        <w:tc>
          <w:tcPr>
            <w:tcW w:w="672" w:type="pct"/>
            <w:noWrap/>
            <w:vAlign w:val="center"/>
            <w:hideMark/>
          </w:tcPr>
          <w:p w14:paraId="407E0869" w14:textId="0BDC3E14" w:rsidR="00A36FAF" w:rsidRPr="005C53F5" w:rsidRDefault="00A36FAF" w:rsidP="00057BE5">
            <w:pPr>
              <w:jc w:val="center"/>
              <w:rPr>
                <w:rFonts w:ascii="Times New Roman" w:eastAsia="Calibri" w:hAnsi="Times New Roman" w:cs="Times New Roman"/>
                <w:szCs w:val="24"/>
              </w:rPr>
            </w:pPr>
            <w:r w:rsidRPr="005C53F5">
              <w:rPr>
                <w:rFonts w:ascii="Times New Roman" w:eastAsia="Calibri" w:hAnsi="Times New Roman" w:cs="Times New Roman"/>
                <w:szCs w:val="24"/>
              </w:rPr>
              <w:t>113</w:t>
            </w:r>
            <w:r w:rsidR="00417397" w:rsidRPr="005C53F5">
              <w:rPr>
                <w:rFonts w:ascii="Times New Roman" w:eastAsia="Calibri" w:hAnsi="Times New Roman" w:cs="Times New Roman"/>
                <w:szCs w:val="24"/>
              </w:rPr>
              <w:t>,</w:t>
            </w:r>
            <w:r w:rsidRPr="005C53F5">
              <w:rPr>
                <w:rFonts w:ascii="Times New Roman" w:eastAsia="Calibri" w:hAnsi="Times New Roman" w:cs="Times New Roman"/>
                <w:szCs w:val="24"/>
              </w:rPr>
              <w:t>7</w:t>
            </w:r>
          </w:p>
        </w:tc>
        <w:tc>
          <w:tcPr>
            <w:tcW w:w="597" w:type="pct"/>
            <w:noWrap/>
            <w:vAlign w:val="center"/>
            <w:hideMark/>
          </w:tcPr>
          <w:p w14:paraId="3E157C1C" w14:textId="129B4F0D" w:rsidR="00A36FAF" w:rsidRPr="005C53F5" w:rsidRDefault="00F02B8A" w:rsidP="00057BE5">
            <w:pPr>
              <w:jc w:val="center"/>
              <w:rPr>
                <w:rFonts w:ascii="Times New Roman" w:eastAsia="Calibri" w:hAnsi="Times New Roman" w:cs="Times New Roman"/>
                <w:szCs w:val="24"/>
              </w:rPr>
            </w:pPr>
            <w:r w:rsidRPr="005C53F5">
              <w:rPr>
                <w:rFonts w:ascii="Times New Roman" w:eastAsia="Calibri" w:hAnsi="Times New Roman" w:cs="Times New Roman"/>
                <w:szCs w:val="24"/>
                <w:lang w:val="kk-KZ"/>
              </w:rPr>
              <w:t>114,0</w:t>
            </w:r>
          </w:p>
        </w:tc>
      </w:tr>
    </w:tbl>
    <w:p w14:paraId="2EDE93BE" w14:textId="1B464F60" w:rsidR="00417397" w:rsidRPr="005C53F5" w:rsidRDefault="00417397" w:rsidP="00057BE5">
      <w:pPr>
        <w:spacing w:after="0" w:line="240" w:lineRule="auto"/>
        <w:jc w:val="both"/>
        <w:rPr>
          <w:rFonts w:ascii="Times New Roman" w:eastAsia="Calibri" w:hAnsi="Times New Roman" w:cs="Times New Roman"/>
          <w:i/>
          <w:iCs/>
          <w:sz w:val="20"/>
          <w:szCs w:val="20"/>
        </w:rPr>
      </w:pPr>
      <w:r w:rsidRPr="005C53F5">
        <w:rPr>
          <w:rFonts w:ascii="Times New Roman" w:eastAsia="Calibri" w:hAnsi="Times New Roman" w:cs="Times New Roman"/>
          <w:i/>
          <w:iCs/>
          <w:sz w:val="20"/>
          <w:szCs w:val="20"/>
        </w:rPr>
        <w:t>Источник: Комитет по статистике Министерства национальной экономики Республики Казахстан, Министерство национальной экономики Республики Казахстан.</w:t>
      </w:r>
    </w:p>
    <w:p w14:paraId="2B45BC74" w14:textId="1C29C07B" w:rsidR="00A36FAF" w:rsidRPr="005C53F5" w:rsidRDefault="00A36FAF"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Экспорт сократился в 2014, 2015 и 2016 годах на 6,2%, 42,2% и 20,1% соответственно. В 2017 и 2018 годах экспорт вырос на 32,0% и 26,0% соответственно и составил 48,5 млрд</w:t>
      </w:r>
      <w:r w:rsidR="00417397" w:rsidRPr="005C53F5">
        <w:rPr>
          <w:rFonts w:ascii="Times New Roman" w:eastAsia="Calibri" w:hAnsi="Times New Roman" w:cs="Times New Roman"/>
          <w:sz w:val="24"/>
          <w:szCs w:val="24"/>
        </w:rPr>
        <w:t> </w:t>
      </w:r>
      <w:r w:rsidRPr="005C53F5">
        <w:rPr>
          <w:rFonts w:ascii="Times New Roman" w:eastAsia="Calibri" w:hAnsi="Times New Roman" w:cs="Times New Roman"/>
          <w:sz w:val="24"/>
          <w:szCs w:val="24"/>
        </w:rPr>
        <w:t xml:space="preserve">долларов США и 61,1 </w:t>
      </w:r>
      <w:r w:rsidR="00417397" w:rsidRPr="005C53F5">
        <w:rPr>
          <w:rFonts w:ascii="Times New Roman" w:eastAsia="Calibri" w:hAnsi="Times New Roman" w:cs="Times New Roman"/>
          <w:sz w:val="24"/>
          <w:szCs w:val="24"/>
        </w:rPr>
        <w:t xml:space="preserve">млрд </w:t>
      </w:r>
      <w:r w:rsidRPr="005C53F5">
        <w:rPr>
          <w:rFonts w:ascii="Times New Roman" w:eastAsia="Calibri" w:hAnsi="Times New Roman" w:cs="Times New Roman"/>
          <w:sz w:val="24"/>
          <w:szCs w:val="24"/>
        </w:rPr>
        <w:t xml:space="preserve">долларов США соответственно. В период с января по </w:t>
      </w:r>
      <w:r w:rsidR="00F02B8A" w:rsidRPr="005C53F5">
        <w:rPr>
          <w:rFonts w:ascii="Times New Roman" w:eastAsia="Calibri" w:hAnsi="Times New Roman" w:cs="Times New Roman"/>
          <w:sz w:val="24"/>
          <w:szCs w:val="24"/>
        </w:rPr>
        <w:t xml:space="preserve">декабрь </w:t>
      </w:r>
      <w:r w:rsidRPr="005C53F5">
        <w:rPr>
          <w:rFonts w:ascii="Times New Roman" w:eastAsia="Calibri" w:hAnsi="Times New Roman" w:cs="Times New Roman"/>
          <w:sz w:val="24"/>
          <w:szCs w:val="24"/>
        </w:rPr>
        <w:t xml:space="preserve">2019 года экспорт составил </w:t>
      </w:r>
      <w:r w:rsidR="00F02B8A" w:rsidRPr="005C53F5">
        <w:rPr>
          <w:rFonts w:ascii="Times New Roman" w:eastAsia="Calibri" w:hAnsi="Times New Roman" w:cs="Times New Roman"/>
          <w:sz w:val="24"/>
          <w:szCs w:val="24"/>
          <w:lang w:val="kk-KZ"/>
        </w:rPr>
        <w:t>57,7</w:t>
      </w:r>
      <w:r w:rsidR="00F02B8A"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млрд долл</w:t>
      </w:r>
      <w:r w:rsidR="00417397" w:rsidRPr="005C53F5">
        <w:rPr>
          <w:rFonts w:ascii="Times New Roman" w:eastAsia="Calibri" w:hAnsi="Times New Roman" w:cs="Times New Roman"/>
          <w:sz w:val="24"/>
          <w:szCs w:val="24"/>
        </w:rPr>
        <w:t xml:space="preserve">аров </w:t>
      </w:r>
      <w:r w:rsidRPr="005C53F5">
        <w:rPr>
          <w:rFonts w:ascii="Times New Roman" w:eastAsia="Calibri" w:hAnsi="Times New Roman" w:cs="Times New Roman"/>
          <w:sz w:val="24"/>
          <w:szCs w:val="24"/>
        </w:rPr>
        <w:t xml:space="preserve">США, что соответствуют сокращению на </w:t>
      </w:r>
      <w:r w:rsidR="00F02B8A" w:rsidRPr="005C53F5">
        <w:rPr>
          <w:rFonts w:ascii="Times New Roman" w:eastAsia="Calibri" w:hAnsi="Times New Roman" w:cs="Times New Roman"/>
          <w:sz w:val="24"/>
          <w:szCs w:val="24"/>
          <w:lang w:val="kk-KZ"/>
        </w:rPr>
        <w:t>5,</w:t>
      </w:r>
      <w:r w:rsidR="00F02B8A" w:rsidRPr="005C53F5">
        <w:rPr>
          <w:rFonts w:ascii="Times New Roman" w:eastAsia="Calibri" w:hAnsi="Times New Roman" w:cs="Times New Roman"/>
          <w:sz w:val="24"/>
          <w:szCs w:val="24"/>
        </w:rPr>
        <w:t xml:space="preserve">4%. </w:t>
      </w:r>
      <w:r w:rsidRPr="005C53F5">
        <w:rPr>
          <w:rFonts w:ascii="Times New Roman" w:eastAsia="Calibri" w:hAnsi="Times New Roman" w:cs="Times New Roman"/>
          <w:sz w:val="24"/>
          <w:szCs w:val="24"/>
        </w:rPr>
        <w:t>В 2014, 2015 и 2016 годах импорт сократился на 15,4%, 26,0% и 17,0% соответственно, что соо</w:t>
      </w:r>
      <w:r w:rsidR="00FD687A" w:rsidRPr="005C53F5">
        <w:rPr>
          <w:rFonts w:ascii="Times New Roman" w:eastAsia="Calibri" w:hAnsi="Times New Roman" w:cs="Times New Roman"/>
          <w:sz w:val="24"/>
          <w:szCs w:val="24"/>
        </w:rPr>
        <w:t>тветствует 41,2 млрд долл</w:t>
      </w:r>
      <w:r w:rsidR="00417397" w:rsidRPr="005C53F5">
        <w:rPr>
          <w:rFonts w:ascii="Times New Roman" w:eastAsia="Calibri" w:hAnsi="Times New Roman" w:cs="Times New Roman"/>
          <w:sz w:val="24"/>
          <w:szCs w:val="24"/>
        </w:rPr>
        <w:t xml:space="preserve">аров </w:t>
      </w:r>
      <w:r w:rsidR="00FD687A" w:rsidRPr="005C53F5">
        <w:rPr>
          <w:rFonts w:ascii="Times New Roman" w:eastAsia="Calibri" w:hAnsi="Times New Roman" w:cs="Times New Roman"/>
          <w:sz w:val="24"/>
          <w:szCs w:val="24"/>
        </w:rPr>
        <w:t>США</w:t>
      </w:r>
      <w:r w:rsidRPr="005C53F5">
        <w:rPr>
          <w:rFonts w:ascii="Times New Roman" w:eastAsia="Calibri" w:hAnsi="Times New Roman" w:cs="Times New Roman"/>
          <w:sz w:val="24"/>
          <w:szCs w:val="24"/>
        </w:rPr>
        <w:t>, 30,5 млрд долл</w:t>
      </w:r>
      <w:r w:rsidR="00417397" w:rsidRPr="005C53F5">
        <w:rPr>
          <w:rFonts w:ascii="Times New Roman" w:eastAsia="Calibri" w:hAnsi="Times New Roman" w:cs="Times New Roman"/>
          <w:sz w:val="24"/>
          <w:szCs w:val="24"/>
        </w:rPr>
        <w:t xml:space="preserve">аров </w:t>
      </w:r>
      <w:r w:rsidRPr="005C53F5">
        <w:rPr>
          <w:rFonts w:ascii="Times New Roman" w:eastAsia="Calibri" w:hAnsi="Times New Roman" w:cs="Times New Roman"/>
          <w:sz w:val="24"/>
          <w:szCs w:val="24"/>
        </w:rPr>
        <w:t>США и 25,3 млрд долл</w:t>
      </w:r>
      <w:r w:rsidR="00417397" w:rsidRPr="005C53F5">
        <w:rPr>
          <w:rFonts w:ascii="Times New Roman" w:eastAsia="Calibri" w:hAnsi="Times New Roman" w:cs="Times New Roman"/>
          <w:sz w:val="24"/>
          <w:szCs w:val="24"/>
        </w:rPr>
        <w:t xml:space="preserve">аров </w:t>
      </w:r>
      <w:r w:rsidRPr="005C53F5">
        <w:rPr>
          <w:rFonts w:ascii="Times New Roman" w:eastAsia="Calibri" w:hAnsi="Times New Roman" w:cs="Times New Roman"/>
          <w:sz w:val="24"/>
          <w:szCs w:val="24"/>
        </w:rPr>
        <w:t>США.</w:t>
      </w:r>
      <w:r w:rsidR="0081293B" w:rsidRPr="005C53F5">
        <w:rPr>
          <w:rFonts w:ascii="Times New Roman" w:eastAsia="Calibri" w:hAnsi="Times New Roman" w:cs="Times New Roman"/>
          <w:sz w:val="24"/>
          <w:szCs w:val="24"/>
          <w:lang w:val="kk-KZ" w:eastAsia="ru-RU"/>
        </w:rPr>
        <w:t xml:space="preserve"> </w:t>
      </w:r>
      <w:r w:rsidR="0081293B" w:rsidRPr="005C53F5">
        <w:rPr>
          <w:rFonts w:ascii="Times New Roman" w:eastAsia="Calibri" w:hAnsi="Times New Roman" w:cs="Times New Roman"/>
          <w:sz w:val="24"/>
          <w:szCs w:val="24"/>
          <w:lang w:val="kk-KZ"/>
        </w:rPr>
        <w:t>В 2017, 2018 и 2019 годах импорт вырос на 16,6</w:t>
      </w:r>
      <w:r w:rsidR="0081293B" w:rsidRPr="005C53F5">
        <w:rPr>
          <w:rFonts w:ascii="Times New Roman" w:eastAsia="Calibri" w:hAnsi="Times New Roman" w:cs="Times New Roman"/>
          <w:sz w:val="24"/>
          <w:szCs w:val="24"/>
        </w:rPr>
        <w:t>%, 13,7% и 14,0% соответственно и составил 29,6 млрд долларов США, 33,7 млрд долларов США и 38,2 млрд долларов США соответственно.</w:t>
      </w:r>
    </w:p>
    <w:p w14:paraId="2D5B8535" w14:textId="77777777" w:rsidR="00A36FAF" w:rsidRPr="005C53F5" w:rsidRDefault="00A36FAF"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Уровень инфляции за 2014, 2015, 2016, 2017 и 2018 годы составил 7,4%, 13,6%, 8,5%, 7,1% и 5,3% соответственно. Уровень инфляции в 2019 году составил 5,4%.</w:t>
      </w:r>
    </w:p>
    <w:p w14:paraId="2B121EA4" w14:textId="406F8A38" w:rsidR="00A36FAF" w:rsidRPr="005C53F5" w:rsidRDefault="00A36FAF"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Во второй половине 2013 года режим </w:t>
      </w:r>
      <w:r w:rsidR="00B37E10" w:rsidRPr="005C53F5">
        <w:rPr>
          <w:rFonts w:ascii="Times New Roman" w:eastAsia="Calibri" w:hAnsi="Times New Roman" w:cs="Times New Roman"/>
          <w:sz w:val="24"/>
          <w:szCs w:val="24"/>
        </w:rPr>
        <w:t xml:space="preserve">обменного </w:t>
      </w:r>
      <w:r w:rsidRPr="005C53F5">
        <w:rPr>
          <w:rFonts w:ascii="Times New Roman" w:eastAsia="Calibri" w:hAnsi="Times New Roman" w:cs="Times New Roman"/>
          <w:sz w:val="24"/>
          <w:szCs w:val="24"/>
        </w:rPr>
        <w:t>курса подвергся повышенному давлению в связи с дальнейшим ухудшением внешнего текущего счета, обесцениванием российского рубля и неопределенностью</w:t>
      </w:r>
      <w:r w:rsidR="00B37E10" w:rsidRPr="005C53F5">
        <w:rPr>
          <w:rFonts w:ascii="Times New Roman" w:eastAsia="Calibri" w:hAnsi="Times New Roman" w:cs="Times New Roman"/>
          <w:sz w:val="24"/>
          <w:szCs w:val="24"/>
        </w:rPr>
        <w:t xml:space="preserve"> в ведущих развивающихся странах, в частности, в странах БРИКС</w:t>
      </w:r>
      <w:r w:rsidRPr="005C53F5">
        <w:rPr>
          <w:rFonts w:ascii="Times New Roman" w:eastAsia="Calibri" w:hAnsi="Times New Roman" w:cs="Times New Roman"/>
          <w:sz w:val="24"/>
          <w:szCs w:val="24"/>
        </w:rPr>
        <w:t xml:space="preserve">, связанной с денежно-кредитной политикой </w:t>
      </w:r>
      <w:r w:rsidR="00B37E10" w:rsidRPr="005C53F5">
        <w:rPr>
          <w:rFonts w:ascii="Times New Roman" w:eastAsia="Calibri" w:hAnsi="Times New Roman" w:cs="Times New Roman"/>
          <w:sz w:val="24"/>
          <w:szCs w:val="24"/>
        </w:rPr>
        <w:t>ФРС</w:t>
      </w:r>
      <w:r w:rsidR="00417397"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США.</w:t>
      </w:r>
      <w:r w:rsidR="00B37E10" w:rsidRPr="005C53F5">
        <w:rPr>
          <w:rFonts w:ascii="Times New Roman" w:eastAsia="Calibri" w:hAnsi="Times New Roman" w:cs="Times New Roman"/>
          <w:sz w:val="24"/>
          <w:szCs w:val="24"/>
        </w:rPr>
        <w:t xml:space="preserve"> Необходимость восстановления внешней конкурентоспособности обменного курса тенге, внешнеторгового баланса экономики Республики Казахстан и поддержания конкурентоспособности отечественных товаропроизводителей требовало внесения изменений в валютную политику Национального Банка Республики Казахстан (</w:t>
      </w:r>
      <w:r w:rsidR="009E463A" w:rsidRPr="005C53F5">
        <w:rPr>
          <w:rFonts w:ascii="Times New Roman" w:eastAsia="Calibri" w:hAnsi="Times New Roman" w:cs="Times New Roman"/>
          <w:sz w:val="24"/>
          <w:szCs w:val="24"/>
        </w:rPr>
        <w:t>«</w:t>
      </w:r>
      <w:r w:rsidR="00B37E10" w:rsidRPr="005C53F5">
        <w:rPr>
          <w:rFonts w:ascii="Times New Roman" w:eastAsia="Calibri" w:hAnsi="Times New Roman" w:cs="Times New Roman"/>
          <w:b/>
          <w:sz w:val="24"/>
          <w:szCs w:val="24"/>
        </w:rPr>
        <w:t>НБК</w:t>
      </w:r>
      <w:r w:rsidR="009E463A" w:rsidRPr="005C53F5">
        <w:rPr>
          <w:rFonts w:ascii="Times New Roman" w:eastAsia="Calibri" w:hAnsi="Times New Roman" w:cs="Times New Roman"/>
          <w:sz w:val="24"/>
          <w:szCs w:val="24"/>
        </w:rPr>
        <w:t>»</w:t>
      </w:r>
      <w:r w:rsidR="00B37E10" w:rsidRPr="005C53F5">
        <w:rPr>
          <w:rFonts w:ascii="Times New Roman" w:eastAsia="Calibri" w:hAnsi="Times New Roman" w:cs="Times New Roman"/>
          <w:sz w:val="24"/>
          <w:szCs w:val="24"/>
        </w:rPr>
        <w:t xml:space="preserve">). В этой связи, в феврале 2014 года НБК отказался от поддержания обменного курса тенге на прежнем уровне, снизил объемы валютных интервенций и сократил вмешательство в процесс формирования обменного курса тенге. Обменный курс тенге сложился на уровне 185 тенге за доллар США плюс/минус 3 тенге, ослабление составило около 19%. </w:t>
      </w:r>
      <w:r w:rsidRPr="005C53F5">
        <w:rPr>
          <w:rFonts w:ascii="Times New Roman" w:eastAsia="Calibri" w:hAnsi="Times New Roman" w:cs="Times New Roman"/>
          <w:sz w:val="24"/>
          <w:szCs w:val="24"/>
        </w:rPr>
        <w:t xml:space="preserve"> В сентябре 2014 года НБК</w:t>
      </w:r>
      <w:r w:rsidR="00B37E10" w:rsidRPr="005C53F5">
        <w:rPr>
          <w:rFonts w:ascii="Times New Roman" w:eastAsia="Calibri" w:hAnsi="Times New Roman" w:cs="Times New Roman"/>
          <w:sz w:val="24"/>
          <w:szCs w:val="24"/>
        </w:rPr>
        <w:t xml:space="preserve"> принял решение расширить коридор колебаний обменного курса тенге по отношению к доллару США с 185 +/- 3 тенге до 185 +3/-15 тенге. В июле 2015 года в целях продолжения политики более гибкого и плавного курсообразования в рамках перехода в среднесрочной перспективе к инфляционному таргетированию и принимая во внимание тот факт, что обменный курс тенге по отношению к доллару США практически достиг верхней границы валютного коридора, НБК принял решение расширить коридор колебаний обменного курса тенге по отношению к доллару США со 185 +3/-15 тенге до 185 +13/-15 тенге</w:t>
      </w:r>
      <w:r w:rsidRPr="005C53F5">
        <w:rPr>
          <w:rFonts w:ascii="Times New Roman" w:eastAsia="Calibri" w:hAnsi="Times New Roman" w:cs="Times New Roman"/>
          <w:sz w:val="24"/>
          <w:szCs w:val="24"/>
        </w:rPr>
        <w:t>. 20 августа 2015 года НБК объявил о переходе к режиму свободно плавающего обменного курса тенге, который действует на сегодняшний день. С тех пор средний обменный курс изменился с 221,7 тенге за 1 доллар США в 2015 году до 342,2 тенге за 1 доллар США в 2016 году, 326,0 тенге за 1 доллар США в 2017 году и 344,7 тенге за 1 доллар США в 2018 году. За 2019 год средний обменный курс составил 382,</w:t>
      </w:r>
      <w:r w:rsidR="00B37E10" w:rsidRPr="005C53F5">
        <w:rPr>
          <w:rFonts w:ascii="Times New Roman" w:eastAsia="Calibri" w:hAnsi="Times New Roman" w:cs="Times New Roman"/>
          <w:sz w:val="24"/>
          <w:szCs w:val="24"/>
        </w:rPr>
        <w:t>9</w:t>
      </w:r>
      <w:r w:rsidRPr="005C53F5">
        <w:rPr>
          <w:rFonts w:ascii="Times New Roman" w:eastAsia="Calibri" w:hAnsi="Times New Roman" w:cs="Times New Roman"/>
          <w:sz w:val="24"/>
          <w:szCs w:val="24"/>
        </w:rPr>
        <w:t xml:space="preserve"> тенге за 1 доллар США согласно статистике, публикуемой </w:t>
      </w:r>
      <w:r w:rsidR="00417397" w:rsidRPr="005C53F5">
        <w:rPr>
          <w:rFonts w:ascii="Times New Roman" w:eastAsia="Calibri" w:hAnsi="Times New Roman" w:cs="Times New Roman"/>
          <w:sz w:val="24"/>
          <w:szCs w:val="24"/>
        </w:rPr>
        <w:t>НБК</w:t>
      </w:r>
      <w:r w:rsidRPr="005C53F5">
        <w:rPr>
          <w:rFonts w:ascii="Times New Roman" w:eastAsia="Calibri" w:hAnsi="Times New Roman" w:cs="Times New Roman"/>
          <w:sz w:val="24"/>
          <w:szCs w:val="24"/>
        </w:rPr>
        <w:t>.</w:t>
      </w:r>
    </w:p>
    <w:p w14:paraId="712E51FE" w14:textId="4B2266B6" w:rsidR="00A36FAF" w:rsidRPr="005C53F5" w:rsidRDefault="00A36FAF"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2014, 2015, 2016, 2017 и 2018 годах Казахстан имел положительное сальдо торгового баланса (на основе фактических торговых потоков (без учета незарегистрированных торговых корректировок)) в размере 38,2 млрд долл. США, 15,4 млрд долл. США, 11,4 млрд долл. США, 18,9 млрд долл. США и 27,5 млрд долл. США соответственно. По данным за 2019 год положительное сальдо торгового баланса (исходя из фактических торговых потоков (без учета незарегистрированных торговых корректировок)) составило 1</w:t>
      </w:r>
      <w:r w:rsidR="00F02B8A" w:rsidRPr="005C53F5">
        <w:rPr>
          <w:rFonts w:ascii="Times New Roman" w:eastAsia="Calibri" w:hAnsi="Times New Roman" w:cs="Times New Roman"/>
          <w:sz w:val="24"/>
          <w:szCs w:val="24"/>
        </w:rPr>
        <w:t>9</w:t>
      </w:r>
      <w:r w:rsidRPr="005C53F5">
        <w:rPr>
          <w:rFonts w:ascii="Times New Roman" w:eastAsia="Calibri" w:hAnsi="Times New Roman" w:cs="Times New Roman"/>
          <w:sz w:val="24"/>
          <w:szCs w:val="24"/>
        </w:rPr>
        <w:t>,</w:t>
      </w:r>
      <w:r w:rsidR="00C0460E" w:rsidRPr="005C53F5">
        <w:rPr>
          <w:rFonts w:ascii="Times New Roman" w:eastAsia="Calibri" w:hAnsi="Times New Roman" w:cs="Times New Roman"/>
          <w:sz w:val="24"/>
          <w:szCs w:val="24"/>
        </w:rPr>
        <w:t>3</w:t>
      </w:r>
      <w:r w:rsidRPr="005C53F5">
        <w:rPr>
          <w:rFonts w:ascii="Times New Roman" w:eastAsia="Calibri" w:hAnsi="Times New Roman" w:cs="Times New Roman"/>
          <w:sz w:val="24"/>
          <w:szCs w:val="24"/>
        </w:rPr>
        <w:t xml:space="preserve"> млрд долларов США.</w:t>
      </w:r>
    </w:p>
    <w:p w14:paraId="190C6401" w14:textId="77777777"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b/>
          <w:bCs/>
          <w:i/>
          <w:iCs/>
          <w:sz w:val="24"/>
          <w:szCs w:val="24"/>
          <w:u w:val="single"/>
        </w:rPr>
      </w:pPr>
      <w:bookmarkStart w:id="103" w:name="_Hlk40009540"/>
      <w:r w:rsidRPr="005C53F5">
        <w:rPr>
          <w:rFonts w:ascii="Times New Roman" w:eastAsia="Calibri" w:hAnsi="Times New Roman" w:cs="Times New Roman"/>
          <w:b/>
          <w:bCs/>
          <w:i/>
          <w:iCs/>
          <w:sz w:val="24"/>
          <w:szCs w:val="24"/>
          <w:u w:val="single"/>
        </w:rPr>
        <w:t>Объем и предел (верхний предел) государственного внутреннего и внешнего долга Республики Казахстан</w:t>
      </w:r>
    </w:p>
    <w:bookmarkEnd w:id="103"/>
    <w:p w14:paraId="5300747A" w14:textId="50BA8B0D" w:rsidR="001A2920" w:rsidRPr="005C53F5" w:rsidRDefault="00A36FAF"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Бюджетный кодекс </w:t>
      </w:r>
      <w:r w:rsidR="00417397" w:rsidRPr="005C53F5">
        <w:rPr>
          <w:rFonts w:ascii="Times New Roman" w:eastAsia="Calibri" w:hAnsi="Times New Roman" w:cs="Times New Roman"/>
          <w:sz w:val="24"/>
          <w:szCs w:val="24"/>
        </w:rPr>
        <w:t xml:space="preserve">Республики Казахстан </w:t>
      </w:r>
      <w:r w:rsidRPr="005C53F5">
        <w:rPr>
          <w:rFonts w:ascii="Times New Roman" w:eastAsia="Calibri" w:hAnsi="Times New Roman" w:cs="Times New Roman"/>
          <w:sz w:val="24"/>
          <w:szCs w:val="24"/>
        </w:rPr>
        <w:t>устанавливает правовую базу для различных видов государственных заимствований, в том числе прямых государственных заимствований со стороны правительства, НБК и местных исполнительных органов, а также гарантирова</w:t>
      </w:r>
      <w:r w:rsidR="00F71DC0" w:rsidRPr="005C53F5">
        <w:rPr>
          <w:rFonts w:ascii="Times New Roman" w:eastAsia="Calibri" w:hAnsi="Times New Roman" w:cs="Times New Roman"/>
          <w:sz w:val="24"/>
          <w:szCs w:val="24"/>
        </w:rPr>
        <w:t>нных государством заимствований</w:t>
      </w:r>
      <w:r w:rsidRPr="005C53F5">
        <w:rPr>
          <w:rFonts w:ascii="Times New Roman" w:eastAsia="Calibri" w:hAnsi="Times New Roman" w:cs="Times New Roman"/>
          <w:sz w:val="24"/>
          <w:szCs w:val="24"/>
        </w:rPr>
        <w:t xml:space="preserve">. В соответствии </w:t>
      </w:r>
      <w:r w:rsidR="001A2920" w:rsidRPr="005C53F5">
        <w:rPr>
          <w:rFonts w:ascii="Times New Roman" w:eastAsia="Calibri" w:hAnsi="Times New Roman" w:cs="Times New Roman"/>
          <w:sz w:val="24"/>
          <w:szCs w:val="24"/>
        </w:rPr>
        <w:t xml:space="preserve">отечественным </w:t>
      </w:r>
      <w:r w:rsidRPr="005C53F5">
        <w:rPr>
          <w:rFonts w:ascii="Times New Roman" w:eastAsia="Calibri" w:hAnsi="Times New Roman" w:cs="Times New Roman"/>
          <w:sz w:val="24"/>
          <w:szCs w:val="24"/>
        </w:rPr>
        <w:t xml:space="preserve">законодательством Министерство финансов </w:t>
      </w:r>
      <w:r w:rsidR="00817D68" w:rsidRPr="005C53F5">
        <w:rPr>
          <w:rFonts w:ascii="Times New Roman" w:eastAsia="Calibri" w:hAnsi="Times New Roman" w:cs="Times New Roman"/>
          <w:sz w:val="24"/>
          <w:szCs w:val="24"/>
        </w:rPr>
        <w:t xml:space="preserve">Республики Казахстан </w:t>
      </w:r>
      <w:r w:rsidRPr="005C53F5">
        <w:rPr>
          <w:rFonts w:ascii="Times New Roman" w:eastAsia="Calibri" w:hAnsi="Times New Roman" w:cs="Times New Roman"/>
          <w:sz w:val="24"/>
          <w:szCs w:val="24"/>
        </w:rPr>
        <w:t xml:space="preserve">(после получения разрешения </w:t>
      </w:r>
      <w:r w:rsidR="00817D68" w:rsidRPr="005C53F5">
        <w:rPr>
          <w:rFonts w:ascii="Times New Roman" w:eastAsia="Calibri" w:hAnsi="Times New Roman" w:cs="Times New Roman"/>
          <w:sz w:val="24"/>
          <w:szCs w:val="24"/>
        </w:rPr>
        <w:t>Правительства</w:t>
      </w:r>
      <w:r w:rsidRPr="005C53F5">
        <w:rPr>
          <w:rFonts w:ascii="Times New Roman" w:eastAsia="Calibri" w:hAnsi="Times New Roman" w:cs="Times New Roman"/>
          <w:sz w:val="24"/>
          <w:szCs w:val="24"/>
        </w:rPr>
        <w:t xml:space="preserve">) может осуществлять внешнее заимствование посредством займов или выпуска долговых ценных бумаг при условии, что оно находится в пределах разрешенного лимита государственной задолженности, установленного в </w:t>
      </w:r>
      <w:r w:rsidR="00BF7159" w:rsidRPr="005C53F5">
        <w:rPr>
          <w:rFonts w:ascii="Times New Roman" w:eastAsia="Calibri" w:hAnsi="Times New Roman" w:cs="Times New Roman"/>
          <w:sz w:val="24"/>
          <w:szCs w:val="24"/>
        </w:rPr>
        <w:t xml:space="preserve">республиканском </w:t>
      </w:r>
      <w:r w:rsidRPr="005C53F5">
        <w:rPr>
          <w:rFonts w:ascii="Times New Roman" w:eastAsia="Calibri" w:hAnsi="Times New Roman" w:cs="Times New Roman"/>
          <w:sz w:val="24"/>
          <w:szCs w:val="24"/>
        </w:rPr>
        <w:t xml:space="preserve">бюджете на соответствующий год по состоянию на конец такого года. </w:t>
      </w:r>
    </w:p>
    <w:p w14:paraId="0B652F0B" w14:textId="4E829619" w:rsidR="00A36FAF" w:rsidRPr="005C53F5" w:rsidRDefault="00A36FAF"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Лимит по </w:t>
      </w:r>
      <w:r w:rsidR="00BF7159" w:rsidRPr="005C53F5">
        <w:rPr>
          <w:rFonts w:ascii="Times New Roman" w:eastAsia="Calibri" w:hAnsi="Times New Roman" w:cs="Times New Roman"/>
          <w:sz w:val="24"/>
          <w:szCs w:val="24"/>
        </w:rPr>
        <w:t xml:space="preserve">правительственному </w:t>
      </w:r>
      <w:r w:rsidRPr="005C53F5">
        <w:rPr>
          <w:rFonts w:ascii="Times New Roman" w:eastAsia="Calibri" w:hAnsi="Times New Roman" w:cs="Times New Roman"/>
          <w:sz w:val="24"/>
          <w:szCs w:val="24"/>
        </w:rPr>
        <w:t xml:space="preserve">долгу (включая внутренний и внешний долг) по состоянию на 31 декабря 2015 года был установлен в размере 8 200 млрд тенге, по состоянию на 31 декабря 2016 года </w:t>
      </w:r>
      <w:r w:rsidR="00817D68"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9 570 млрд тенге, по состоянию на 31 декабря 2017 года</w:t>
      </w:r>
      <w:r w:rsidR="00817D68" w:rsidRPr="005C53F5">
        <w:rPr>
          <w:rFonts w:ascii="Times New Roman" w:eastAsia="Calibri" w:hAnsi="Times New Roman" w:cs="Times New Roman"/>
          <w:sz w:val="24"/>
          <w:szCs w:val="24"/>
        </w:rPr>
        <w:t xml:space="preserve"> – </w:t>
      </w:r>
      <w:r w:rsidRPr="005C53F5">
        <w:rPr>
          <w:rFonts w:ascii="Times New Roman" w:eastAsia="Calibri" w:hAnsi="Times New Roman" w:cs="Times New Roman"/>
          <w:sz w:val="24"/>
          <w:szCs w:val="24"/>
        </w:rPr>
        <w:t xml:space="preserve">11 000 млрд тенге, по состоянию на 31 декабря 2018 года </w:t>
      </w:r>
      <w:r w:rsidR="00817D68"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 xml:space="preserve">12 000 млрд тенге и по состоянию на 31 декабря 2019 года </w:t>
      </w:r>
      <w:r w:rsidR="00817D68"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13 000 млрд тенге. Согласно </w:t>
      </w:r>
      <w:r w:rsidR="00BF7159" w:rsidRPr="005C53F5">
        <w:rPr>
          <w:rFonts w:ascii="Times New Roman" w:eastAsia="Calibri" w:hAnsi="Times New Roman" w:cs="Times New Roman"/>
          <w:sz w:val="24"/>
          <w:szCs w:val="24"/>
        </w:rPr>
        <w:t xml:space="preserve">Указу Президента Республики Казахстан от 8 апреля 2020 года № 299 «Об уточненном республиканском бюджете на 2020 год» </w:t>
      </w:r>
      <w:r w:rsidRPr="005C53F5">
        <w:rPr>
          <w:rFonts w:ascii="Times New Roman" w:eastAsia="Calibri" w:hAnsi="Times New Roman" w:cs="Times New Roman"/>
          <w:sz w:val="24"/>
          <w:szCs w:val="24"/>
        </w:rPr>
        <w:t xml:space="preserve">в 2020 году </w:t>
      </w:r>
      <w:r w:rsidR="00BF7159" w:rsidRPr="005C53F5">
        <w:rPr>
          <w:rFonts w:ascii="Times New Roman" w:eastAsia="Calibri" w:hAnsi="Times New Roman" w:cs="Times New Roman"/>
          <w:sz w:val="24"/>
          <w:szCs w:val="24"/>
        </w:rPr>
        <w:t xml:space="preserve">лимит правительственного долга составляет 15 500 </w:t>
      </w:r>
      <w:r w:rsidRPr="005C53F5">
        <w:rPr>
          <w:rFonts w:ascii="Times New Roman" w:eastAsia="Calibri" w:hAnsi="Times New Roman" w:cs="Times New Roman"/>
          <w:sz w:val="24"/>
          <w:szCs w:val="24"/>
        </w:rPr>
        <w:t>млрд тенге.</w:t>
      </w:r>
      <w:r w:rsidR="00BF7159" w:rsidRPr="005C53F5">
        <w:rPr>
          <w:rFonts w:ascii="Times New Roman" w:eastAsia="Calibri" w:hAnsi="Times New Roman" w:cs="Times New Roman"/>
          <w:sz w:val="24"/>
          <w:szCs w:val="24"/>
          <w:lang w:eastAsia="ru-RU"/>
        </w:rPr>
        <w:t xml:space="preserve"> </w:t>
      </w:r>
    </w:p>
    <w:p w14:paraId="24514612" w14:textId="29B46397" w:rsidR="001A2920" w:rsidRPr="005C53F5" w:rsidRDefault="001A2920"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При достижении целевых показателей по сбору средств </w:t>
      </w:r>
      <w:r w:rsidR="00A36FAF" w:rsidRPr="005C53F5">
        <w:rPr>
          <w:rFonts w:ascii="Times New Roman" w:eastAsia="Calibri" w:hAnsi="Times New Roman" w:cs="Times New Roman"/>
          <w:sz w:val="24"/>
          <w:szCs w:val="24"/>
        </w:rPr>
        <w:t xml:space="preserve">Правительство </w:t>
      </w:r>
      <w:r w:rsidR="00817D68" w:rsidRPr="005C53F5">
        <w:rPr>
          <w:rFonts w:ascii="Times New Roman" w:eastAsia="Calibri" w:hAnsi="Times New Roman" w:cs="Times New Roman"/>
          <w:sz w:val="24"/>
          <w:szCs w:val="24"/>
        </w:rPr>
        <w:t xml:space="preserve">Республики Казахстан </w:t>
      </w:r>
      <w:r w:rsidRPr="005C53F5">
        <w:rPr>
          <w:rFonts w:ascii="Times New Roman" w:eastAsia="Calibri" w:hAnsi="Times New Roman" w:cs="Times New Roman"/>
          <w:sz w:val="24"/>
          <w:szCs w:val="24"/>
        </w:rPr>
        <w:t xml:space="preserve">следует </w:t>
      </w:r>
      <w:r w:rsidR="00A36FAF" w:rsidRPr="005C53F5">
        <w:rPr>
          <w:rFonts w:ascii="Times New Roman" w:eastAsia="Calibri" w:hAnsi="Times New Roman" w:cs="Times New Roman"/>
          <w:sz w:val="24"/>
          <w:szCs w:val="24"/>
        </w:rPr>
        <w:t>передов</w:t>
      </w:r>
      <w:r w:rsidRPr="005C53F5">
        <w:rPr>
          <w:rFonts w:ascii="Times New Roman" w:eastAsia="Calibri" w:hAnsi="Times New Roman" w:cs="Times New Roman"/>
          <w:sz w:val="24"/>
          <w:szCs w:val="24"/>
        </w:rPr>
        <w:t xml:space="preserve">ой </w:t>
      </w:r>
      <w:r w:rsidR="00A36FAF" w:rsidRPr="005C53F5">
        <w:rPr>
          <w:rFonts w:ascii="Times New Roman" w:eastAsia="Calibri" w:hAnsi="Times New Roman" w:cs="Times New Roman"/>
          <w:sz w:val="24"/>
          <w:szCs w:val="24"/>
        </w:rPr>
        <w:t>международн</w:t>
      </w:r>
      <w:r w:rsidRPr="005C53F5">
        <w:rPr>
          <w:rFonts w:ascii="Times New Roman" w:eastAsia="Calibri" w:hAnsi="Times New Roman" w:cs="Times New Roman"/>
          <w:sz w:val="24"/>
          <w:szCs w:val="24"/>
        </w:rPr>
        <w:t xml:space="preserve">ой </w:t>
      </w:r>
      <w:r w:rsidR="00A36FAF" w:rsidRPr="005C53F5">
        <w:rPr>
          <w:rFonts w:ascii="Times New Roman" w:eastAsia="Calibri" w:hAnsi="Times New Roman" w:cs="Times New Roman"/>
          <w:sz w:val="24"/>
          <w:szCs w:val="24"/>
        </w:rPr>
        <w:t>практик</w:t>
      </w:r>
      <w:r w:rsidRPr="005C53F5">
        <w:rPr>
          <w:rFonts w:ascii="Times New Roman" w:eastAsia="Calibri" w:hAnsi="Times New Roman" w:cs="Times New Roman"/>
          <w:sz w:val="24"/>
          <w:szCs w:val="24"/>
        </w:rPr>
        <w:t xml:space="preserve">е </w:t>
      </w:r>
      <w:r w:rsidR="00A36FAF" w:rsidRPr="005C53F5">
        <w:rPr>
          <w:rFonts w:ascii="Times New Roman" w:eastAsia="Calibri" w:hAnsi="Times New Roman" w:cs="Times New Roman"/>
          <w:sz w:val="24"/>
          <w:szCs w:val="24"/>
        </w:rPr>
        <w:t xml:space="preserve">управления долгом в целях обеспечения надлежащего управления рисками и минимизации расходов на обслуживание долга. </w:t>
      </w:r>
      <w:r w:rsidR="00817D68" w:rsidRPr="005C53F5">
        <w:rPr>
          <w:rFonts w:ascii="Times New Roman" w:eastAsia="Calibri" w:hAnsi="Times New Roman" w:cs="Times New Roman"/>
          <w:sz w:val="24"/>
          <w:szCs w:val="24"/>
        </w:rPr>
        <w:t xml:space="preserve">Правительство </w:t>
      </w:r>
      <w:r w:rsidRPr="005C53F5">
        <w:rPr>
          <w:rFonts w:ascii="Times New Roman" w:eastAsia="Calibri" w:hAnsi="Times New Roman" w:cs="Times New Roman"/>
          <w:sz w:val="24"/>
          <w:szCs w:val="24"/>
        </w:rPr>
        <w:t xml:space="preserve">использует </w:t>
      </w:r>
      <w:r w:rsidR="00A36FAF" w:rsidRPr="005C53F5">
        <w:rPr>
          <w:rFonts w:ascii="Times New Roman" w:eastAsia="Calibri" w:hAnsi="Times New Roman" w:cs="Times New Roman"/>
          <w:sz w:val="24"/>
          <w:szCs w:val="24"/>
        </w:rPr>
        <w:t>свою долговую политику для продвижения социально-экономического развития Казахстана</w:t>
      </w:r>
      <w:r w:rsidRPr="005C53F5">
        <w:rPr>
          <w:rFonts w:ascii="Times New Roman" w:eastAsia="Calibri" w:hAnsi="Times New Roman" w:cs="Times New Roman"/>
          <w:sz w:val="24"/>
          <w:szCs w:val="24"/>
        </w:rPr>
        <w:t>,</w:t>
      </w:r>
      <w:r w:rsidR="00A36FAF" w:rsidRPr="005C53F5">
        <w:rPr>
          <w:rFonts w:ascii="Times New Roman" w:eastAsia="Calibri" w:hAnsi="Times New Roman" w:cs="Times New Roman"/>
          <w:sz w:val="24"/>
          <w:szCs w:val="24"/>
        </w:rPr>
        <w:t xml:space="preserve"> большая часть средств, привлеченных за счет внешнего долга, используется для финансирования инвестиционных проектов в таких сферах, как промышленное и сельскохозяйственное развитие, социальные проекты и инновационные технологии. </w:t>
      </w:r>
    </w:p>
    <w:p w14:paraId="43CA60B5" w14:textId="728A7A0B" w:rsidR="00A36FAF" w:rsidRPr="005C53F5" w:rsidRDefault="00A36FAF"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Целью внутренних заимствований через эмиссию государственных облигаций, выпущенных Министерством финансов </w:t>
      </w:r>
      <w:r w:rsidR="00817D68" w:rsidRPr="005C53F5">
        <w:rPr>
          <w:rFonts w:ascii="Times New Roman" w:eastAsia="Calibri" w:hAnsi="Times New Roman" w:cs="Times New Roman"/>
          <w:sz w:val="24"/>
          <w:szCs w:val="24"/>
        </w:rPr>
        <w:t xml:space="preserve">Республики Казахстан </w:t>
      </w:r>
      <w:r w:rsidRPr="005C53F5">
        <w:rPr>
          <w:rFonts w:ascii="Times New Roman" w:eastAsia="Calibri" w:hAnsi="Times New Roman" w:cs="Times New Roman"/>
          <w:sz w:val="24"/>
          <w:szCs w:val="24"/>
        </w:rPr>
        <w:t xml:space="preserve">является финансирование дефицита республиканского бюджета. Мониторинг доходности как внутренних, так и внешних рынков капитала, а также </w:t>
      </w:r>
      <w:r w:rsidR="00817D68" w:rsidRPr="005C53F5">
        <w:rPr>
          <w:rFonts w:ascii="Times New Roman" w:eastAsia="Calibri" w:hAnsi="Times New Roman" w:cs="Times New Roman"/>
          <w:sz w:val="24"/>
          <w:szCs w:val="24"/>
        </w:rPr>
        <w:t xml:space="preserve">указанных </w:t>
      </w:r>
      <w:r w:rsidRPr="005C53F5">
        <w:rPr>
          <w:rFonts w:ascii="Times New Roman" w:eastAsia="Calibri" w:hAnsi="Times New Roman" w:cs="Times New Roman"/>
          <w:sz w:val="24"/>
          <w:szCs w:val="24"/>
        </w:rPr>
        <w:t xml:space="preserve">государственных облигаций осуществляется в рамках управления внутренним долгом. При необходимости увеличения ликвидности повторные аукционы проводятся в рамках стратегии государственных облигаций, </w:t>
      </w:r>
      <w:r w:rsidR="001A2920" w:rsidRPr="005C53F5">
        <w:rPr>
          <w:rFonts w:ascii="Times New Roman" w:eastAsia="Calibri" w:hAnsi="Times New Roman" w:cs="Times New Roman"/>
          <w:sz w:val="24"/>
          <w:szCs w:val="24"/>
        </w:rPr>
        <w:t xml:space="preserve">направленной на увеличение их </w:t>
      </w:r>
      <w:r w:rsidR="001E462D" w:rsidRPr="005C53F5">
        <w:rPr>
          <w:rFonts w:ascii="Times New Roman" w:eastAsia="Calibri" w:hAnsi="Times New Roman" w:cs="Times New Roman"/>
          <w:sz w:val="24"/>
          <w:szCs w:val="24"/>
        </w:rPr>
        <w:t>объёмов</w:t>
      </w:r>
      <w:r w:rsidR="001A2920" w:rsidRPr="005C53F5">
        <w:rPr>
          <w:rFonts w:ascii="Times New Roman" w:eastAsia="Calibri" w:hAnsi="Times New Roman" w:cs="Times New Roman"/>
          <w:sz w:val="24"/>
          <w:szCs w:val="24"/>
        </w:rPr>
        <w:t xml:space="preserve"> и </w:t>
      </w:r>
      <w:r w:rsidRPr="005C53F5">
        <w:rPr>
          <w:rFonts w:ascii="Times New Roman" w:eastAsia="Calibri" w:hAnsi="Times New Roman" w:cs="Times New Roman"/>
          <w:sz w:val="24"/>
          <w:szCs w:val="24"/>
        </w:rPr>
        <w:t>сокращени</w:t>
      </w:r>
      <w:r w:rsidR="001A2920" w:rsidRPr="005C53F5">
        <w:rPr>
          <w:rFonts w:ascii="Times New Roman" w:eastAsia="Calibri" w:hAnsi="Times New Roman" w:cs="Times New Roman"/>
          <w:sz w:val="24"/>
          <w:szCs w:val="24"/>
        </w:rPr>
        <w:t>е</w:t>
      </w:r>
      <w:r w:rsidRPr="005C53F5">
        <w:rPr>
          <w:rFonts w:ascii="Times New Roman" w:eastAsia="Calibri" w:hAnsi="Times New Roman" w:cs="Times New Roman"/>
          <w:sz w:val="24"/>
          <w:szCs w:val="24"/>
        </w:rPr>
        <w:t xml:space="preserve"> количества выпусков государственных облигаций. </w:t>
      </w:r>
      <w:r w:rsidR="001E462D" w:rsidRPr="005C53F5">
        <w:rPr>
          <w:rFonts w:ascii="Times New Roman" w:eastAsia="Calibri" w:hAnsi="Times New Roman" w:cs="Times New Roman"/>
          <w:sz w:val="24"/>
          <w:szCs w:val="24"/>
        </w:rPr>
        <w:t xml:space="preserve"> В отношении </w:t>
      </w:r>
      <w:r w:rsidRPr="005C53F5">
        <w:rPr>
          <w:rFonts w:ascii="Times New Roman" w:eastAsia="Calibri" w:hAnsi="Times New Roman" w:cs="Times New Roman"/>
          <w:sz w:val="24"/>
          <w:szCs w:val="24"/>
        </w:rPr>
        <w:t>доступа к международным рынкам капитала</w:t>
      </w:r>
      <w:r w:rsidR="00B23042" w:rsidRPr="005C53F5">
        <w:rPr>
          <w:rFonts w:ascii="Times New Roman" w:eastAsia="Calibri" w:hAnsi="Times New Roman" w:cs="Times New Roman"/>
          <w:sz w:val="24"/>
          <w:szCs w:val="24"/>
        </w:rPr>
        <w:t xml:space="preserve"> следует отметить</w:t>
      </w:r>
      <w:r w:rsidRPr="005C53F5">
        <w:rPr>
          <w:rFonts w:ascii="Times New Roman" w:eastAsia="Calibri" w:hAnsi="Times New Roman" w:cs="Times New Roman"/>
          <w:sz w:val="24"/>
          <w:szCs w:val="24"/>
        </w:rPr>
        <w:t xml:space="preserve">, </w:t>
      </w:r>
      <w:r w:rsidR="00B23042" w:rsidRPr="005C53F5">
        <w:rPr>
          <w:rFonts w:ascii="Times New Roman" w:eastAsia="Calibri" w:hAnsi="Times New Roman" w:cs="Times New Roman"/>
          <w:sz w:val="24"/>
          <w:szCs w:val="24"/>
        </w:rPr>
        <w:t>ч</w:t>
      </w:r>
      <w:r w:rsidRPr="005C53F5">
        <w:rPr>
          <w:rFonts w:ascii="Times New Roman" w:eastAsia="Calibri" w:hAnsi="Times New Roman" w:cs="Times New Roman"/>
          <w:sz w:val="24"/>
          <w:szCs w:val="24"/>
        </w:rPr>
        <w:t>то первый и последующие выпуски еврооблигаций Республики Казахстан определили ориентиры, которые помогли казахстанским банкам и корпоративным эмитентам получить доступ к международным рынкам капитала. Казахстанские власти также нацелены на совершенствование системы мониторинга внешних заимствований государственных и частных компаний.</w:t>
      </w:r>
    </w:p>
    <w:p w14:paraId="4858CA6C" w14:textId="5787EA04" w:rsidR="00D44DA6" w:rsidRPr="005C53F5" w:rsidRDefault="00D44DA6"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настоящее время по результатам технической помощи Азиатского банка развития проводятся мероприятия по разработке среднесрочной стратегии по управлению государственным долгом.</w:t>
      </w:r>
    </w:p>
    <w:p w14:paraId="7CF13C08" w14:textId="77777777" w:rsidR="000854DB" w:rsidRPr="005C53F5" w:rsidRDefault="000854DB"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таблице ниже представлен внешний долг Республики Казахстан (государственный и гарантированный государством). </w:t>
      </w:r>
    </w:p>
    <w:tbl>
      <w:tblPr>
        <w:tblStyle w:val="60"/>
        <w:tblW w:w="5000" w:type="pct"/>
        <w:tblLayout w:type="fixed"/>
        <w:tblLook w:val="04A0" w:firstRow="1" w:lastRow="0" w:firstColumn="1" w:lastColumn="0" w:noHBand="0" w:noVBand="1"/>
      </w:tblPr>
      <w:tblGrid>
        <w:gridCol w:w="2040"/>
        <w:gridCol w:w="1314"/>
        <w:gridCol w:w="1313"/>
        <w:gridCol w:w="1315"/>
        <w:gridCol w:w="1315"/>
        <w:gridCol w:w="1169"/>
        <w:gridCol w:w="1161"/>
      </w:tblGrid>
      <w:tr w:rsidR="000854DB" w:rsidRPr="005C53F5" w14:paraId="78FC9A69" w14:textId="77777777" w:rsidTr="007D69FB">
        <w:trPr>
          <w:trHeight w:val="301"/>
        </w:trPr>
        <w:tc>
          <w:tcPr>
            <w:tcW w:w="1059" w:type="pct"/>
            <w:noWrap/>
            <w:hideMark/>
          </w:tcPr>
          <w:p w14:paraId="4D98F571" w14:textId="77777777" w:rsidR="000854DB" w:rsidRPr="005C53F5" w:rsidRDefault="000854DB" w:rsidP="00057BE5">
            <w:pPr>
              <w:autoSpaceDE w:val="0"/>
              <w:autoSpaceDN w:val="0"/>
              <w:adjustRightInd w:val="0"/>
              <w:jc w:val="both"/>
              <w:rPr>
                <w:rFonts w:ascii="Times New Roman" w:eastAsia="Calibri" w:hAnsi="Times New Roman" w:cs="Times New Roman"/>
                <w:b/>
                <w:bCs/>
                <w:sz w:val="20"/>
                <w:szCs w:val="20"/>
              </w:rPr>
            </w:pPr>
            <w:r w:rsidRPr="005C53F5">
              <w:rPr>
                <w:rFonts w:ascii="Times New Roman" w:eastAsia="Calibri" w:hAnsi="Times New Roman" w:cs="Times New Roman"/>
                <w:b/>
                <w:bCs/>
                <w:sz w:val="20"/>
                <w:szCs w:val="20"/>
              </w:rPr>
              <w:t> Показатель</w:t>
            </w:r>
          </w:p>
        </w:tc>
        <w:tc>
          <w:tcPr>
            <w:tcW w:w="682" w:type="pct"/>
            <w:noWrap/>
            <w:vAlign w:val="center"/>
            <w:hideMark/>
          </w:tcPr>
          <w:p w14:paraId="000CD7AE" w14:textId="77777777" w:rsidR="000854DB" w:rsidRPr="005C53F5" w:rsidRDefault="000854DB" w:rsidP="00057BE5">
            <w:pPr>
              <w:autoSpaceDE w:val="0"/>
              <w:autoSpaceDN w:val="0"/>
              <w:adjustRightInd w:val="0"/>
              <w:ind w:right="-74"/>
              <w:jc w:val="center"/>
              <w:rPr>
                <w:rFonts w:ascii="Times New Roman" w:eastAsia="Calibri" w:hAnsi="Times New Roman" w:cs="Times New Roman"/>
                <w:b/>
                <w:bCs/>
                <w:sz w:val="20"/>
                <w:szCs w:val="20"/>
              </w:rPr>
            </w:pPr>
            <w:r w:rsidRPr="005C53F5">
              <w:rPr>
                <w:rFonts w:ascii="Times New Roman" w:eastAsia="Calibri" w:hAnsi="Times New Roman" w:cs="Times New Roman"/>
                <w:b/>
                <w:bCs/>
                <w:sz w:val="20"/>
                <w:szCs w:val="20"/>
              </w:rPr>
              <w:t>01.01.2015</w:t>
            </w:r>
          </w:p>
        </w:tc>
        <w:tc>
          <w:tcPr>
            <w:tcW w:w="682" w:type="pct"/>
            <w:noWrap/>
            <w:vAlign w:val="center"/>
            <w:hideMark/>
          </w:tcPr>
          <w:p w14:paraId="07BAE9B5" w14:textId="77777777" w:rsidR="000854DB" w:rsidRPr="005C53F5" w:rsidRDefault="000854DB" w:rsidP="00057BE5">
            <w:pPr>
              <w:autoSpaceDE w:val="0"/>
              <w:autoSpaceDN w:val="0"/>
              <w:adjustRightInd w:val="0"/>
              <w:ind w:right="-74"/>
              <w:jc w:val="center"/>
              <w:rPr>
                <w:rFonts w:ascii="Times New Roman" w:eastAsia="Calibri" w:hAnsi="Times New Roman" w:cs="Times New Roman"/>
                <w:b/>
                <w:bCs/>
                <w:sz w:val="20"/>
                <w:szCs w:val="20"/>
              </w:rPr>
            </w:pPr>
            <w:r w:rsidRPr="005C53F5">
              <w:rPr>
                <w:rFonts w:ascii="Times New Roman" w:eastAsia="Calibri" w:hAnsi="Times New Roman" w:cs="Times New Roman"/>
                <w:b/>
                <w:bCs/>
                <w:sz w:val="20"/>
                <w:szCs w:val="20"/>
              </w:rPr>
              <w:t>01.01.2016</w:t>
            </w:r>
          </w:p>
        </w:tc>
        <w:tc>
          <w:tcPr>
            <w:tcW w:w="683" w:type="pct"/>
            <w:noWrap/>
            <w:vAlign w:val="center"/>
            <w:hideMark/>
          </w:tcPr>
          <w:p w14:paraId="28A480C6" w14:textId="77777777" w:rsidR="000854DB" w:rsidRPr="005C53F5" w:rsidRDefault="000854DB" w:rsidP="00057BE5">
            <w:pPr>
              <w:autoSpaceDE w:val="0"/>
              <w:autoSpaceDN w:val="0"/>
              <w:adjustRightInd w:val="0"/>
              <w:ind w:right="-74"/>
              <w:jc w:val="center"/>
              <w:rPr>
                <w:rFonts w:ascii="Times New Roman" w:eastAsia="Calibri" w:hAnsi="Times New Roman" w:cs="Times New Roman"/>
                <w:b/>
                <w:bCs/>
                <w:sz w:val="20"/>
                <w:szCs w:val="20"/>
              </w:rPr>
            </w:pPr>
            <w:r w:rsidRPr="005C53F5">
              <w:rPr>
                <w:rFonts w:ascii="Times New Roman" w:eastAsia="Calibri" w:hAnsi="Times New Roman" w:cs="Times New Roman"/>
                <w:b/>
                <w:bCs/>
                <w:sz w:val="20"/>
                <w:szCs w:val="20"/>
              </w:rPr>
              <w:t>01.01.2017</w:t>
            </w:r>
          </w:p>
        </w:tc>
        <w:tc>
          <w:tcPr>
            <w:tcW w:w="683" w:type="pct"/>
            <w:noWrap/>
            <w:vAlign w:val="center"/>
            <w:hideMark/>
          </w:tcPr>
          <w:p w14:paraId="49ED0005" w14:textId="77777777" w:rsidR="000854DB" w:rsidRPr="005C53F5" w:rsidRDefault="000854DB" w:rsidP="00057BE5">
            <w:pPr>
              <w:autoSpaceDE w:val="0"/>
              <w:autoSpaceDN w:val="0"/>
              <w:adjustRightInd w:val="0"/>
              <w:ind w:right="-74"/>
              <w:jc w:val="center"/>
              <w:rPr>
                <w:rFonts w:ascii="Times New Roman" w:eastAsia="Calibri" w:hAnsi="Times New Roman" w:cs="Times New Roman"/>
                <w:b/>
                <w:bCs/>
                <w:sz w:val="20"/>
                <w:szCs w:val="20"/>
              </w:rPr>
            </w:pPr>
            <w:r w:rsidRPr="005C53F5">
              <w:rPr>
                <w:rFonts w:ascii="Times New Roman" w:eastAsia="Calibri" w:hAnsi="Times New Roman" w:cs="Times New Roman"/>
                <w:b/>
                <w:bCs/>
                <w:sz w:val="20"/>
                <w:szCs w:val="20"/>
              </w:rPr>
              <w:t>01.01.2018</w:t>
            </w:r>
          </w:p>
        </w:tc>
        <w:tc>
          <w:tcPr>
            <w:tcW w:w="607" w:type="pct"/>
            <w:noWrap/>
            <w:vAlign w:val="center"/>
            <w:hideMark/>
          </w:tcPr>
          <w:p w14:paraId="24268A26" w14:textId="77777777" w:rsidR="000854DB" w:rsidRPr="005C53F5" w:rsidRDefault="000854DB" w:rsidP="00057BE5">
            <w:pPr>
              <w:autoSpaceDE w:val="0"/>
              <w:autoSpaceDN w:val="0"/>
              <w:adjustRightInd w:val="0"/>
              <w:ind w:right="-74"/>
              <w:jc w:val="center"/>
              <w:rPr>
                <w:rFonts w:ascii="Times New Roman" w:eastAsia="Calibri" w:hAnsi="Times New Roman" w:cs="Times New Roman"/>
                <w:b/>
                <w:bCs/>
                <w:sz w:val="20"/>
                <w:szCs w:val="20"/>
              </w:rPr>
            </w:pPr>
            <w:r w:rsidRPr="005C53F5">
              <w:rPr>
                <w:rFonts w:ascii="Times New Roman" w:eastAsia="Calibri" w:hAnsi="Times New Roman" w:cs="Times New Roman"/>
                <w:b/>
                <w:bCs/>
                <w:sz w:val="20"/>
                <w:szCs w:val="20"/>
              </w:rPr>
              <w:t>01.01.2019</w:t>
            </w:r>
          </w:p>
        </w:tc>
        <w:tc>
          <w:tcPr>
            <w:tcW w:w="603" w:type="pct"/>
            <w:noWrap/>
            <w:vAlign w:val="center"/>
            <w:hideMark/>
          </w:tcPr>
          <w:p w14:paraId="758E8E78" w14:textId="77777777" w:rsidR="000854DB" w:rsidRPr="005C53F5" w:rsidRDefault="000854DB" w:rsidP="00057BE5">
            <w:pPr>
              <w:autoSpaceDE w:val="0"/>
              <w:autoSpaceDN w:val="0"/>
              <w:adjustRightInd w:val="0"/>
              <w:jc w:val="center"/>
              <w:rPr>
                <w:rFonts w:ascii="Times New Roman" w:hAnsi="Times New Roman"/>
                <w:b/>
                <w:sz w:val="20"/>
                <w:lang w:val="en-US"/>
              </w:rPr>
            </w:pPr>
            <w:r w:rsidRPr="005C53F5">
              <w:rPr>
                <w:rFonts w:ascii="Times New Roman" w:eastAsia="Calibri" w:hAnsi="Times New Roman" w:cs="Times New Roman"/>
                <w:b/>
                <w:bCs/>
                <w:sz w:val="20"/>
                <w:szCs w:val="20"/>
              </w:rPr>
              <w:t>01.</w:t>
            </w:r>
            <w:r w:rsidRPr="005C53F5">
              <w:rPr>
                <w:rFonts w:ascii="Times New Roman" w:eastAsia="Calibri" w:hAnsi="Times New Roman" w:cs="Times New Roman"/>
                <w:b/>
                <w:bCs/>
                <w:sz w:val="20"/>
                <w:szCs w:val="20"/>
                <w:lang w:val="en-US"/>
              </w:rPr>
              <w:t>01</w:t>
            </w:r>
            <w:r w:rsidRPr="005C53F5">
              <w:rPr>
                <w:rFonts w:ascii="Times New Roman" w:eastAsia="Calibri" w:hAnsi="Times New Roman" w:cs="Times New Roman"/>
                <w:b/>
                <w:bCs/>
                <w:sz w:val="20"/>
                <w:szCs w:val="20"/>
              </w:rPr>
              <w:t>.</w:t>
            </w:r>
            <w:r w:rsidRPr="005C53F5">
              <w:rPr>
                <w:rFonts w:ascii="Times New Roman" w:eastAsia="Calibri" w:hAnsi="Times New Roman" w:cs="Times New Roman"/>
                <w:b/>
                <w:bCs/>
                <w:sz w:val="20"/>
                <w:szCs w:val="20"/>
                <w:lang w:val="en-US"/>
              </w:rPr>
              <w:t>2020</w:t>
            </w:r>
          </w:p>
        </w:tc>
      </w:tr>
      <w:tr w:rsidR="000854DB" w:rsidRPr="005C53F5" w14:paraId="06C1EA7A" w14:textId="77777777" w:rsidTr="007D69FB">
        <w:trPr>
          <w:trHeight w:val="301"/>
        </w:trPr>
        <w:tc>
          <w:tcPr>
            <w:tcW w:w="1059" w:type="pct"/>
            <w:hideMark/>
          </w:tcPr>
          <w:p w14:paraId="0DBCA210" w14:textId="01CB3BDC" w:rsidR="000854DB" w:rsidRPr="005C53F5" w:rsidRDefault="000854DB" w:rsidP="00057BE5">
            <w:pPr>
              <w:autoSpaceDE w:val="0"/>
              <w:autoSpaceDN w:val="0"/>
              <w:adjustRightInd w:val="0"/>
              <w:jc w:val="both"/>
              <w:rPr>
                <w:rFonts w:ascii="Times New Roman" w:eastAsia="Calibri" w:hAnsi="Times New Roman" w:cs="Times New Roman"/>
                <w:sz w:val="20"/>
                <w:szCs w:val="20"/>
              </w:rPr>
            </w:pPr>
            <w:r w:rsidRPr="005C53F5">
              <w:rPr>
                <w:rFonts w:ascii="Times New Roman" w:eastAsia="Calibri" w:hAnsi="Times New Roman" w:cs="Times New Roman"/>
                <w:sz w:val="20"/>
                <w:szCs w:val="20"/>
              </w:rPr>
              <w:t>Государственный и гарантированный государством внешний долг, млн долл. США</w:t>
            </w:r>
          </w:p>
        </w:tc>
        <w:tc>
          <w:tcPr>
            <w:tcW w:w="682" w:type="pct"/>
            <w:vAlign w:val="center"/>
            <w:hideMark/>
          </w:tcPr>
          <w:p w14:paraId="18A1F34A" w14:textId="4578F99F" w:rsidR="000854DB" w:rsidRPr="005C53F5" w:rsidRDefault="000854DB" w:rsidP="00057BE5">
            <w:pPr>
              <w:autoSpaceDE w:val="0"/>
              <w:autoSpaceDN w:val="0"/>
              <w:adjustRightInd w:val="0"/>
              <w:jc w:val="center"/>
              <w:rPr>
                <w:rFonts w:ascii="Times New Roman" w:eastAsia="Calibri" w:hAnsi="Times New Roman" w:cs="Times New Roman"/>
                <w:sz w:val="20"/>
                <w:szCs w:val="20"/>
              </w:rPr>
            </w:pPr>
            <w:r w:rsidRPr="005C53F5">
              <w:rPr>
                <w:rFonts w:ascii="Times New Roman" w:eastAsia="Calibri" w:hAnsi="Times New Roman" w:cs="Times New Roman"/>
                <w:sz w:val="20"/>
                <w:szCs w:val="20"/>
              </w:rPr>
              <w:t>8 285,9</w:t>
            </w:r>
          </w:p>
        </w:tc>
        <w:tc>
          <w:tcPr>
            <w:tcW w:w="682" w:type="pct"/>
            <w:vAlign w:val="center"/>
            <w:hideMark/>
          </w:tcPr>
          <w:p w14:paraId="17FF2F8F" w14:textId="4D0D2BE4" w:rsidR="000854DB" w:rsidRPr="005C53F5" w:rsidRDefault="000854DB" w:rsidP="00057BE5">
            <w:pPr>
              <w:autoSpaceDE w:val="0"/>
              <w:autoSpaceDN w:val="0"/>
              <w:adjustRightInd w:val="0"/>
              <w:jc w:val="center"/>
              <w:rPr>
                <w:rFonts w:ascii="Times New Roman" w:eastAsia="Calibri" w:hAnsi="Times New Roman" w:cs="Times New Roman"/>
                <w:sz w:val="20"/>
                <w:szCs w:val="20"/>
              </w:rPr>
            </w:pPr>
            <w:r w:rsidRPr="005C53F5">
              <w:rPr>
                <w:rFonts w:ascii="Times New Roman" w:eastAsia="Calibri" w:hAnsi="Times New Roman" w:cs="Times New Roman"/>
                <w:sz w:val="20"/>
                <w:szCs w:val="20"/>
              </w:rPr>
              <w:t>13 380,2</w:t>
            </w:r>
          </w:p>
        </w:tc>
        <w:tc>
          <w:tcPr>
            <w:tcW w:w="683" w:type="pct"/>
            <w:vAlign w:val="center"/>
            <w:hideMark/>
          </w:tcPr>
          <w:p w14:paraId="33D033FA" w14:textId="0D59AF96" w:rsidR="000854DB" w:rsidRPr="005C53F5" w:rsidRDefault="000854DB" w:rsidP="00057BE5">
            <w:pPr>
              <w:autoSpaceDE w:val="0"/>
              <w:autoSpaceDN w:val="0"/>
              <w:adjustRightInd w:val="0"/>
              <w:jc w:val="center"/>
              <w:rPr>
                <w:rFonts w:ascii="Times New Roman" w:eastAsia="Calibri" w:hAnsi="Times New Roman" w:cs="Times New Roman"/>
                <w:sz w:val="20"/>
                <w:szCs w:val="20"/>
              </w:rPr>
            </w:pPr>
            <w:r w:rsidRPr="005C53F5">
              <w:rPr>
                <w:rFonts w:ascii="Times New Roman" w:eastAsia="Calibri" w:hAnsi="Times New Roman" w:cs="Times New Roman"/>
                <w:sz w:val="20"/>
                <w:szCs w:val="20"/>
              </w:rPr>
              <w:t>14 691,9</w:t>
            </w:r>
          </w:p>
        </w:tc>
        <w:tc>
          <w:tcPr>
            <w:tcW w:w="683" w:type="pct"/>
            <w:vAlign w:val="center"/>
            <w:hideMark/>
          </w:tcPr>
          <w:p w14:paraId="5566CC0B" w14:textId="44B1B43B" w:rsidR="000854DB" w:rsidRPr="005C53F5" w:rsidRDefault="000854DB" w:rsidP="00057BE5">
            <w:pPr>
              <w:autoSpaceDE w:val="0"/>
              <w:autoSpaceDN w:val="0"/>
              <w:adjustRightInd w:val="0"/>
              <w:jc w:val="center"/>
              <w:rPr>
                <w:rFonts w:ascii="Times New Roman" w:eastAsia="Calibri" w:hAnsi="Times New Roman" w:cs="Times New Roman"/>
                <w:sz w:val="20"/>
                <w:szCs w:val="20"/>
              </w:rPr>
            </w:pPr>
            <w:r w:rsidRPr="005C53F5">
              <w:rPr>
                <w:rFonts w:ascii="Times New Roman" w:eastAsia="Calibri" w:hAnsi="Times New Roman" w:cs="Times New Roman"/>
                <w:sz w:val="20"/>
                <w:szCs w:val="20"/>
              </w:rPr>
              <w:t>15 062,6</w:t>
            </w:r>
          </w:p>
        </w:tc>
        <w:tc>
          <w:tcPr>
            <w:tcW w:w="607" w:type="pct"/>
            <w:vAlign w:val="center"/>
            <w:hideMark/>
          </w:tcPr>
          <w:p w14:paraId="63AEB41C" w14:textId="705C11C0" w:rsidR="000854DB" w:rsidRPr="005C53F5" w:rsidRDefault="000854DB" w:rsidP="00057BE5">
            <w:pPr>
              <w:autoSpaceDE w:val="0"/>
              <w:autoSpaceDN w:val="0"/>
              <w:adjustRightInd w:val="0"/>
              <w:jc w:val="center"/>
              <w:rPr>
                <w:rFonts w:ascii="Times New Roman" w:eastAsia="Calibri" w:hAnsi="Times New Roman" w:cs="Times New Roman"/>
                <w:sz w:val="20"/>
                <w:szCs w:val="20"/>
              </w:rPr>
            </w:pPr>
            <w:r w:rsidRPr="005C53F5">
              <w:rPr>
                <w:rFonts w:ascii="Times New Roman" w:eastAsia="Calibri" w:hAnsi="Times New Roman" w:cs="Times New Roman"/>
                <w:sz w:val="20"/>
                <w:szCs w:val="20"/>
              </w:rPr>
              <w:t>16 273,5</w:t>
            </w:r>
          </w:p>
        </w:tc>
        <w:tc>
          <w:tcPr>
            <w:tcW w:w="603" w:type="pct"/>
            <w:vAlign w:val="center"/>
            <w:hideMark/>
          </w:tcPr>
          <w:p w14:paraId="40408883" w14:textId="1721D62F" w:rsidR="000854DB" w:rsidRPr="005C53F5" w:rsidRDefault="000854DB" w:rsidP="00057BE5">
            <w:pPr>
              <w:autoSpaceDE w:val="0"/>
              <w:autoSpaceDN w:val="0"/>
              <w:adjustRightInd w:val="0"/>
              <w:jc w:val="center"/>
              <w:rPr>
                <w:rFonts w:ascii="Times New Roman" w:hAnsi="Times New Roman"/>
                <w:sz w:val="20"/>
                <w:lang w:val="en-US"/>
              </w:rPr>
            </w:pPr>
            <w:r w:rsidRPr="005C53F5">
              <w:rPr>
                <w:rFonts w:ascii="Times New Roman" w:eastAsia="Calibri" w:hAnsi="Times New Roman" w:cs="Times New Roman"/>
                <w:sz w:val="20"/>
                <w:szCs w:val="20"/>
              </w:rPr>
              <w:t>16 796,9</w:t>
            </w:r>
          </w:p>
        </w:tc>
      </w:tr>
      <w:tr w:rsidR="000854DB" w:rsidRPr="005C53F5" w14:paraId="1B39FD9A" w14:textId="77777777" w:rsidTr="007D69FB">
        <w:trPr>
          <w:trHeight w:val="301"/>
        </w:trPr>
        <w:tc>
          <w:tcPr>
            <w:tcW w:w="1059" w:type="pct"/>
            <w:hideMark/>
          </w:tcPr>
          <w:p w14:paraId="584CF87A" w14:textId="77777777" w:rsidR="000854DB" w:rsidRPr="005C53F5" w:rsidRDefault="000854DB" w:rsidP="00057BE5">
            <w:pPr>
              <w:autoSpaceDE w:val="0"/>
              <w:autoSpaceDN w:val="0"/>
              <w:adjustRightInd w:val="0"/>
              <w:jc w:val="both"/>
              <w:rPr>
                <w:rFonts w:ascii="Times New Roman" w:eastAsia="Calibri" w:hAnsi="Times New Roman" w:cs="Times New Roman"/>
                <w:sz w:val="20"/>
                <w:szCs w:val="20"/>
              </w:rPr>
            </w:pPr>
            <w:r w:rsidRPr="005C53F5">
              <w:rPr>
                <w:rFonts w:ascii="Times New Roman" w:eastAsia="Calibri" w:hAnsi="Times New Roman" w:cs="Times New Roman"/>
                <w:sz w:val="20"/>
                <w:szCs w:val="20"/>
              </w:rPr>
              <w:t>% от ВВП</w:t>
            </w:r>
          </w:p>
        </w:tc>
        <w:tc>
          <w:tcPr>
            <w:tcW w:w="682" w:type="pct"/>
            <w:vAlign w:val="center"/>
            <w:hideMark/>
          </w:tcPr>
          <w:p w14:paraId="1BE535F7" w14:textId="08227E0D" w:rsidR="000854DB" w:rsidRPr="005C53F5" w:rsidRDefault="000854DB" w:rsidP="00057BE5">
            <w:pPr>
              <w:autoSpaceDE w:val="0"/>
              <w:autoSpaceDN w:val="0"/>
              <w:adjustRightInd w:val="0"/>
              <w:jc w:val="center"/>
              <w:rPr>
                <w:rFonts w:ascii="Times New Roman" w:eastAsia="Calibri" w:hAnsi="Times New Roman" w:cs="Times New Roman"/>
                <w:sz w:val="20"/>
                <w:szCs w:val="20"/>
              </w:rPr>
            </w:pPr>
            <w:r w:rsidRPr="005C53F5">
              <w:rPr>
                <w:rFonts w:ascii="Times New Roman" w:eastAsia="Calibri" w:hAnsi="Times New Roman" w:cs="Times New Roman"/>
                <w:sz w:val="20"/>
                <w:szCs w:val="20"/>
              </w:rPr>
              <w:t>3,7%</w:t>
            </w:r>
          </w:p>
        </w:tc>
        <w:tc>
          <w:tcPr>
            <w:tcW w:w="682" w:type="pct"/>
            <w:vAlign w:val="center"/>
            <w:hideMark/>
          </w:tcPr>
          <w:p w14:paraId="43540FCF" w14:textId="77777777" w:rsidR="000854DB" w:rsidRPr="005C53F5" w:rsidRDefault="000854DB" w:rsidP="00057BE5">
            <w:pPr>
              <w:autoSpaceDE w:val="0"/>
              <w:autoSpaceDN w:val="0"/>
              <w:adjustRightInd w:val="0"/>
              <w:jc w:val="center"/>
              <w:rPr>
                <w:rFonts w:ascii="Times New Roman" w:eastAsia="Calibri" w:hAnsi="Times New Roman" w:cs="Times New Roman"/>
                <w:sz w:val="20"/>
                <w:szCs w:val="20"/>
              </w:rPr>
            </w:pPr>
            <w:r w:rsidRPr="005C53F5">
              <w:rPr>
                <w:rFonts w:ascii="Times New Roman" w:eastAsia="Calibri" w:hAnsi="Times New Roman" w:cs="Times New Roman"/>
                <w:sz w:val="20"/>
                <w:szCs w:val="20"/>
              </w:rPr>
              <w:t>7,3%</w:t>
            </w:r>
          </w:p>
        </w:tc>
        <w:tc>
          <w:tcPr>
            <w:tcW w:w="683" w:type="pct"/>
            <w:vAlign w:val="center"/>
            <w:hideMark/>
          </w:tcPr>
          <w:p w14:paraId="0AEF5231" w14:textId="77777777" w:rsidR="000854DB" w:rsidRPr="005C53F5" w:rsidRDefault="000854DB" w:rsidP="00057BE5">
            <w:pPr>
              <w:autoSpaceDE w:val="0"/>
              <w:autoSpaceDN w:val="0"/>
              <w:adjustRightInd w:val="0"/>
              <w:jc w:val="center"/>
              <w:rPr>
                <w:rFonts w:ascii="Times New Roman" w:eastAsia="Calibri" w:hAnsi="Times New Roman" w:cs="Times New Roman"/>
                <w:sz w:val="20"/>
                <w:szCs w:val="20"/>
              </w:rPr>
            </w:pPr>
            <w:r w:rsidRPr="005C53F5">
              <w:rPr>
                <w:rFonts w:ascii="Times New Roman" w:eastAsia="Calibri" w:hAnsi="Times New Roman" w:cs="Times New Roman"/>
                <w:sz w:val="20"/>
                <w:szCs w:val="20"/>
              </w:rPr>
              <w:t>10,7%</w:t>
            </w:r>
          </w:p>
        </w:tc>
        <w:tc>
          <w:tcPr>
            <w:tcW w:w="683" w:type="pct"/>
            <w:vAlign w:val="center"/>
            <w:hideMark/>
          </w:tcPr>
          <w:p w14:paraId="1A30DB0C" w14:textId="77777777" w:rsidR="000854DB" w:rsidRPr="005C53F5" w:rsidRDefault="000854DB" w:rsidP="00057BE5">
            <w:pPr>
              <w:autoSpaceDE w:val="0"/>
              <w:autoSpaceDN w:val="0"/>
              <w:adjustRightInd w:val="0"/>
              <w:jc w:val="center"/>
              <w:rPr>
                <w:rFonts w:ascii="Times New Roman" w:eastAsia="Calibri" w:hAnsi="Times New Roman" w:cs="Times New Roman"/>
                <w:sz w:val="20"/>
                <w:szCs w:val="20"/>
              </w:rPr>
            </w:pPr>
            <w:r w:rsidRPr="005C53F5">
              <w:rPr>
                <w:rFonts w:ascii="Times New Roman" w:eastAsia="Calibri" w:hAnsi="Times New Roman" w:cs="Times New Roman"/>
                <w:sz w:val="20"/>
                <w:szCs w:val="20"/>
              </w:rPr>
              <w:t>9,0%</w:t>
            </w:r>
          </w:p>
        </w:tc>
        <w:tc>
          <w:tcPr>
            <w:tcW w:w="607" w:type="pct"/>
            <w:vAlign w:val="center"/>
            <w:hideMark/>
          </w:tcPr>
          <w:p w14:paraId="5F502C81" w14:textId="77777777" w:rsidR="000854DB" w:rsidRPr="005C53F5" w:rsidRDefault="000854DB" w:rsidP="00057BE5">
            <w:pPr>
              <w:autoSpaceDE w:val="0"/>
              <w:autoSpaceDN w:val="0"/>
              <w:adjustRightInd w:val="0"/>
              <w:jc w:val="center"/>
              <w:rPr>
                <w:rFonts w:ascii="Times New Roman" w:eastAsia="Calibri" w:hAnsi="Times New Roman" w:cs="Times New Roman"/>
                <w:sz w:val="20"/>
                <w:szCs w:val="20"/>
              </w:rPr>
            </w:pPr>
            <w:r w:rsidRPr="005C53F5">
              <w:rPr>
                <w:rFonts w:ascii="Times New Roman" w:eastAsia="Calibri" w:hAnsi="Times New Roman" w:cs="Times New Roman"/>
                <w:sz w:val="20"/>
                <w:szCs w:val="20"/>
              </w:rPr>
              <w:t>9,1%</w:t>
            </w:r>
          </w:p>
        </w:tc>
        <w:tc>
          <w:tcPr>
            <w:tcW w:w="603" w:type="pct"/>
            <w:shd w:val="clear" w:color="auto" w:fill="auto"/>
            <w:vAlign w:val="center"/>
            <w:hideMark/>
          </w:tcPr>
          <w:p w14:paraId="21C84634" w14:textId="2E4A7C4F" w:rsidR="000854DB" w:rsidRPr="005C53F5" w:rsidRDefault="000854DB" w:rsidP="00057BE5">
            <w:pPr>
              <w:autoSpaceDE w:val="0"/>
              <w:autoSpaceDN w:val="0"/>
              <w:adjustRightInd w:val="0"/>
              <w:jc w:val="center"/>
              <w:rPr>
                <w:rFonts w:ascii="Times New Roman" w:eastAsia="Calibri" w:hAnsi="Times New Roman" w:cs="Times New Roman"/>
                <w:sz w:val="20"/>
                <w:szCs w:val="20"/>
              </w:rPr>
            </w:pPr>
            <w:r w:rsidRPr="005C53F5">
              <w:rPr>
                <w:rFonts w:ascii="Times New Roman" w:eastAsia="Calibri" w:hAnsi="Times New Roman" w:cs="Times New Roman"/>
                <w:sz w:val="20"/>
                <w:szCs w:val="20"/>
              </w:rPr>
              <w:t>9,4%</w:t>
            </w:r>
          </w:p>
        </w:tc>
      </w:tr>
    </w:tbl>
    <w:p w14:paraId="1AC2C614" w14:textId="7A8FB664" w:rsidR="000854DB" w:rsidRPr="005C53F5" w:rsidRDefault="000854DB" w:rsidP="00057BE5">
      <w:pPr>
        <w:spacing w:after="0" w:line="240" w:lineRule="auto"/>
        <w:jc w:val="both"/>
        <w:rPr>
          <w:rFonts w:ascii="Times New Roman" w:eastAsia="Calibri" w:hAnsi="Times New Roman" w:cs="Times New Roman"/>
          <w:i/>
          <w:iCs/>
          <w:sz w:val="20"/>
          <w:szCs w:val="20"/>
        </w:rPr>
      </w:pPr>
      <w:r w:rsidRPr="005C53F5">
        <w:rPr>
          <w:rFonts w:ascii="Times New Roman" w:eastAsia="Calibri" w:hAnsi="Times New Roman" w:cs="Times New Roman"/>
          <w:i/>
          <w:iCs/>
          <w:sz w:val="20"/>
          <w:szCs w:val="20"/>
        </w:rPr>
        <w:t>Источник: Министерство финансов Республики Казахстан.</w:t>
      </w:r>
    </w:p>
    <w:p w14:paraId="3D35AB88" w14:textId="185D751A" w:rsidR="000854DB" w:rsidRPr="005C53F5" w:rsidRDefault="000854DB" w:rsidP="00057BE5">
      <w:pPr>
        <w:autoSpaceDE w:val="0"/>
        <w:autoSpaceDN w:val="0"/>
        <w:adjustRightInd w:val="0"/>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рассматриваемом периоде наблюдается увеличение внешнего долга (государственного и гарантированного государством) в процентной доле от всего внешнего долга. По состоянию на 01.01.2014, 01.01.2015, 01.01.2016, 01.01.2017, 01.01.2018, 01.01.2019 и 01.01.2020 внешний государственный и гарантированный государством долг составлял 5 596,1 млн долларов США, 8 285,9 млн долларов США, 13 380,2 млн долларов</w:t>
      </w:r>
      <w:r w:rsidRPr="005C53F5" w:rsidDel="00395AAF">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США, 14 691,9 млн долларов США, 15 062,6 млн долларов США, 16 273,5 млн долларов США, 16 796,9 млн долларов США.</w:t>
      </w:r>
    </w:p>
    <w:p w14:paraId="7AAB0D16" w14:textId="50E3EC01"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Государственный долг Республики Казахстан:</w:t>
      </w:r>
    </w:p>
    <w:tbl>
      <w:tblPr>
        <w:tblStyle w:val="60"/>
        <w:tblW w:w="0" w:type="auto"/>
        <w:tblInd w:w="-500" w:type="dxa"/>
        <w:tblLayout w:type="fixed"/>
        <w:tblLook w:val="04A0" w:firstRow="1" w:lastRow="0" w:firstColumn="1" w:lastColumn="0" w:noHBand="0" w:noVBand="1"/>
      </w:tblPr>
      <w:tblGrid>
        <w:gridCol w:w="1629"/>
        <w:gridCol w:w="708"/>
        <w:gridCol w:w="708"/>
        <w:gridCol w:w="709"/>
        <w:gridCol w:w="708"/>
        <w:gridCol w:w="708"/>
        <w:gridCol w:w="709"/>
        <w:gridCol w:w="708"/>
        <w:gridCol w:w="708"/>
        <w:gridCol w:w="709"/>
        <w:gridCol w:w="708"/>
        <w:gridCol w:w="708"/>
        <w:gridCol w:w="709"/>
      </w:tblGrid>
      <w:tr w:rsidR="0034307C" w:rsidRPr="005C53F5" w14:paraId="26E5A834" w14:textId="77777777" w:rsidTr="00111CB6">
        <w:trPr>
          <w:trHeight w:val="300"/>
          <w:tblHeader/>
        </w:trPr>
        <w:tc>
          <w:tcPr>
            <w:tcW w:w="1629" w:type="dxa"/>
            <w:vMerge w:val="restart"/>
            <w:noWrap/>
            <w:vAlign w:val="center"/>
            <w:hideMark/>
          </w:tcPr>
          <w:p w14:paraId="2EA54BD2"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Наименование показателей</w:t>
            </w:r>
          </w:p>
        </w:tc>
        <w:tc>
          <w:tcPr>
            <w:tcW w:w="1416" w:type="dxa"/>
            <w:gridSpan w:val="2"/>
            <w:vAlign w:val="center"/>
            <w:hideMark/>
          </w:tcPr>
          <w:p w14:paraId="165A836B"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2014</w:t>
            </w:r>
          </w:p>
        </w:tc>
        <w:tc>
          <w:tcPr>
            <w:tcW w:w="1417" w:type="dxa"/>
            <w:gridSpan w:val="2"/>
            <w:noWrap/>
            <w:vAlign w:val="center"/>
            <w:hideMark/>
          </w:tcPr>
          <w:p w14:paraId="29706854"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2015</w:t>
            </w:r>
          </w:p>
        </w:tc>
        <w:tc>
          <w:tcPr>
            <w:tcW w:w="1417" w:type="dxa"/>
            <w:gridSpan w:val="2"/>
            <w:noWrap/>
            <w:vAlign w:val="center"/>
            <w:hideMark/>
          </w:tcPr>
          <w:p w14:paraId="585F2ACB"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2016</w:t>
            </w:r>
          </w:p>
        </w:tc>
        <w:tc>
          <w:tcPr>
            <w:tcW w:w="1416" w:type="dxa"/>
            <w:gridSpan w:val="2"/>
            <w:noWrap/>
            <w:vAlign w:val="center"/>
            <w:hideMark/>
          </w:tcPr>
          <w:p w14:paraId="55F98423"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2017</w:t>
            </w:r>
          </w:p>
        </w:tc>
        <w:tc>
          <w:tcPr>
            <w:tcW w:w="1417" w:type="dxa"/>
            <w:gridSpan w:val="2"/>
            <w:noWrap/>
            <w:vAlign w:val="center"/>
            <w:hideMark/>
          </w:tcPr>
          <w:p w14:paraId="604F1D1D"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2018</w:t>
            </w:r>
          </w:p>
        </w:tc>
        <w:tc>
          <w:tcPr>
            <w:tcW w:w="1417" w:type="dxa"/>
            <w:gridSpan w:val="2"/>
            <w:noWrap/>
            <w:vAlign w:val="center"/>
            <w:hideMark/>
          </w:tcPr>
          <w:p w14:paraId="561CB8AD"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2019</w:t>
            </w:r>
          </w:p>
        </w:tc>
      </w:tr>
      <w:tr w:rsidR="0034307C" w:rsidRPr="005C53F5" w14:paraId="567E2C35" w14:textId="77777777" w:rsidTr="00111CB6">
        <w:trPr>
          <w:trHeight w:val="300"/>
          <w:tblHeader/>
        </w:trPr>
        <w:tc>
          <w:tcPr>
            <w:tcW w:w="1629" w:type="dxa"/>
            <w:vMerge/>
            <w:vAlign w:val="center"/>
            <w:hideMark/>
          </w:tcPr>
          <w:p w14:paraId="5372A72F"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p>
        </w:tc>
        <w:tc>
          <w:tcPr>
            <w:tcW w:w="708" w:type="dxa"/>
            <w:vAlign w:val="center"/>
            <w:hideMark/>
          </w:tcPr>
          <w:p w14:paraId="70849D2C"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тыс. тенге</w:t>
            </w:r>
          </w:p>
        </w:tc>
        <w:tc>
          <w:tcPr>
            <w:tcW w:w="708" w:type="dxa"/>
            <w:vAlign w:val="center"/>
            <w:hideMark/>
          </w:tcPr>
          <w:p w14:paraId="2A8E9ECA"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тыс.</w:t>
            </w:r>
          </w:p>
          <w:p w14:paraId="3C6E8453"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долл.</w:t>
            </w:r>
          </w:p>
          <w:p w14:paraId="76D72EEE"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США</w:t>
            </w:r>
          </w:p>
        </w:tc>
        <w:tc>
          <w:tcPr>
            <w:tcW w:w="709" w:type="dxa"/>
            <w:vAlign w:val="center"/>
            <w:hideMark/>
          </w:tcPr>
          <w:p w14:paraId="383044F1"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тыс. тенге</w:t>
            </w:r>
          </w:p>
        </w:tc>
        <w:tc>
          <w:tcPr>
            <w:tcW w:w="708" w:type="dxa"/>
            <w:vAlign w:val="center"/>
            <w:hideMark/>
          </w:tcPr>
          <w:p w14:paraId="2ED19B5B"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тыс.</w:t>
            </w:r>
          </w:p>
          <w:p w14:paraId="3A41C8AD"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долл.</w:t>
            </w:r>
          </w:p>
          <w:p w14:paraId="08BC6DCB"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США</w:t>
            </w:r>
          </w:p>
        </w:tc>
        <w:tc>
          <w:tcPr>
            <w:tcW w:w="708" w:type="dxa"/>
            <w:vAlign w:val="center"/>
            <w:hideMark/>
          </w:tcPr>
          <w:p w14:paraId="3FCCA929"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тыс. тенге</w:t>
            </w:r>
          </w:p>
        </w:tc>
        <w:tc>
          <w:tcPr>
            <w:tcW w:w="709" w:type="dxa"/>
            <w:vAlign w:val="center"/>
            <w:hideMark/>
          </w:tcPr>
          <w:p w14:paraId="29826E60"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тыс.</w:t>
            </w:r>
          </w:p>
          <w:p w14:paraId="0BD1229C"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долл.</w:t>
            </w:r>
          </w:p>
          <w:p w14:paraId="712963F4"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США</w:t>
            </w:r>
          </w:p>
        </w:tc>
        <w:tc>
          <w:tcPr>
            <w:tcW w:w="708" w:type="dxa"/>
            <w:vAlign w:val="center"/>
            <w:hideMark/>
          </w:tcPr>
          <w:p w14:paraId="5BEC8B10"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тыс. тенге</w:t>
            </w:r>
          </w:p>
        </w:tc>
        <w:tc>
          <w:tcPr>
            <w:tcW w:w="708" w:type="dxa"/>
            <w:vAlign w:val="center"/>
            <w:hideMark/>
          </w:tcPr>
          <w:p w14:paraId="1C9FD5BB"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тыс.</w:t>
            </w:r>
          </w:p>
          <w:p w14:paraId="3AD73682"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долл.</w:t>
            </w:r>
          </w:p>
          <w:p w14:paraId="6D52EF51"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США</w:t>
            </w:r>
          </w:p>
        </w:tc>
        <w:tc>
          <w:tcPr>
            <w:tcW w:w="709" w:type="dxa"/>
            <w:vAlign w:val="center"/>
            <w:hideMark/>
          </w:tcPr>
          <w:p w14:paraId="21B3EB51"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тыс. тенге</w:t>
            </w:r>
          </w:p>
        </w:tc>
        <w:tc>
          <w:tcPr>
            <w:tcW w:w="708" w:type="dxa"/>
            <w:vAlign w:val="center"/>
            <w:hideMark/>
          </w:tcPr>
          <w:p w14:paraId="0E5743B1"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тыс.</w:t>
            </w:r>
          </w:p>
          <w:p w14:paraId="44CC98CB"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долл.</w:t>
            </w:r>
          </w:p>
          <w:p w14:paraId="780E8620"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США</w:t>
            </w:r>
          </w:p>
        </w:tc>
        <w:tc>
          <w:tcPr>
            <w:tcW w:w="708" w:type="dxa"/>
            <w:vAlign w:val="center"/>
            <w:hideMark/>
          </w:tcPr>
          <w:p w14:paraId="603C666B"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тыс. тенге</w:t>
            </w:r>
          </w:p>
        </w:tc>
        <w:tc>
          <w:tcPr>
            <w:tcW w:w="709" w:type="dxa"/>
            <w:vAlign w:val="center"/>
            <w:hideMark/>
          </w:tcPr>
          <w:p w14:paraId="08320D30"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тыс.</w:t>
            </w:r>
          </w:p>
          <w:p w14:paraId="033096A6"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долл.</w:t>
            </w:r>
          </w:p>
          <w:p w14:paraId="7A101839"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США</w:t>
            </w:r>
          </w:p>
        </w:tc>
      </w:tr>
      <w:tr w:rsidR="0034307C" w:rsidRPr="005C53F5" w14:paraId="27905EC1" w14:textId="77777777" w:rsidTr="00111CB6">
        <w:trPr>
          <w:cantSplit/>
          <w:trHeight w:val="1406"/>
        </w:trPr>
        <w:tc>
          <w:tcPr>
            <w:tcW w:w="1629" w:type="dxa"/>
            <w:vAlign w:val="center"/>
            <w:hideMark/>
          </w:tcPr>
          <w:p w14:paraId="4172D495"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Государственный долг</w:t>
            </w:r>
          </w:p>
        </w:tc>
        <w:tc>
          <w:tcPr>
            <w:tcW w:w="708" w:type="dxa"/>
            <w:noWrap/>
            <w:textDirection w:val="btLr"/>
            <w:vAlign w:val="center"/>
            <w:hideMark/>
          </w:tcPr>
          <w:p w14:paraId="6D521E1C" w14:textId="79E9B5D4"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5 655 411 258 </w:t>
            </w:r>
          </w:p>
        </w:tc>
        <w:tc>
          <w:tcPr>
            <w:tcW w:w="708" w:type="dxa"/>
            <w:noWrap/>
            <w:textDirection w:val="btLr"/>
            <w:vAlign w:val="center"/>
            <w:hideMark/>
          </w:tcPr>
          <w:p w14:paraId="025A0B0B" w14:textId="6AE56479"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31 014 046 </w:t>
            </w:r>
          </w:p>
        </w:tc>
        <w:tc>
          <w:tcPr>
            <w:tcW w:w="709" w:type="dxa"/>
            <w:noWrap/>
            <w:textDirection w:val="btLr"/>
            <w:vAlign w:val="center"/>
            <w:hideMark/>
          </w:tcPr>
          <w:p w14:paraId="536643A4" w14:textId="5AD6009D"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9 022 195 007 </w:t>
            </w:r>
          </w:p>
        </w:tc>
        <w:tc>
          <w:tcPr>
            <w:tcW w:w="708" w:type="dxa"/>
            <w:noWrap/>
            <w:textDirection w:val="btLr"/>
            <w:vAlign w:val="center"/>
            <w:hideMark/>
          </w:tcPr>
          <w:p w14:paraId="153DCF96" w14:textId="3018271D"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26 577 297 </w:t>
            </w:r>
          </w:p>
        </w:tc>
        <w:tc>
          <w:tcPr>
            <w:tcW w:w="708" w:type="dxa"/>
            <w:noWrap/>
            <w:textDirection w:val="btLr"/>
            <w:vAlign w:val="center"/>
            <w:hideMark/>
          </w:tcPr>
          <w:p w14:paraId="7F517246" w14:textId="4FD53D46"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11 436 642 670 </w:t>
            </w:r>
          </w:p>
        </w:tc>
        <w:tc>
          <w:tcPr>
            <w:tcW w:w="709" w:type="dxa"/>
            <w:noWrap/>
            <w:textDirection w:val="btLr"/>
            <w:vAlign w:val="center"/>
            <w:hideMark/>
          </w:tcPr>
          <w:p w14:paraId="7299DDE3" w14:textId="0C869F7D"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34 314 389 </w:t>
            </w:r>
          </w:p>
        </w:tc>
        <w:tc>
          <w:tcPr>
            <w:tcW w:w="708" w:type="dxa"/>
            <w:noWrap/>
            <w:textDirection w:val="btLr"/>
            <w:vAlign w:val="center"/>
            <w:hideMark/>
          </w:tcPr>
          <w:p w14:paraId="13E2546A" w14:textId="5F4128BD"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13 504 221 134 </w:t>
            </w:r>
          </w:p>
        </w:tc>
        <w:tc>
          <w:tcPr>
            <w:tcW w:w="708" w:type="dxa"/>
            <w:noWrap/>
            <w:textDirection w:val="btLr"/>
            <w:vAlign w:val="center"/>
            <w:hideMark/>
          </w:tcPr>
          <w:p w14:paraId="6CCD1F3A" w14:textId="540DCFFF"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40 634 975 </w:t>
            </w:r>
          </w:p>
        </w:tc>
        <w:tc>
          <w:tcPr>
            <w:tcW w:w="709" w:type="dxa"/>
            <w:noWrap/>
            <w:textDirection w:val="btLr"/>
            <w:vAlign w:val="center"/>
            <w:hideMark/>
          </w:tcPr>
          <w:p w14:paraId="1433E12B" w14:textId="708E68C2"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15 387 211 551 </w:t>
            </w:r>
          </w:p>
        </w:tc>
        <w:tc>
          <w:tcPr>
            <w:tcW w:w="708" w:type="dxa"/>
            <w:noWrap/>
            <w:textDirection w:val="btLr"/>
            <w:vAlign w:val="center"/>
            <w:hideMark/>
          </w:tcPr>
          <w:p w14:paraId="2551F415" w14:textId="51D5C0FD"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40 050 004 </w:t>
            </w:r>
          </w:p>
        </w:tc>
        <w:tc>
          <w:tcPr>
            <w:tcW w:w="708" w:type="dxa"/>
            <w:noWrap/>
            <w:textDirection w:val="btLr"/>
            <w:vAlign w:val="center"/>
            <w:hideMark/>
          </w:tcPr>
          <w:p w14:paraId="540D8BB7" w14:textId="385FB1BF"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16 486 847 268</w:t>
            </w:r>
          </w:p>
        </w:tc>
        <w:tc>
          <w:tcPr>
            <w:tcW w:w="709" w:type="dxa"/>
            <w:noWrap/>
            <w:textDirection w:val="btLr"/>
            <w:vAlign w:val="center"/>
            <w:hideMark/>
          </w:tcPr>
          <w:p w14:paraId="26B5CD44" w14:textId="17D77D29"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43 252 131</w:t>
            </w:r>
          </w:p>
        </w:tc>
      </w:tr>
      <w:tr w:rsidR="0034307C" w:rsidRPr="005C53F5" w14:paraId="3899A12B" w14:textId="77777777" w:rsidTr="00111CB6">
        <w:trPr>
          <w:cantSplit/>
          <w:trHeight w:val="1256"/>
        </w:trPr>
        <w:tc>
          <w:tcPr>
            <w:tcW w:w="1629" w:type="dxa"/>
            <w:vAlign w:val="center"/>
            <w:hideMark/>
          </w:tcPr>
          <w:p w14:paraId="688FDCAA"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Долг Правительства Республики Казахстан </w:t>
            </w:r>
          </w:p>
        </w:tc>
        <w:tc>
          <w:tcPr>
            <w:tcW w:w="708" w:type="dxa"/>
            <w:noWrap/>
            <w:textDirection w:val="btLr"/>
            <w:vAlign w:val="center"/>
            <w:hideMark/>
          </w:tcPr>
          <w:p w14:paraId="72115BB1" w14:textId="7978B69F"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5 613 052 661 </w:t>
            </w:r>
          </w:p>
        </w:tc>
        <w:tc>
          <w:tcPr>
            <w:tcW w:w="708" w:type="dxa"/>
            <w:noWrap/>
            <w:textDirection w:val="btLr"/>
            <w:vAlign w:val="center"/>
            <w:hideMark/>
          </w:tcPr>
          <w:p w14:paraId="1EF791C2" w14:textId="3831753B"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30 781 753 </w:t>
            </w:r>
          </w:p>
        </w:tc>
        <w:tc>
          <w:tcPr>
            <w:tcW w:w="709" w:type="dxa"/>
            <w:noWrap/>
            <w:textDirection w:val="btLr"/>
            <w:vAlign w:val="center"/>
            <w:hideMark/>
          </w:tcPr>
          <w:p w14:paraId="1A9F8E14" w14:textId="3CC581C3"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8 665 700 311 </w:t>
            </w:r>
          </w:p>
        </w:tc>
        <w:tc>
          <w:tcPr>
            <w:tcW w:w="708" w:type="dxa"/>
            <w:noWrap/>
            <w:textDirection w:val="btLr"/>
            <w:vAlign w:val="center"/>
            <w:hideMark/>
          </w:tcPr>
          <w:p w14:paraId="761A5D7E" w14:textId="7F2E2F16"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25 527 146 </w:t>
            </w:r>
          </w:p>
        </w:tc>
        <w:tc>
          <w:tcPr>
            <w:tcW w:w="708" w:type="dxa"/>
            <w:noWrap/>
            <w:textDirection w:val="btLr"/>
            <w:vAlign w:val="center"/>
            <w:hideMark/>
          </w:tcPr>
          <w:p w14:paraId="6C81AEDF" w14:textId="784D3B2D"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8 877 276 516 </w:t>
            </w:r>
          </w:p>
        </w:tc>
        <w:tc>
          <w:tcPr>
            <w:tcW w:w="709" w:type="dxa"/>
            <w:noWrap/>
            <w:textDirection w:val="btLr"/>
            <w:vAlign w:val="center"/>
            <w:hideMark/>
          </w:tcPr>
          <w:p w14:paraId="461E83D8" w14:textId="5A952FEC"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26 635 292 </w:t>
            </w:r>
          </w:p>
        </w:tc>
        <w:tc>
          <w:tcPr>
            <w:tcW w:w="708" w:type="dxa"/>
            <w:noWrap/>
            <w:textDirection w:val="btLr"/>
            <w:vAlign w:val="center"/>
            <w:hideMark/>
          </w:tcPr>
          <w:p w14:paraId="1BB4BF6D" w14:textId="7EB3A96E"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10 193 333 159 </w:t>
            </w:r>
          </w:p>
        </w:tc>
        <w:tc>
          <w:tcPr>
            <w:tcW w:w="708" w:type="dxa"/>
            <w:noWrap/>
            <w:textDirection w:val="btLr"/>
            <w:vAlign w:val="center"/>
            <w:hideMark/>
          </w:tcPr>
          <w:p w14:paraId="002076CB" w14:textId="0A4262CD"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30 672 323 </w:t>
            </w:r>
          </w:p>
        </w:tc>
        <w:tc>
          <w:tcPr>
            <w:tcW w:w="709" w:type="dxa"/>
            <w:noWrap/>
            <w:textDirection w:val="btLr"/>
            <w:vAlign w:val="center"/>
            <w:hideMark/>
          </w:tcPr>
          <w:p w14:paraId="7879F414" w14:textId="059E231A"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11 674 163 224 </w:t>
            </w:r>
          </w:p>
        </w:tc>
        <w:tc>
          <w:tcPr>
            <w:tcW w:w="708" w:type="dxa"/>
            <w:noWrap/>
            <w:textDirection w:val="btLr"/>
            <w:vAlign w:val="center"/>
            <w:hideMark/>
          </w:tcPr>
          <w:p w14:paraId="79959528" w14:textId="2D2F5DC1"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30 385 641 </w:t>
            </w:r>
          </w:p>
        </w:tc>
        <w:tc>
          <w:tcPr>
            <w:tcW w:w="708" w:type="dxa"/>
            <w:noWrap/>
            <w:textDirection w:val="btLr"/>
            <w:vAlign w:val="center"/>
            <w:hideMark/>
          </w:tcPr>
          <w:p w14:paraId="7A880B5A" w14:textId="27A0CBA8"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12 851 748 051</w:t>
            </w:r>
          </w:p>
        </w:tc>
        <w:tc>
          <w:tcPr>
            <w:tcW w:w="709" w:type="dxa"/>
            <w:noWrap/>
            <w:textDirection w:val="btLr"/>
            <w:vAlign w:val="center"/>
            <w:hideMark/>
          </w:tcPr>
          <w:p w14:paraId="50286438" w14:textId="61017BB9"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33 715 694</w:t>
            </w:r>
          </w:p>
        </w:tc>
      </w:tr>
      <w:tr w:rsidR="0034307C" w:rsidRPr="005C53F5" w14:paraId="19391A0B" w14:textId="77777777" w:rsidTr="00111CB6">
        <w:trPr>
          <w:cantSplit/>
          <w:trHeight w:val="1320"/>
        </w:trPr>
        <w:tc>
          <w:tcPr>
            <w:tcW w:w="1629" w:type="dxa"/>
            <w:vAlign w:val="center"/>
            <w:hideMark/>
          </w:tcPr>
          <w:p w14:paraId="78C8CCE1" w14:textId="77777777" w:rsidR="0034307C" w:rsidRPr="005C53F5" w:rsidRDefault="0034307C" w:rsidP="00057BE5">
            <w:pPr>
              <w:autoSpaceDE w:val="0"/>
              <w:autoSpaceDN w:val="0"/>
              <w:adjustRightInd w:val="0"/>
              <w:jc w:val="both"/>
              <w:rPr>
                <w:rFonts w:ascii="Times New Roman" w:eastAsia="Calibri" w:hAnsi="Times New Roman" w:cs="Times New Roman"/>
                <w:b/>
                <w:bCs/>
                <w:i/>
                <w:iCs/>
                <w:sz w:val="16"/>
                <w:szCs w:val="16"/>
              </w:rPr>
            </w:pPr>
            <w:r w:rsidRPr="005C53F5">
              <w:rPr>
                <w:rFonts w:ascii="Times New Roman" w:eastAsia="Calibri" w:hAnsi="Times New Roman" w:cs="Times New Roman"/>
                <w:b/>
                <w:bCs/>
                <w:i/>
                <w:iCs/>
                <w:sz w:val="16"/>
                <w:szCs w:val="16"/>
              </w:rPr>
              <w:t>внутренний:</w:t>
            </w:r>
          </w:p>
        </w:tc>
        <w:tc>
          <w:tcPr>
            <w:tcW w:w="708" w:type="dxa"/>
            <w:noWrap/>
            <w:textDirection w:val="btLr"/>
            <w:vAlign w:val="center"/>
            <w:hideMark/>
          </w:tcPr>
          <w:p w14:paraId="4A68C0E9" w14:textId="51C81365"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4 178 018 921 </w:t>
            </w:r>
          </w:p>
        </w:tc>
        <w:tc>
          <w:tcPr>
            <w:tcW w:w="708" w:type="dxa"/>
            <w:noWrap/>
            <w:textDirection w:val="btLr"/>
            <w:vAlign w:val="center"/>
            <w:hideMark/>
          </w:tcPr>
          <w:p w14:paraId="2FBD7726" w14:textId="33F4540A"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22 912 086 </w:t>
            </w:r>
          </w:p>
        </w:tc>
        <w:tc>
          <w:tcPr>
            <w:tcW w:w="709" w:type="dxa"/>
            <w:noWrap/>
            <w:textDirection w:val="btLr"/>
            <w:vAlign w:val="center"/>
            <w:hideMark/>
          </w:tcPr>
          <w:p w14:paraId="1290B1BE" w14:textId="29950151"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4 349 494 697 </w:t>
            </w:r>
          </w:p>
        </w:tc>
        <w:tc>
          <w:tcPr>
            <w:tcW w:w="708" w:type="dxa"/>
            <w:noWrap/>
            <w:textDirection w:val="btLr"/>
            <w:vAlign w:val="center"/>
            <w:hideMark/>
          </w:tcPr>
          <w:p w14:paraId="53FF7DB2" w14:textId="0F6DF4A3"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12 812 604 </w:t>
            </w:r>
          </w:p>
        </w:tc>
        <w:tc>
          <w:tcPr>
            <w:tcW w:w="708" w:type="dxa"/>
            <w:noWrap/>
            <w:textDirection w:val="btLr"/>
            <w:vAlign w:val="center"/>
            <w:hideMark/>
          </w:tcPr>
          <w:p w14:paraId="0B85EDEF" w14:textId="048DAD7B"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4 256 683 434 </w:t>
            </w:r>
          </w:p>
        </w:tc>
        <w:tc>
          <w:tcPr>
            <w:tcW w:w="709" w:type="dxa"/>
            <w:noWrap/>
            <w:textDirection w:val="btLr"/>
            <w:vAlign w:val="center"/>
            <w:hideMark/>
          </w:tcPr>
          <w:p w14:paraId="2C059C41" w14:textId="51BD9894"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12 771 711 </w:t>
            </w:r>
          </w:p>
        </w:tc>
        <w:tc>
          <w:tcPr>
            <w:tcW w:w="708" w:type="dxa"/>
            <w:noWrap/>
            <w:textDirection w:val="btLr"/>
            <w:vAlign w:val="center"/>
            <w:hideMark/>
          </w:tcPr>
          <w:p w14:paraId="6E482674" w14:textId="06F72F02"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5 624 301 744 </w:t>
            </w:r>
          </w:p>
        </w:tc>
        <w:tc>
          <w:tcPr>
            <w:tcW w:w="708" w:type="dxa"/>
            <w:noWrap/>
            <w:textDirection w:val="btLr"/>
            <w:vAlign w:val="center"/>
            <w:hideMark/>
          </w:tcPr>
          <w:p w14:paraId="60F81CDC" w14:textId="6249F26F"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16 923 846 </w:t>
            </w:r>
          </w:p>
        </w:tc>
        <w:tc>
          <w:tcPr>
            <w:tcW w:w="709" w:type="dxa"/>
            <w:noWrap/>
            <w:textDirection w:val="btLr"/>
            <w:vAlign w:val="center"/>
            <w:hideMark/>
          </w:tcPr>
          <w:p w14:paraId="29781358" w14:textId="62A028B7"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6 032 811 265 </w:t>
            </w:r>
          </w:p>
        </w:tc>
        <w:tc>
          <w:tcPr>
            <w:tcW w:w="708" w:type="dxa"/>
            <w:noWrap/>
            <w:textDirection w:val="btLr"/>
            <w:vAlign w:val="center"/>
            <w:hideMark/>
          </w:tcPr>
          <w:p w14:paraId="7E8ACE43" w14:textId="7ABBD68F"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15 702 268 </w:t>
            </w:r>
          </w:p>
        </w:tc>
        <w:tc>
          <w:tcPr>
            <w:tcW w:w="708" w:type="dxa"/>
            <w:noWrap/>
            <w:textDirection w:val="btLr"/>
            <w:vAlign w:val="center"/>
            <w:hideMark/>
          </w:tcPr>
          <w:p w14:paraId="2E17E27E" w14:textId="22179A44"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7 045 285 888</w:t>
            </w:r>
          </w:p>
        </w:tc>
        <w:tc>
          <w:tcPr>
            <w:tcW w:w="709" w:type="dxa"/>
            <w:noWrap/>
            <w:textDirection w:val="btLr"/>
            <w:vAlign w:val="center"/>
            <w:hideMark/>
          </w:tcPr>
          <w:p w14:paraId="6558C2E1" w14:textId="74223E95"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18 482 832</w:t>
            </w:r>
          </w:p>
        </w:tc>
      </w:tr>
      <w:tr w:rsidR="0034307C" w:rsidRPr="005C53F5" w14:paraId="446751E3" w14:textId="77777777" w:rsidTr="00111CB6">
        <w:trPr>
          <w:cantSplit/>
          <w:trHeight w:val="1134"/>
        </w:trPr>
        <w:tc>
          <w:tcPr>
            <w:tcW w:w="1629" w:type="dxa"/>
            <w:vAlign w:val="center"/>
            <w:hideMark/>
          </w:tcPr>
          <w:p w14:paraId="3EA8C57A" w14:textId="77777777" w:rsidR="0034307C" w:rsidRPr="005C53F5" w:rsidRDefault="0034307C" w:rsidP="00057BE5">
            <w:pPr>
              <w:autoSpaceDE w:val="0"/>
              <w:autoSpaceDN w:val="0"/>
              <w:adjustRightInd w:val="0"/>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Государственные краткосрочные казначейские обязательства</w:t>
            </w:r>
          </w:p>
        </w:tc>
        <w:tc>
          <w:tcPr>
            <w:tcW w:w="708" w:type="dxa"/>
            <w:noWrap/>
            <w:textDirection w:val="btLr"/>
            <w:vAlign w:val="center"/>
            <w:hideMark/>
          </w:tcPr>
          <w:p w14:paraId="6BACBCF9" w14:textId="6A106EAA"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1 384 326 </w:t>
            </w:r>
          </w:p>
        </w:tc>
        <w:tc>
          <w:tcPr>
            <w:tcW w:w="708" w:type="dxa"/>
            <w:noWrap/>
            <w:textDirection w:val="btLr"/>
            <w:vAlign w:val="center"/>
            <w:hideMark/>
          </w:tcPr>
          <w:p w14:paraId="5CDA8CA0" w14:textId="13725969"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7 592 </w:t>
            </w:r>
          </w:p>
        </w:tc>
        <w:tc>
          <w:tcPr>
            <w:tcW w:w="709" w:type="dxa"/>
            <w:noWrap/>
            <w:textDirection w:val="btLr"/>
            <w:vAlign w:val="center"/>
            <w:hideMark/>
          </w:tcPr>
          <w:p w14:paraId="4751ACD1"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8" w:type="dxa"/>
            <w:noWrap/>
            <w:textDirection w:val="btLr"/>
            <w:vAlign w:val="center"/>
            <w:hideMark/>
          </w:tcPr>
          <w:p w14:paraId="235FADD6"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8" w:type="dxa"/>
            <w:noWrap/>
            <w:textDirection w:val="btLr"/>
            <w:vAlign w:val="center"/>
            <w:hideMark/>
          </w:tcPr>
          <w:p w14:paraId="289CB167"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c>
          <w:tcPr>
            <w:tcW w:w="709" w:type="dxa"/>
            <w:noWrap/>
            <w:textDirection w:val="btLr"/>
            <w:vAlign w:val="center"/>
            <w:hideMark/>
          </w:tcPr>
          <w:p w14:paraId="1E4E7AE9"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c>
          <w:tcPr>
            <w:tcW w:w="708" w:type="dxa"/>
            <w:noWrap/>
            <w:textDirection w:val="btLr"/>
            <w:vAlign w:val="center"/>
            <w:hideMark/>
          </w:tcPr>
          <w:p w14:paraId="43CE02DA"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c>
          <w:tcPr>
            <w:tcW w:w="708" w:type="dxa"/>
            <w:noWrap/>
            <w:textDirection w:val="btLr"/>
            <w:vAlign w:val="center"/>
            <w:hideMark/>
          </w:tcPr>
          <w:p w14:paraId="5150469A"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c>
          <w:tcPr>
            <w:tcW w:w="709" w:type="dxa"/>
            <w:noWrap/>
            <w:textDirection w:val="btLr"/>
            <w:vAlign w:val="center"/>
            <w:hideMark/>
          </w:tcPr>
          <w:p w14:paraId="0FB160E2"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c>
          <w:tcPr>
            <w:tcW w:w="708" w:type="dxa"/>
            <w:noWrap/>
            <w:textDirection w:val="btLr"/>
            <w:vAlign w:val="center"/>
            <w:hideMark/>
          </w:tcPr>
          <w:p w14:paraId="22DE76E6"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c>
          <w:tcPr>
            <w:tcW w:w="708" w:type="dxa"/>
            <w:noWrap/>
            <w:textDirection w:val="btLr"/>
            <w:vAlign w:val="center"/>
            <w:hideMark/>
          </w:tcPr>
          <w:p w14:paraId="4B842341"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c>
          <w:tcPr>
            <w:tcW w:w="709" w:type="dxa"/>
            <w:noWrap/>
            <w:textDirection w:val="btLr"/>
            <w:vAlign w:val="center"/>
            <w:hideMark/>
          </w:tcPr>
          <w:p w14:paraId="27495C51"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r>
      <w:tr w:rsidR="0034307C" w:rsidRPr="005C53F5" w14:paraId="419C515B" w14:textId="77777777" w:rsidTr="00111CB6">
        <w:trPr>
          <w:cantSplit/>
          <w:trHeight w:val="1134"/>
        </w:trPr>
        <w:tc>
          <w:tcPr>
            <w:tcW w:w="1629" w:type="dxa"/>
            <w:vAlign w:val="center"/>
            <w:hideMark/>
          </w:tcPr>
          <w:p w14:paraId="4ABD4FB9" w14:textId="77777777" w:rsidR="0034307C" w:rsidRPr="005C53F5" w:rsidRDefault="0034307C" w:rsidP="00057BE5">
            <w:pPr>
              <w:autoSpaceDE w:val="0"/>
              <w:autoSpaceDN w:val="0"/>
              <w:adjustRightInd w:val="0"/>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Государственные среднесрочные казначейские обязательства</w:t>
            </w:r>
          </w:p>
        </w:tc>
        <w:tc>
          <w:tcPr>
            <w:tcW w:w="708" w:type="dxa"/>
            <w:noWrap/>
            <w:textDirection w:val="btLr"/>
            <w:vAlign w:val="center"/>
            <w:hideMark/>
          </w:tcPr>
          <w:p w14:paraId="5BA85960" w14:textId="451691EF"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561 781 863 </w:t>
            </w:r>
          </w:p>
        </w:tc>
        <w:tc>
          <w:tcPr>
            <w:tcW w:w="708" w:type="dxa"/>
            <w:noWrap/>
            <w:textDirection w:val="btLr"/>
            <w:vAlign w:val="center"/>
            <w:hideMark/>
          </w:tcPr>
          <w:p w14:paraId="6479AAAA" w14:textId="4A7076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3 080 789 </w:t>
            </w:r>
          </w:p>
        </w:tc>
        <w:tc>
          <w:tcPr>
            <w:tcW w:w="709" w:type="dxa"/>
            <w:noWrap/>
            <w:textDirection w:val="btLr"/>
            <w:vAlign w:val="center"/>
            <w:hideMark/>
          </w:tcPr>
          <w:p w14:paraId="2A952017" w14:textId="085FE8C8"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400 412 198 </w:t>
            </w:r>
          </w:p>
        </w:tc>
        <w:tc>
          <w:tcPr>
            <w:tcW w:w="708" w:type="dxa"/>
            <w:noWrap/>
            <w:textDirection w:val="btLr"/>
            <w:vAlign w:val="center"/>
            <w:hideMark/>
          </w:tcPr>
          <w:p w14:paraId="35FCCE26" w14:textId="48C68CFD"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1 179 522 </w:t>
            </w:r>
          </w:p>
        </w:tc>
        <w:tc>
          <w:tcPr>
            <w:tcW w:w="708" w:type="dxa"/>
            <w:noWrap/>
            <w:textDirection w:val="btLr"/>
            <w:vAlign w:val="center"/>
            <w:hideMark/>
          </w:tcPr>
          <w:p w14:paraId="3E7D5FB2" w14:textId="338A11E3"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244 597 199 </w:t>
            </w:r>
          </w:p>
        </w:tc>
        <w:tc>
          <w:tcPr>
            <w:tcW w:w="709" w:type="dxa"/>
            <w:noWrap/>
            <w:textDirection w:val="btLr"/>
            <w:vAlign w:val="center"/>
            <w:hideMark/>
          </w:tcPr>
          <w:p w14:paraId="6ACD0BF9" w14:textId="52DD0768"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733 887 </w:t>
            </w:r>
          </w:p>
        </w:tc>
        <w:tc>
          <w:tcPr>
            <w:tcW w:w="708" w:type="dxa"/>
            <w:noWrap/>
            <w:textDirection w:val="btLr"/>
            <w:vAlign w:val="center"/>
            <w:hideMark/>
          </w:tcPr>
          <w:p w14:paraId="57514744" w14:textId="259F80CE"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808 487 604 </w:t>
            </w:r>
          </w:p>
        </w:tc>
        <w:tc>
          <w:tcPr>
            <w:tcW w:w="708" w:type="dxa"/>
            <w:noWrap/>
            <w:textDirection w:val="btLr"/>
            <w:vAlign w:val="center"/>
            <w:hideMark/>
          </w:tcPr>
          <w:p w14:paraId="6427E6A0" w14:textId="3E6B2C3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2 432 785 </w:t>
            </w:r>
          </w:p>
        </w:tc>
        <w:tc>
          <w:tcPr>
            <w:tcW w:w="709" w:type="dxa"/>
            <w:noWrap/>
            <w:textDirection w:val="btLr"/>
            <w:vAlign w:val="center"/>
            <w:hideMark/>
          </w:tcPr>
          <w:p w14:paraId="69C769AE" w14:textId="63EA5AB3"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774 687 604 </w:t>
            </w:r>
          </w:p>
        </w:tc>
        <w:tc>
          <w:tcPr>
            <w:tcW w:w="708" w:type="dxa"/>
            <w:noWrap/>
            <w:textDirection w:val="btLr"/>
            <w:vAlign w:val="center"/>
            <w:hideMark/>
          </w:tcPr>
          <w:p w14:paraId="222E2515" w14:textId="7D24533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2 016 365 </w:t>
            </w:r>
          </w:p>
        </w:tc>
        <w:tc>
          <w:tcPr>
            <w:tcW w:w="708" w:type="dxa"/>
            <w:noWrap/>
            <w:textDirection w:val="btLr"/>
            <w:vAlign w:val="center"/>
            <w:hideMark/>
          </w:tcPr>
          <w:p w14:paraId="5F516D8B" w14:textId="7550267D"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703 367 604</w:t>
            </w:r>
          </w:p>
        </w:tc>
        <w:tc>
          <w:tcPr>
            <w:tcW w:w="709" w:type="dxa"/>
            <w:noWrap/>
            <w:textDirection w:val="btLr"/>
            <w:vAlign w:val="center"/>
            <w:hideMark/>
          </w:tcPr>
          <w:p w14:paraId="51E4624F" w14:textId="4B41369D"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1 845 237</w:t>
            </w:r>
          </w:p>
        </w:tc>
      </w:tr>
      <w:tr w:rsidR="0034307C" w:rsidRPr="005C53F5" w14:paraId="430E94C0" w14:textId="77777777" w:rsidTr="00111CB6">
        <w:trPr>
          <w:cantSplit/>
          <w:trHeight w:val="1134"/>
        </w:trPr>
        <w:tc>
          <w:tcPr>
            <w:tcW w:w="1629" w:type="dxa"/>
            <w:vAlign w:val="center"/>
            <w:hideMark/>
          </w:tcPr>
          <w:p w14:paraId="24E9F60A" w14:textId="77777777" w:rsidR="0034307C" w:rsidRPr="005C53F5" w:rsidRDefault="0034307C" w:rsidP="00057BE5">
            <w:pPr>
              <w:autoSpaceDE w:val="0"/>
              <w:autoSpaceDN w:val="0"/>
              <w:adjustRightInd w:val="0"/>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Государственные долгосрочные сберегательные казначейские обязательства</w:t>
            </w:r>
          </w:p>
        </w:tc>
        <w:tc>
          <w:tcPr>
            <w:tcW w:w="708" w:type="dxa"/>
            <w:noWrap/>
            <w:textDirection w:val="btLr"/>
            <w:vAlign w:val="center"/>
            <w:hideMark/>
          </w:tcPr>
          <w:p w14:paraId="3E909947" w14:textId="599E9C3A"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1 335 814 521 </w:t>
            </w:r>
          </w:p>
        </w:tc>
        <w:tc>
          <w:tcPr>
            <w:tcW w:w="708" w:type="dxa"/>
            <w:noWrap/>
            <w:textDirection w:val="btLr"/>
            <w:vAlign w:val="center"/>
            <w:hideMark/>
          </w:tcPr>
          <w:p w14:paraId="4C5502BF" w14:textId="03102DD5"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7 325 553 </w:t>
            </w:r>
          </w:p>
        </w:tc>
        <w:tc>
          <w:tcPr>
            <w:tcW w:w="709" w:type="dxa"/>
            <w:noWrap/>
            <w:textDirection w:val="btLr"/>
            <w:vAlign w:val="center"/>
            <w:hideMark/>
          </w:tcPr>
          <w:p w14:paraId="74573DF0" w14:textId="73F65FDB"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1 274 838 807 </w:t>
            </w:r>
          </w:p>
        </w:tc>
        <w:tc>
          <w:tcPr>
            <w:tcW w:w="708" w:type="dxa"/>
            <w:noWrap/>
            <w:textDirection w:val="btLr"/>
            <w:vAlign w:val="center"/>
            <w:hideMark/>
          </w:tcPr>
          <w:p w14:paraId="51F0173F" w14:textId="1751E6A5"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3 755 380 </w:t>
            </w:r>
          </w:p>
        </w:tc>
        <w:tc>
          <w:tcPr>
            <w:tcW w:w="708" w:type="dxa"/>
            <w:noWrap/>
            <w:textDirection w:val="btLr"/>
            <w:vAlign w:val="center"/>
            <w:hideMark/>
          </w:tcPr>
          <w:p w14:paraId="02B8BDDB" w14:textId="2F4BCC78"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1 446 238 807 </w:t>
            </w:r>
          </w:p>
        </w:tc>
        <w:tc>
          <w:tcPr>
            <w:tcW w:w="709" w:type="dxa"/>
            <w:noWrap/>
            <w:textDirection w:val="btLr"/>
            <w:vAlign w:val="center"/>
            <w:hideMark/>
          </w:tcPr>
          <w:p w14:paraId="0458389A" w14:textId="51E365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4 339 281 </w:t>
            </w:r>
          </w:p>
        </w:tc>
        <w:tc>
          <w:tcPr>
            <w:tcW w:w="708" w:type="dxa"/>
            <w:noWrap/>
            <w:textDirection w:val="btLr"/>
            <w:vAlign w:val="center"/>
            <w:hideMark/>
          </w:tcPr>
          <w:p w14:paraId="47802EB5" w14:textId="478ED543"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1 403 228 807 </w:t>
            </w:r>
          </w:p>
        </w:tc>
        <w:tc>
          <w:tcPr>
            <w:tcW w:w="708" w:type="dxa"/>
            <w:noWrap/>
            <w:textDirection w:val="btLr"/>
            <w:vAlign w:val="center"/>
            <w:hideMark/>
          </w:tcPr>
          <w:p w14:paraId="1B8CC085" w14:textId="663B208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4 222 396 </w:t>
            </w:r>
          </w:p>
        </w:tc>
        <w:tc>
          <w:tcPr>
            <w:tcW w:w="709" w:type="dxa"/>
            <w:noWrap/>
            <w:textDirection w:val="btLr"/>
            <w:vAlign w:val="center"/>
            <w:hideMark/>
          </w:tcPr>
          <w:p w14:paraId="01C272A8" w14:textId="2986E1D0"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1 359 228 807 </w:t>
            </w:r>
          </w:p>
        </w:tc>
        <w:tc>
          <w:tcPr>
            <w:tcW w:w="708" w:type="dxa"/>
            <w:noWrap/>
            <w:textDirection w:val="btLr"/>
            <w:vAlign w:val="center"/>
            <w:hideMark/>
          </w:tcPr>
          <w:p w14:paraId="1BB53D52" w14:textId="0C18F1ED"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3 537 816 </w:t>
            </w:r>
          </w:p>
        </w:tc>
        <w:tc>
          <w:tcPr>
            <w:tcW w:w="708" w:type="dxa"/>
            <w:noWrap/>
            <w:textDirection w:val="btLr"/>
            <w:vAlign w:val="center"/>
            <w:hideMark/>
          </w:tcPr>
          <w:p w14:paraId="12FE45AA" w14:textId="0086C156"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1 326 228 807</w:t>
            </w:r>
          </w:p>
        </w:tc>
        <w:tc>
          <w:tcPr>
            <w:tcW w:w="709" w:type="dxa"/>
            <w:noWrap/>
            <w:textDirection w:val="btLr"/>
            <w:vAlign w:val="center"/>
            <w:hideMark/>
          </w:tcPr>
          <w:p w14:paraId="3FC35131" w14:textId="272772D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3 479 272</w:t>
            </w:r>
          </w:p>
        </w:tc>
      </w:tr>
      <w:tr w:rsidR="0034307C" w:rsidRPr="005C53F5" w14:paraId="3DC0D3C6" w14:textId="77777777" w:rsidTr="00111CB6">
        <w:trPr>
          <w:cantSplit/>
          <w:trHeight w:val="1299"/>
        </w:trPr>
        <w:tc>
          <w:tcPr>
            <w:tcW w:w="1629" w:type="dxa"/>
            <w:vAlign w:val="center"/>
            <w:hideMark/>
          </w:tcPr>
          <w:p w14:paraId="216D5C53" w14:textId="77777777" w:rsidR="0034307C" w:rsidRPr="005C53F5" w:rsidRDefault="0034307C" w:rsidP="00057BE5">
            <w:pPr>
              <w:autoSpaceDE w:val="0"/>
              <w:autoSpaceDN w:val="0"/>
              <w:adjustRightInd w:val="0"/>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Государственные долгосрочные казначейские обязательства</w:t>
            </w:r>
          </w:p>
        </w:tc>
        <w:tc>
          <w:tcPr>
            <w:tcW w:w="708" w:type="dxa"/>
            <w:noWrap/>
            <w:textDirection w:val="btLr"/>
            <w:vAlign w:val="center"/>
            <w:hideMark/>
          </w:tcPr>
          <w:p w14:paraId="7B7B9612" w14:textId="796F08AA"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2 266 131 256 </w:t>
            </w:r>
          </w:p>
        </w:tc>
        <w:tc>
          <w:tcPr>
            <w:tcW w:w="708" w:type="dxa"/>
            <w:noWrap/>
            <w:textDirection w:val="btLr"/>
            <w:vAlign w:val="center"/>
            <w:hideMark/>
          </w:tcPr>
          <w:p w14:paraId="4F391A0A" w14:textId="749C0A1D"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12 427 372 </w:t>
            </w:r>
          </w:p>
        </w:tc>
        <w:tc>
          <w:tcPr>
            <w:tcW w:w="709" w:type="dxa"/>
            <w:noWrap/>
            <w:textDirection w:val="btLr"/>
            <w:vAlign w:val="center"/>
            <w:hideMark/>
          </w:tcPr>
          <w:p w14:paraId="5CA8C1E1" w14:textId="76C924DE"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2 672 555 268 </w:t>
            </w:r>
          </w:p>
        </w:tc>
        <w:tc>
          <w:tcPr>
            <w:tcW w:w="708" w:type="dxa"/>
            <w:noWrap/>
            <w:textDirection w:val="btLr"/>
            <w:vAlign w:val="center"/>
            <w:hideMark/>
          </w:tcPr>
          <w:p w14:paraId="5122C32F" w14:textId="783F38D2"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7 872 729 </w:t>
            </w:r>
          </w:p>
        </w:tc>
        <w:tc>
          <w:tcPr>
            <w:tcW w:w="708" w:type="dxa"/>
            <w:noWrap/>
            <w:textDirection w:val="btLr"/>
            <w:vAlign w:val="center"/>
            <w:hideMark/>
          </w:tcPr>
          <w:p w14:paraId="3DA6B1E0" w14:textId="4A27A1CF"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2 564 189 742 </w:t>
            </w:r>
          </w:p>
        </w:tc>
        <w:tc>
          <w:tcPr>
            <w:tcW w:w="709" w:type="dxa"/>
            <w:noWrap/>
            <w:textDirection w:val="btLr"/>
            <w:vAlign w:val="center"/>
            <w:hideMark/>
          </w:tcPr>
          <w:p w14:paraId="3F02A302" w14:textId="1524538D"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7 693 569 </w:t>
            </w:r>
          </w:p>
        </w:tc>
        <w:tc>
          <w:tcPr>
            <w:tcW w:w="708" w:type="dxa"/>
            <w:noWrap/>
            <w:textDirection w:val="btLr"/>
            <w:vAlign w:val="center"/>
            <w:hideMark/>
          </w:tcPr>
          <w:p w14:paraId="63346C40" w14:textId="638A992D"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3 410 932 422 </w:t>
            </w:r>
          </w:p>
        </w:tc>
        <w:tc>
          <w:tcPr>
            <w:tcW w:w="708" w:type="dxa"/>
            <w:noWrap/>
            <w:textDirection w:val="btLr"/>
            <w:vAlign w:val="center"/>
            <w:hideMark/>
          </w:tcPr>
          <w:p w14:paraId="6D29BBFF" w14:textId="7BC5B964"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10 263 691 </w:t>
            </w:r>
          </w:p>
        </w:tc>
        <w:tc>
          <w:tcPr>
            <w:tcW w:w="709" w:type="dxa"/>
            <w:noWrap/>
            <w:textDirection w:val="btLr"/>
            <w:vAlign w:val="center"/>
            <w:hideMark/>
          </w:tcPr>
          <w:p w14:paraId="751E234A" w14:textId="3471ED74"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3 896 983 957 </w:t>
            </w:r>
          </w:p>
        </w:tc>
        <w:tc>
          <w:tcPr>
            <w:tcW w:w="708" w:type="dxa"/>
            <w:noWrap/>
            <w:textDirection w:val="btLr"/>
            <w:vAlign w:val="center"/>
            <w:hideMark/>
          </w:tcPr>
          <w:p w14:paraId="203CBF40" w14:textId="0A7C3F7A"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10 143 113 </w:t>
            </w:r>
          </w:p>
        </w:tc>
        <w:tc>
          <w:tcPr>
            <w:tcW w:w="708" w:type="dxa"/>
            <w:noWrap/>
            <w:textDirection w:val="btLr"/>
            <w:vAlign w:val="center"/>
            <w:hideMark/>
          </w:tcPr>
          <w:p w14:paraId="5581CD58" w14:textId="51C76E50"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5 013 793 600</w:t>
            </w:r>
          </w:p>
        </w:tc>
        <w:tc>
          <w:tcPr>
            <w:tcW w:w="709" w:type="dxa"/>
            <w:noWrap/>
            <w:textDirection w:val="btLr"/>
            <w:vAlign w:val="center"/>
            <w:hideMark/>
          </w:tcPr>
          <w:p w14:paraId="6FAF93AA" w14:textId="266E4F79"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13 153 349</w:t>
            </w:r>
          </w:p>
        </w:tc>
      </w:tr>
      <w:tr w:rsidR="0034307C" w:rsidRPr="005C53F5" w14:paraId="2F83D209" w14:textId="77777777" w:rsidTr="00111CB6">
        <w:trPr>
          <w:cantSplit/>
          <w:trHeight w:val="1134"/>
        </w:trPr>
        <w:tc>
          <w:tcPr>
            <w:tcW w:w="1629" w:type="dxa"/>
            <w:vAlign w:val="center"/>
            <w:hideMark/>
          </w:tcPr>
          <w:p w14:paraId="298925E1" w14:textId="77777777" w:rsidR="0034307C" w:rsidRPr="005C53F5" w:rsidRDefault="0034307C" w:rsidP="00057BE5">
            <w:pPr>
              <w:autoSpaceDE w:val="0"/>
              <w:autoSpaceDN w:val="0"/>
              <w:adjustRightInd w:val="0"/>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Государственные долгосрочные индексированные казначейские обязательства</w:t>
            </w:r>
          </w:p>
        </w:tc>
        <w:tc>
          <w:tcPr>
            <w:tcW w:w="708" w:type="dxa"/>
            <w:noWrap/>
            <w:textDirection w:val="btLr"/>
            <w:vAlign w:val="center"/>
            <w:hideMark/>
          </w:tcPr>
          <w:p w14:paraId="0D7EDF24" w14:textId="18144E08"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12 000 000 </w:t>
            </w:r>
          </w:p>
        </w:tc>
        <w:tc>
          <w:tcPr>
            <w:tcW w:w="708" w:type="dxa"/>
            <w:noWrap/>
            <w:textDirection w:val="btLr"/>
            <w:vAlign w:val="center"/>
            <w:hideMark/>
          </w:tcPr>
          <w:p w14:paraId="5743169C" w14:textId="5E024B5E"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65 808 </w:t>
            </w:r>
          </w:p>
        </w:tc>
        <w:tc>
          <w:tcPr>
            <w:tcW w:w="709" w:type="dxa"/>
            <w:noWrap/>
            <w:textDirection w:val="btLr"/>
            <w:vAlign w:val="center"/>
            <w:hideMark/>
          </w:tcPr>
          <w:p w14:paraId="43C730CB"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8" w:type="dxa"/>
            <w:noWrap/>
            <w:textDirection w:val="btLr"/>
            <w:vAlign w:val="center"/>
            <w:hideMark/>
          </w:tcPr>
          <w:p w14:paraId="4BA7B895"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8" w:type="dxa"/>
            <w:noWrap/>
            <w:textDirection w:val="btLr"/>
            <w:vAlign w:val="center"/>
            <w:hideMark/>
          </w:tcPr>
          <w:p w14:paraId="7C6107FD"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c>
          <w:tcPr>
            <w:tcW w:w="709" w:type="dxa"/>
            <w:noWrap/>
            <w:textDirection w:val="btLr"/>
            <w:vAlign w:val="center"/>
            <w:hideMark/>
          </w:tcPr>
          <w:p w14:paraId="317C6946"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c>
          <w:tcPr>
            <w:tcW w:w="708" w:type="dxa"/>
            <w:noWrap/>
            <w:textDirection w:val="btLr"/>
            <w:vAlign w:val="center"/>
            <w:hideMark/>
          </w:tcPr>
          <w:p w14:paraId="0CDF7FB8"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c>
          <w:tcPr>
            <w:tcW w:w="708" w:type="dxa"/>
            <w:noWrap/>
            <w:textDirection w:val="btLr"/>
            <w:vAlign w:val="center"/>
            <w:hideMark/>
          </w:tcPr>
          <w:p w14:paraId="75336EC9"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c>
          <w:tcPr>
            <w:tcW w:w="709" w:type="dxa"/>
            <w:noWrap/>
            <w:textDirection w:val="btLr"/>
            <w:vAlign w:val="center"/>
            <w:hideMark/>
          </w:tcPr>
          <w:p w14:paraId="512E1705"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w:t>
            </w:r>
          </w:p>
        </w:tc>
        <w:tc>
          <w:tcPr>
            <w:tcW w:w="708" w:type="dxa"/>
            <w:noWrap/>
            <w:textDirection w:val="btLr"/>
            <w:vAlign w:val="center"/>
            <w:hideMark/>
          </w:tcPr>
          <w:p w14:paraId="7035FA59"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w:t>
            </w:r>
          </w:p>
        </w:tc>
        <w:tc>
          <w:tcPr>
            <w:tcW w:w="708" w:type="dxa"/>
            <w:noWrap/>
            <w:textDirection w:val="btLr"/>
            <w:vAlign w:val="center"/>
            <w:hideMark/>
          </w:tcPr>
          <w:p w14:paraId="61D218DF"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c>
          <w:tcPr>
            <w:tcW w:w="709" w:type="dxa"/>
            <w:noWrap/>
            <w:textDirection w:val="btLr"/>
            <w:vAlign w:val="center"/>
            <w:hideMark/>
          </w:tcPr>
          <w:p w14:paraId="54111C9F"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w:t>
            </w:r>
          </w:p>
        </w:tc>
      </w:tr>
      <w:tr w:rsidR="0034307C" w:rsidRPr="005C53F5" w14:paraId="4B357A3B" w14:textId="77777777" w:rsidTr="00111CB6">
        <w:trPr>
          <w:cantSplit/>
          <w:trHeight w:val="1134"/>
        </w:trPr>
        <w:tc>
          <w:tcPr>
            <w:tcW w:w="1629" w:type="dxa"/>
            <w:vAlign w:val="center"/>
            <w:hideMark/>
          </w:tcPr>
          <w:p w14:paraId="6F1D67AD" w14:textId="77777777" w:rsidR="0034307C" w:rsidRPr="005C53F5" w:rsidRDefault="0034307C" w:rsidP="00057BE5">
            <w:pPr>
              <w:autoSpaceDE w:val="0"/>
              <w:autoSpaceDN w:val="0"/>
              <w:adjustRightInd w:val="0"/>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Прочие обязательства</w:t>
            </w:r>
          </w:p>
        </w:tc>
        <w:tc>
          <w:tcPr>
            <w:tcW w:w="708" w:type="dxa"/>
            <w:noWrap/>
            <w:textDirection w:val="btLr"/>
            <w:vAlign w:val="center"/>
            <w:hideMark/>
          </w:tcPr>
          <w:p w14:paraId="561F51D4" w14:textId="19123369"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906 955 </w:t>
            </w:r>
          </w:p>
        </w:tc>
        <w:tc>
          <w:tcPr>
            <w:tcW w:w="708" w:type="dxa"/>
            <w:noWrap/>
            <w:textDirection w:val="btLr"/>
            <w:vAlign w:val="center"/>
            <w:hideMark/>
          </w:tcPr>
          <w:p w14:paraId="0A932722" w14:textId="6A4B09F3"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4 974 </w:t>
            </w:r>
          </w:p>
        </w:tc>
        <w:tc>
          <w:tcPr>
            <w:tcW w:w="709" w:type="dxa"/>
            <w:noWrap/>
            <w:textDirection w:val="btLr"/>
            <w:vAlign w:val="center"/>
            <w:hideMark/>
          </w:tcPr>
          <w:p w14:paraId="4A50F328" w14:textId="615B4A8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1 688 424 </w:t>
            </w:r>
          </w:p>
        </w:tc>
        <w:tc>
          <w:tcPr>
            <w:tcW w:w="708" w:type="dxa"/>
            <w:noWrap/>
            <w:textDirection w:val="btLr"/>
            <w:vAlign w:val="center"/>
            <w:hideMark/>
          </w:tcPr>
          <w:p w14:paraId="1E8D1B07" w14:textId="06461906"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4 974 </w:t>
            </w:r>
          </w:p>
        </w:tc>
        <w:tc>
          <w:tcPr>
            <w:tcW w:w="708" w:type="dxa"/>
            <w:noWrap/>
            <w:textDirection w:val="btLr"/>
            <w:vAlign w:val="center"/>
            <w:hideMark/>
          </w:tcPr>
          <w:p w14:paraId="265298B0" w14:textId="4800781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1 657 686 </w:t>
            </w:r>
          </w:p>
        </w:tc>
        <w:tc>
          <w:tcPr>
            <w:tcW w:w="709" w:type="dxa"/>
            <w:noWrap/>
            <w:textDirection w:val="btLr"/>
            <w:vAlign w:val="center"/>
            <w:hideMark/>
          </w:tcPr>
          <w:p w14:paraId="49B853CE" w14:textId="550AF59F"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4 974 </w:t>
            </w:r>
          </w:p>
        </w:tc>
        <w:tc>
          <w:tcPr>
            <w:tcW w:w="708" w:type="dxa"/>
            <w:noWrap/>
            <w:textDirection w:val="btLr"/>
            <w:vAlign w:val="center"/>
            <w:hideMark/>
          </w:tcPr>
          <w:p w14:paraId="3F73E4B2" w14:textId="132C9E43"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1 652 911 </w:t>
            </w:r>
          </w:p>
        </w:tc>
        <w:tc>
          <w:tcPr>
            <w:tcW w:w="708" w:type="dxa"/>
            <w:noWrap/>
            <w:textDirection w:val="btLr"/>
            <w:vAlign w:val="center"/>
            <w:hideMark/>
          </w:tcPr>
          <w:p w14:paraId="5C1958DA" w14:textId="31C03AF8"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4 974 </w:t>
            </w:r>
          </w:p>
        </w:tc>
        <w:tc>
          <w:tcPr>
            <w:tcW w:w="709" w:type="dxa"/>
            <w:noWrap/>
            <w:textDirection w:val="btLr"/>
            <w:vAlign w:val="center"/>
            <w:hideMark/>
          </w:tcPr>
          <w:p w14:paraId="53729B61" w14:textId="290EC930"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1 910 897 </w:t>
            </w:r>
          </w:p>
        </w:tc>
        <w:tc>
          <w:tcPr>
            <w:tcW w:w="708" w:type="dxa"/>
            <w:noWrap/>
            <w:textDirection w:val="btLr"/>
            <w:vAlign w:val="center"/>
            <w:hideMark/>
          </w:tcPr>
          <w:p w14:paraId="6EBFBF90" w14:textId="37490556"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4 974 </w:t>
            </w:r>
          </w:p>
        </w:tc>
        <w:tc>
          <w:tcPr>
            <w:tcW w:w="708" w:type="dxa"/>
            <w:noWrap/>
            <w:textDirection w:val="btLr"/>
            <w:vAlign w:val="center"/>
            <w:hideMark/>
          </w:tcPr>
          <w:p w14:paraId="4D24E3A9" w14:textId="53075B95"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1 895 877</w:t>
            </w:r>
          </w:p>
        </w:tc>
        <w:tc>
          <w:tcPr>
            <w:tcW w:w="709" w:type="dxa"/>
            <w:noWrap/>
            <w:textDirection w:val="btLr"/>
            <w:vAlign w:val="center"/>
            <w:hideMark/>
          </w:tcPr>
          <w:p w14:paraId="1B3E970C" w14:textId="5C514762"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4 974</w:t>
            </w:r>
          </w:p>
        </w:tc>
      </w:tr>
      <w:tr w:rsidR="0034307C" w:rsidRPr="005C53F5" w14:paraId="5648C2E9" w14:textId="77777777" w:rsidTr="00111CB6">
        <w:trPr>
          <w:cantSplit/>
          <w:trHeight w:val="1366"/>
        </w:trPr>
        <w:tc>
          <w:tcPr>
            <w:tcW w:w="1629" w:type="dxa"/>
            <w:vAlign w:val="center"/>
            <w:hideMark/>
          </w:tcPr>
          <w:p w14:paraId="5D9EFF3A" w14:textId="77777777" w:rsidR="0034307C" w:rsidRPr="005C53F5" w:rsidRDefault="0034307C" w:rsidP="00057BE5">
            <w:pPr>
              <w:autoSpaceDE w:val="0"/>
              <w:autoSpaceDN w:val="0"/>
              <w:adjustRightInd w:val="0"/>
              <w:jc w:val="both"/>
              <w:rPr>
                <w:rFonts w:ascii="Times New Roman" w:eastAsia="Calibri" w:hAnsi="Times New Roman" w:cs="Times New Roman"/>
                <w:b/>
                <w:bCs/>
                <w:i/>
                <w:iCs/>
                <w:sz w:val="16"/>
                <w:szCs w:val="16"/>
              </w:rPr>
            </w:pPr>
            <w:r w:rsidRPr="005C53F5">
              <w:rPr>
                <w:rFonts w:ascii="Times New Roman" w:eastAsia="Calibri" w:hAnsi="Times New Roman" w:cs="Times New Roman"/>
                <w:b/>
                <w:bCs/>
                <w:i/>
                <w:iCs/>
                <w:sz w:val="16"/>
                <w:szCs w:val="16"/>
              </w:rPr>
              <w:t>внешний:</w:t>
            </w:r>
          </w:p>
        </w:tc>
        <w:tc>
          <w:tcPr>
            <w:tcW w:w="708" w:type="dxa"/>
            <w:noWrap/>
            <w:textDirection w:val="btLr"/>
            <w:vAlign w:val="center"/>
            <w:hideMark/>
          </w:tcPr>
          <w:p w14:paraId="37B22D16" w14:textId="463CB8A1"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1 435 033 740 </w:t>
            </w:r>
          </w:p>
        </w:tc>
        <w:tc>
          <w:tcPr>
            <w:tcW w:w="708" w:type="dxa"/>
            <w:noWrap/>
            <w:textDirection w:val="btLr"/>
            <w:vAlign w:val="center"/>
            <w:hideMark/>
          </w:tcPr>
          <w:p w14:paraId="497876BD" w14:textId="356DE60F"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7 869 667 </w:t>
            </w:r>
          </w:p>
        </w:tc>
        <w:tc>
          <w:tcPr>
            <w:tcW w:w="709" w:type="dxa"/>
            <w:noWrap/>
            <w:textDirection w:val="btLr"/>
            <w:vAlign w:val="center"/>
            <w:hideMark/>
          </w:tcPr>
          <w:p w14:paraId="2D701105" w14:textId="75D81150"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4 316 205 615 </w:t>
            </w:r>
          </w:p>
        </w:tc>
        <w:tc>
          <w:tcPr>
            <w:tcW w:w="708" w:type="dxa"/>
            <w:noWrap/>
            <w:textDirection w:val="btLr"/>
            <w:vAlign w:val="center"/>
            <w:hideMark/>
          </w:tcPr>
          <w:p w14:paraId="3F49B6EC" w14:textId="6014053E"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 12 714 542 </w:t>
            </w:r>
          </w:p>
        </w:tc>
        <w:tc>
          <w:tcPr>
            <w:tcW w:w="708" w:type="dxa"/>
            <w:noWrap/>
            <w:textDirection w:val="btLr"/>
            <w:vAlign w:val="center"/>
            <w:hideMark/>
          </w:tcPr>
          <w:p w14:paraId="09FB47DD" w14:textId="338F5E4E"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4 620 593 082 </w:t>
            </w:r>
          </w:p>
        </w:tc>
        <w:tc>
          <w:tcPr>
            <w:tcW w:w="709" w:type="dxa"/>
            <w:noWrap/>
            <w:textDirection w:val="btLr"/>
            <w:vAlign w:val="center"/>
            <w:hideMark/>
          </w:tcPr>
          <w:p w14:paraId="0800B1BF" w14:textId="0BCFB2C6"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13 863 582 </w:t>
            </w:r>
          </w:p>
        </w:tc>
        <w:tc>
          <w:tcPr>
            <w:tcW w:w="708" w:type="dxa"/>
            <w:noWrap/>
            <w:textDirection w:val="btLr"/>
            <w:vAlign w:val="center"/>
            <w:hideMark/>
          </w:tcPr>
          <w:p w14:paraId="1DAF924E" w14:textId="5ABD41EE"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4 569 031 415 </w:t>
            </w:r>
          </w:p>
        </w:tc>
        <w:tc>
          <w:tcPr>
            <w:tcW w:w="708" w:type="dxa"/>
            <w:noWrap/>
            <w:textDirection w:val="btLr"/>
            <w:vAlign w:val="center"/>
            <w:hideMark/>
          </w:tcPr>
          <w:p w14:paraId="738C6A5D" w14:textId="28E1F63F"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13 748 477 </w:t>
            </w:r>
          </w:p>
        </w:tc>
        <w:tc>
          <w:tcPr>
            <w:tcW w:w="709" w:type="dxa"/>
            <w:noWrap/>
            <w:textDirection w:val="btLr"/>
            <w:vAlign w:val="center"/>
            <w:hideMark/>
          </w:tcPr>
          <w:p w14:paraId="6CD95C2E" w14:textId="4E5C41DD"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5 641 351 958 </w:t>
            </w:r>
          </w:p>
        </w:tc>
        <w:tc>
          <w:tcPr>
            <w:tcW w:w="708" w:type="dxa"/>
            <w:noWrap/>
            <w:textDirection w:val="btLr"/>
            <w:vAlign w:val="center"/>
            <w:hideMark/>
          </w:tcPr>
          <w:p w14:paraId="69B24E37" w14:textId="6FC155A1"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14 683 373 </w:t>
            </w:r>
          </w:p>
        </w:tc>
        <w:tc>
          <w:tcPr>
            <w:tcW w:w="708" w:type="dxa"/>
            <w:noWrap/>
            <w:textDirection w:val="btLr"/>
            <w:vAlign w:val="center"/>
            <w:hideMark/>
          </w:tcPr>
          <w:p w14:paraId="786F7768" w14:textId="18ED4B8C"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5 806 462 164</w:t>
            </w:r>
          </w:p>
        </w:tc>
        <w:tc>
          <w:tcPr>
            <w:tcW w:w="709" w:type="dxa"/>
            <w:noWrap/>
            <w:textDirection w:val="btLr"/>
            <w:vAlign w:val="center"/>
            <w:hideMark/>
          </w:tcPr>
          <w:p w14:paraId="6744D268" w14:textId="3198E2B8"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15 232 862</w:t>
            </w:r>
          </w:p>
        </w:tc>
      </w:tr>
      <w:tr w:rsidR="0034307C" w:rsidRPr="005C53F5" w14:paraId="5B656911" w14:textId="77777777" w:rsidTr="00111CB6">
        <w:trPr>
          <w:cantSplit/>
          <w:trHeight w:val="1264"/>
        </w:trPr>
        <w:tc>
          <w:tcPr>
            <w:tcW w:w="1629" w:type="dxa"/>
            <w:vAlign w:val="center"/>
            <w:hideMark/>
          </w:tcPr>
          <w:p w14:paraId="406A4A66"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Долг Национального Банка Республики Казахстан </w:t>
            </w:r>
          </w:p>
        </w:tc>
        <w:tc>
          <w:tcPr>
            <w:tcW w:w="708" w:type="dxa"/>
            <w:noWrap/>
            <w:textDirection w:val="btLr"/>
            <w:vAlign w:val="center"/>
            <w:hideMark/>
          </w:tcPr>
          <w:p w14:paraId="48B4F828" w14:textId="6762B200"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26 864 000 </w:t>
            </w:r>
          </w:p>
        </w:tc>
        <w:tc>
          <w:tcPr>
            <w:tcW w:w="708" w:type="dxa"/>
            <w:noWrap/>
            <w:textDirection w:val="btLr"/>
            <w:vAlign w:val="center"/>
            <w:hideMark/>
          </w:tcPr>
          <w:p w14:paraId="61A0ECD9" w14:textId="5053A927"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147 321 </w:t>
            </w:r>
          </w:p>
        </w:tc>
        <w:tc>
          <w:tcPr>
            <w:tcW w:w="709" w:type="dxa"/>
            <w:noWrap/>
            <w:textDirection w:val="btLr"/>
            <w:vAlign w:val="center"/>
            <w:hideMark/>
          </w:tcPr>
          <w:p w14:paraId="75AB2442" w14:textId="251FC93C"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354 000 099 </w:t>
            </w:r>
          </w:p>
        </w:tc>
        <w:tc>
          <w:tcPr>
            <w:tcW w:w="708" w:type="dxa"/>
            <w:noWrap/>
            <w:textDirection w:val="btLr"/>
            <w:vAlign w:val="center"/>
            <w:hideMark/>
          </w:tcPr>
          <w:p w14:paraId="419AF99A" w14:textId="41D167FC"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1 042 802 </w:t>
            </w:r>
          </w:p>
        </w:tc>
        <w:tc>
          <w:tcPr>
            <w:tcW w:w="708" w:type="dxa"/>
            <w:noWrap/>
            <w:textDirection w:val="btLr"/>
            <w:vAlign w:val="center"/>
            <w:hideMark/>
          </w:tcPr>
          <w:p w14:paraId="71666C13" w14:textId="1577BAC0"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2 518 658 081 </w:t>
            </w:r>
          </w:p>
        </w:tc>
        <w:tc>
          <w:tcPr>
            <w:tcW w:w="709" w:type="dxa"/>
            <w:noWrap/>
            <w:textDirection w:val="btLr"/>
            <w:vAlign w:val="center"/>
            <w:hideMark/>
          </w:tcPr>
          <w:p w14:paraId="014CFAA9" w14:textId="293E216A"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7 556 957 </w:t>
            </w:r>
          </w:p>
        </w:tc>
        <w:tc>
          <w:tcPr>
            <w:tcW w:w="708" w:type="dxa"/>
            <w:noWrap/>
            <w:textDirection w:val="btLr"/>
            <w:vAlign w:val="center"/>
            <w:hideMark/>
          </w:tcPr>
          <w:p w14:paraId="0138CC49" w14:textId="62B8214C"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3 183 438 725 </w:t>
            </w:r>
          </w:p>
        </w:tc>
        <w:tc>
          <w:tcPr>
            <w:tcW w:w="708" w:type="dxa"/>
            <w:noWrap/>
            <w:textDirection w:val="btLr"/>
            <w:vAlign w:val="center"/>
            <w:hideMark/>
          </w:tcPr>
          <w:p w14:paraId="7B01CA68" w14:textId="1FFCE787"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9 579 149 </w:t>
            </w:r>
          </w:p>
        </w:tc>
        <w:tc>
          <w:tcPr>
            <w:tcW w:w="709" w:type="dxa"/>
            <w:noWrap/>
            <w:textDirection w:val="btLr"/>
            <w:vAlign w:val="center"/>
            <w:hideMark/>
          </w:tcPr>
          <w:p w14:paraId="0EBF04D6" w14:textId="04A5EEDA"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3 521 623 126 </w:t>
            </w:r>
          </w:p>
        </w:tc>
        <w:tc>
          <w:tcPr>
            <w:tcW w:w="708" w:type="dxa"/>
            <w:noWrap/>
            <w:textDirection w:val="btLr"/>
            <w:vAlign w:val="center"/>
            <w:hideMark/>
          </w:tcPr>
          <w:p w14:paraId="51293313" w14:textId="71260A0C"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9 166 120 </w:t>
            </w:r>
          </w:p>
        </w:tc>
        <w:tc>
          <w:tcPr>
            <w:tcW w:w="708" w:type="dxa"/>
            <w:noWrap/>
            <w:textDirection w:val="btLr"/>
            <w:vAlign w:val="center"/>
            <w:hideMark/>
          </w:tcPr>
          <w:p w14:paraId="3499359F" w14:textId="45E09E6E"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3 418 560 065</w:t>
            </w:r>
          </w:p>
        </w:tc>
        <w:tc>
          <w:tcPr>
            <w:tcW w:w="709" w:type="dxa"/>
            <w:noWrap/>
            <w:textDirection w:val="btLr"/>
            <w:vAlign w:val="center"/>
            <w:hideMark/>
          </w:tcPr>
          <w:p w14:paraId="74AAE6CE" w14:textId="657EA19B"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8 968 362</w:t>
            </w:r>
          </w:p>
        </w:tc>
      </w:tr>
      <w:tr w:rsidR="0034307C" w:rsidRPr="005C53F5" w14:paraId="252DAFB2" w14:textId="77777777" w:rsidTr="00111CB6">
        <w:trPr>
          <w:cantSplit/>
          <w:trHeight w:val="1254"/>
        </w:trPr>
        <w:tc>
          <w:tcPr>
            <w:tcW w:w="1629" w:type="dxa"/>
            <w:vAlign w:val="center"/>
            <w:hideMark/>
          </w:tcPr>
          <w:p w14:paraId="5C7C914F" w14:textId="77777777" w:rsidR="0034307C" w:rsidRPr="005C53F5" w:rsidRDefault="0034307C" w:rsidP="00057BE5">
            <w:pPr>
              <w:autoSpaceDE w:val="0"/>
              <w:autoSpaceDN w:val="0"/>
              <w:adjustRightInd w:val="0"/>
              <w:jc w:val="both"/>
              <w:rPr>
                <w:rFonts w:ascii="Times New Roman" w:eastAsia="Calibri" w:hAnsi="Times New Roman" w:cs="Times New Roman"/>
                <w:b/>
                <w:bCs/>
                <w:i/>
                <w:iCs/>
                <w:sz w:val="16"/>
                <w:szCs w:val="16"/>
              </w:rPr>
            </w:pPr>
            <w:r w:rsidRPr="005C53F5">
              <w:rPr>
                <w:rFonts w:ascii="Times New Roman" w:eastAsia="Calibri" w:hAnsi="Times New Roman" w:cs="Times New Roman"/>
                <w:b/>
                <w:bCs/>
                <w:i/>
                <w:iCs/>
                <w:sz w:val="16"/>
                <w:szCs w:val="16"/>
              </w:rPr>
              <w:t>внутренний</w:t>
            </w:r>
          </w:p>
        </w:tc>
        <w:tc>
          <w:tcPr>
            <w:tcW w:w="708" w:type="dxa"/>
            <w:noWrap/>
            <w:textDirection w:val="btLr"/>
            <w:vAlign w:val="center"/>
            <w:hideMark/>
          </w:tcPr>
          <w:p w14:paraId="31DF5F43" w14:textId="20F31382"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26 864 000 </w:t>
            </w:r>
          </w:p>
        </w:tc>
        <w:tc>
          <w:tcPr>
            <w:tcW w:w="708" w:type="dxa"/>
            <w:noWrap/>
            <w:textDirection w:val="btLr"/>
            <w:vAlign w:val="center"/>
            <w:hideMark/>
          </w:tcPr>
          <w:p w14:paraId="615665D4" w14:textId="28403938"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147 321 </w:t>
            </w:r>
          </w:p>
        </w:tc>
        <w:tc>
          <w:tcPr>
            <w:tcW w:w="709" w:type="dxa"/>
            <w:noWrap/>
            <w:textDirection w:val="btLr"/>
            <w:vAlign w:val="center"/>
            <w:hideMark/>
          </w:tcPr>
          <w:p w14:paraId="4A8D63B6" w14:textId="23D78B6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354 000 099 </w:t>
            </w:r>
          </w:p>
        </w:tc>
        <w:tc>
          <w:tcPr>
            <w:tcW w:w="708" w:type="dxa"/>
            <w:noWrap/>
            <w:textDirection w:val="btLr"/>
            <w:vAlign w:val="center"/>
            <w:hideMark/>
          </w:tcPr>
          <w:p w14:paraId="2D3713F6" w14:textId="7BB0378D"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1 042 802 </w:t>
            </w:r>
          </w:p>
        </w:tc>
        <w:tc>
          <w:tcPr>
            <w:tcW w:w="708" w:type="dxa"/>
            <w:noWrap/>
            <w:textDirection w:val="btLr"/>
            <w:vAlign w:val="center"/>
            <w:hideMark/>
          </w:tcPr>
          <w:p w14:paraId="35058BDA" w14:textId="16EAAEBA"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2 518 658 081 </w:t>
            </w:r>
          </w:p>
        </w:tc>
        <w:tc>
          <w:tcPr>
            <w:tcW w:w="709" w:type="dxa"/>
            <w:noWrap/>
            <w:textDirection w:val="btLr"/>
            <w:vAlign w:val="center"/>
            <w:hideMark/>
          </w:tcPr>
          <w:p w14:paraId="30D2E89D" w14:textId="110066EA"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7 556 957 </w:t>
            </w:r>
          </w:p>
        </w:tc>
        <w:tc>
          <w:tcPr>
            <w:tcW w:w="708" w:type="dxa"/>
            <w:noWrap/>
            <w:textDirection w:val="btLr"/>
            <w:vAlign w:val="center"/>
            <w:hideMark/>
          </w:tcPr>
          <w:p w14:paraId="26328E47" w14:textId="3350086D"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3 183 438 725 </w:t>
            </w:r>
          </w:p>
        </w:tc>
        <w:tc>
          <w:tcPr>
            <w:tcW w:w="708" w:type="dxa"/>
            <w:noWrap/>
            <w:textDirection w:val="btLr"/>
            <w:vAlign w:val="center"/>
            <w:hideMark/>
          </w:tcPr>
          <w:p w14:paraId="7C88F8F4" w14:textId="2002E5C9"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9 579 149 </w:t>
            </w:r>
          </w:p>
        </w:tc>
        <w:tc>
          <w:tcPr>
            <w:tcW w:w="709" w:type="dxa"/>
            <w:noWrap/>
            <w:textDirection w:val="btLr"/>
            <w:vAlign w:val="center"/>
            <w:hideMark/>
          </w:tcPr>
          <w:p w14:paraId="2DC3AD91" w14:textId="146AA94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3 521 623 126 </w:t>
            </w:r>
          </w:p>
        </w:tc>
        <w:tc>
          <w:tcPr>
            <w:tcW w:w="708" w:type="dxa"/>
            <w:noWrap/>
            <w:textDirection w:val="btLr"/>
            <w:vAlign w:val="center"/>
            <w:hideMark/>
          </w:tcPr>
          <w:p w14:paraId="46E65025" w14:textId="4624FE9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9 166 120 </w:t>
            </w:r>
          </w:p>
        </w:tc>
        <w:tc>
          <w:tcPr>
            <w:tcW w:w="708" w:type="dxa"/>
            <w:noWrap/>
            <w:textDirection w:val="btLr"/>
            <w:vAlign w:val="center"/>
            <w:hideMark/>
          </w:tcPr>
          <w:p w14:paraId="0C9D6553" w14:textId="46B9D5FC"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3 418 560 065</w:t>
            </w:r>
          </w:p>
        </w:tc>
        <w:tc>
          <w:tcPr>
            <w:tcW w:w="709" w:type="dxa"/>
            <w:noWrap/>
            <w:textDirection w:val="btLr"/>
            <w:vAlign w:val="center"/>
            <w:hideMark/>
          </w:tcPr>
          <w:p w14:paraId="0D44D861" w14:textId="279C4F1E"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8 968 362</w:t>
            </w:r>
          </w:p>
        </w:tc>
      </w:tr>
      <w:tr w:rsidR="0034307C" w:rsidRPr="005C53F5" w14:paraId="0E870D52" w14:textId="77777777" w:rsidTr="00111CB6">
        <w:trPr>
          <w:cantSplit/>
          <w:trHeight w:val="1134"/>
        </w:trPr>
        <w:tc>
          <w:tcPr>
            <w:tcW w:w="1629" w:type="dxa"/>
            <w:vAlign w:val="center"/>
            <w:hideMark/>
          </w:tcPr>
          <w:p w14:paraId="64BA0AD1" w14:textId="77777777" w:rsidR="0034307C" w:rsidRPr="005C53F5" w:rsidRDefault="0034307C" w:rsidP="00057BE5">
            <w:pPr>
              <w:autoSpaceDE w:val="0"/>
              <w:autoSpaceDN w:val="0"/>
              <w:adjustRightInd w:val="0"/>
              <w:jc w:val="both"/>
              <w:rPr>
                <w:rFonts w:ascii="Times New Roman" w:eastAsia="Calibri" w:hAnsi="Times New Roman" w:cs="Times New Roman"/>
                <w:b/>
                <w:bCs/>
                <w:i/>
                <w:iCs/>
                <w:sz w:val="16"/>
                <w:szCs w:val="16"/>
              </w:rPr>
            </w:pPr>
            <w:r w:rsidRPr="005C53F5">
              <w:rPr>
                <w:rFonts w:ascii="Times New Roman" w:eastAsia="Calibri" w:hAnsi="Times New Roman" w:cs="Times New Roman"/>
                <w:b/>
                <w:bCs/>
                <w:i/>
                <w:iCs/>
                <w:sz w:val="16"/>
                <w:szCs w:val="16"/>
              </w:rPr>
              <w:t>внешний</w:t>
            </w:r>
          </w:p>
        </w:tc>
        <w:tc>
          <w:tcPr>
            <w:tcW w:w="708" w:type="dxa"/>
            <w:noWrap/>
            <w:textDirection w:val="btLr"/>
            <w:vAlign w:val="center"/>
            <w:hideMark/>
          </w:tcPr>
          <w:p w14:paraId="503DD4E2"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8" w:type="dxa"/>
            <w:noWrap/>
            <w:textDirection w:val="btLr"/>
            <w:vAlign w:val="center"/>
            <w:hideMark/>
          </w:tcPr>
          <w:p w14:paraId="6F1CBD96"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9" w:type="dxa"/>
            <w:noWrap/>
            <w:textDirection w:val="btLr"/>
            <w:vAlign w:val="center"/>
            <w:hideMark/>
          </w:tcPr>
          <w:p w14:paraId="3CA21B61"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8" w:type="dxa"/>
            <w:noWrap/>
            <w:textDirection w:val="btLr"/>
            <w:vAlign w:val="center"/>
            <w:hideMark/>
          </w:tcPr>
          <w:p w14:paraId="320123B1"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8" w:type="dxa"/>
            <w:noWrap/>
            <w:textDirection w:val="btLr"/>
            <w:vAlign w:val="center"/>
            <w:hideMark/>
          </w:tcPr>
          <w:p w14:paraId="70C313C4"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9" w:type="dxa"/>
            <w:noWrap/>
            <w:textDirection w:val="btLr"/>
            <w:vAlign w:val="center"/>
            <w:hideMark/>
          </w:tcPr>
          <w:p w14:paraId="06DA3793"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8" w:type="dxa"/>
            <w:noWrap/>
            <w:textDirection w:val="btLr"/>
            <w:vAlign w:val="center"/>
            <w:hideMark/>
          </w:tcPr>
          <w:p w14:paraId="7C92AF22"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8" w:type="dxa"/>
            <w:noWrap/>
            <w:textDirection w:val="btLr"/>
            <w:vAlign w:val="center"/>
            <w:hideMark/>
          </w:tcPr>
          <w:p w14:paraId="2255960D"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9" w:type="dxa"/>
            <w:noWrap/>
            <w:textDirection w:val="btLr"/>
            <w:vAlign w:val="center"/>
            <w:hideMark/>
          </w:tcPr>
          <w:p w14:paraId="486A3D60"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8" w:type="dxa"/>
            <w:noWrap/>
            <w:textDirection w:val="btLr"/>
            <w:vAlign w:val="center"/>
            <w:hideMark/>
          </w:tcPr>
          <w:p w14:paraId="2EC15EBF"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8" w:type="dxa"/>
            <w:noWrap/>
            <w:textDirection w:val="btLr"/>
            <w:vAlign w:val="center"/>
            <w:hideMark/>
          </w:tcPr>
          <w:p w14:paraId="4B5C9B2E"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c>
          <w:tcPr>
            <w:tcW w:w="709" w:type="dxa"/>
            <w:noWrap/>
            <w:textDirection w:val="btLr"/>
            <w:vAlign w:val="center"/>
            <w:hideMark/>
          </w:tcPr>
          <w:p w14:paraId="3ABA0CBA"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w:t>
            </w:r>
          </w:p>
        </w:tc>
      </w:tr>
      <w:tr w:rsidR="0034307C" w:rsidRPr="005C53F5" w14:paraId="3DD6E104" w14:textId="77777777" w:rsidTr="00111CB6">
        <w:trPr>
          <w:cantSplit/>
          <w:trHeight w:val="1134"/>
        </w:trPr>
        <w:tc>
          <w:tcPr>
            <w:tcW w:w="1629" w:type="dxa"/>
            <w:vAlign w:val="center"/>
            <w:hideMark/>
          </w:tcPr>
          <w:p w14:paraId="6E16BCC8"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Долг местных исполнительных органов Республики Казахстан</w:t>
            </w:r>
            <w:r w:rsidRPr="005C53F5">
              <w:rPr>
                <w:rFonts w:ascii="Times New Roman" w:eastAsia="Calibri" w:hAnsi="Times New Roman" w:cs="Times New Roman"/>
                <w:sz w:val="16"/>
                <w:szCs w:val="16"/>
                <w:vertAlign w:val="superscript"/>
              </w:rPr>
              <w:t xml:space="preserve">2 </w:t>
            </w:r>
          </w:p>
        </w:tc>
        <w:tc>
          <w:tcPr>
            <w:tcW w:w="708" w:type="dxa"/>
            <w:noWrap/>
            <w:textDirection w:val="btLr"/>
            <w:vAlign w:val="center"/>
            <w:hideMark/>
          </w:tcPr>
          <w:p w14:paraId="7955351F" w14:textId="727C7B62"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233 024 535 </w:t>
            </w:r>
          </w:p>
        </w:tc>
        <w:tc>
          <w:tcPr>
            <w:tcW w:w="708" w:type="dxa"/>
            <w:noWrap/>
            <w:textDirection w:val="btLr"/>
            <w:vAlign w:val="center"/>
            <w:hideMark/>
          </w:tcPr>
          <w:p w14:paraId="54E3D8D3" w14:textId="1F91D8A7"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1 277 897 </w:t>
            </w:r>
          </w:p>
        </w:tc>
        <w:tc>
          <w:tcPr>
            <w:tcW w:w="709" w:type="dxa"/>
            <w:noWrap/>
            <w:textDirection w:val="btLr"/>
            <w:vAlign w:val="center"/>
            <w:hideMark/>
          </w:tcPr>
          <w:p w14:paraId="44020C84" w14:textId="34796C45"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 310 850 147 </w:t>
            </w:r>
          </w:p>
        </w:tc>
        <w:tc>
          <w:tcPr>
            <w:tcW w:w="708" w:type="dxa"/>
            <w:noWrap/>
            <w:textDirection w:val="btLr"/>
            <w:vAlign w:val="center"/>
            <w:hideMark/>
          </w:tcPr>
          <w:p w14:paraId="1DA6F314" w14:textId="313B712D"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915 693 </w:t>
            </w:r>
          </w:p>
        </w:tc>
        <w:tc>
          <w:tcPr>
            <w:tcW w:w="708" w:type="dxa"/>
            <w:noWrap/>
            <w:textDirection w:val="btLr"/>
            <w:vAlign w:val="center"/>
            <w:hideMark/>
          </w:tcPr>
          <w:p w14:paraId="28C818EA" w14:textId="33A9EACD"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439 601 425 </w:t>
            </w:r>
          </w:p>
        </w:tc>
        <w:tc>
          <w:tcPr>
            <w:tcW w:w="709" w:type="dxa"/>
            <w:noWrap/>
            <w:textDirection w:val="btLr"/>
            <w:vAlign w:val="center"/>
            <w:hideMark/>
          </w:tcPr>
          <w:p w14:paraId="1F7089E6" w14:textId="05798424"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1 318 976 </w:t>
            </w:r>
          </w:p>
        </w:tc>
        <w:tc>
          <w:tcPr>
            <w:tcW w:w="708" w:type="dxa"/>
            <w:noWrap/>
            <w:textDirection w:val="btLr"/>
            <w:vAlign w:val="center"/>
            <w:hideMark/>
          </w:tcPr>
          <w:p w14:paraId="3B66FB92" w14:textId="1F43F3B5"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572 117 241 </w:t>
            </w:r>
          </w:p>
        </w:tc>
        <w:tc>
          <w:tcPr>
            <w:tcW w:w="708" w:type="dxa"/>
            <w:noWrap/>
            <w:textDirection w:val="btLr"/>
            <w:vAlign w:val="center"/>
            <w:hideMark/>
          </w:tcPr>
          <w:p w14:paraId="78CDE0A9" w14:textId="69A52CCE"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1 721 534 </w:t>
            </w:r>
          </w:p>
        </w:tc>
        <w:tc>
          <w:tcPr>
            <w:tcW w:w="709" w:type="dxa"/>
            <w:noWrap/>
            <w:textDirection w:val="btLr"/>
            <w:vAlign w:val="center"/>
            <w:hideMark/>
          </w:tcPr>
          <w:p w14:paraId="0D309E52" w14:textId="3291FF58"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717 004 883 </w:t>
            </w:r>
          </w:p>
        </w:tc>
        <w:tc>
          <w:tcPr>
            <w:tcW w:w="708" w:type="dxa"/>
            <w:noWrap/>
            <w:textDirection w:val="btLr"/>
            <w:vAlign w:val="center"/>
            <w:hideMark/>
          </w:tcPr>
          <w:p w14:paraId="1D366B0F" w14:textId="0E882DA3"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1 866 228 </w:t>
            </w:r>
          </w:p>
        </w:tc>
        <w:tc>
          <w:tcPr>
            <w:tcW w:w="708" w:type="dxa"/>
            <w:noWrap/>
            <w:textDirection w:val="btLr"/>
            <w:vAlign w:val="center"/>
            <w:hideMark/>
          </w:tcPr>
          <w:p w14:paraId="4BB5EBED" w14:textId="7FCBD9EE"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846 655 200</w:t>
            </w:r>
          </w:p>
        </w:tc>
        <w:tc>
          <w:tcPr>
            <w:tcW w:w="709" w:type="dxa"/>
            <w:noWrap/>
            <w:textDirection w:val="btLr"/>
            <w:vAlign w:val="center"/>
            <w:hideMark/>
          </w:tcPr>
          <w:p w14:paraId="1D28B5E5" w14:textId="721D40EF"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2 221 143</w:t>
            </w:r>
          </w:p>
        </w:tc>
      </w:tr>
      <w:tr w:rsidR="0034307C" w:rsidRPr="005C53F5" w14:paraId="09C34D8D" w14:textId="77777777" w:rsidTr="00111CB6">
        <w:trPr>
          <w:cantSplit/>
          <w:trHeight w:val="1134"/>
        </w:trPr>
        <w:tc>
          <w:tcPr>
            <w:tcW w:w="1629" w:type="dxa"/>
            <w:vAlign w:val="center"/>
            <w:hideMark/>
          </w:tcPr>
          <w:p w14:paraId="77833396" w14:textId="77777777" w:rsidR="0034307C" w:rsidRPr="005C53F5" w:rsidRDefault="0034307C" w:rsidP="00057BE5">
            <w:pPr>
              <w:autoSpaceDE w:val="0"/>
              <w:autoSpaceDN w:val="0"/>
              <w:adjustRightInd w:val="0"/>
              <w:jc w:val="both"/>
              <w:rPr>
                <w:rFonts w:ascii="Times New Roman" w:eastAsia="Calibri" w:hAnsi="Times New Roman" w:cs="Times New Roman"/>
                <w:b/>
                <w:bCs/>
                <w:i/>
                <w:iCs/>
                <w:sz w:val="16"/>
                <w:szCs w:val="16"/>
              </w:rPr>
            </w:pPr>
            <w:r w:rsidRPr="005C53F5">
              <w:rPr>
                <w:rFonts w:ascii="Times New Roman" w:eastAsia="Calibri" w:hAnsi="Times New Roman" w:cs="Times New Roman"/>
                <w:b/>
                <w:bCs/>
                <w:i/>
                <w:iCs/>
                <w:sz w:val="16"/>
                <w:szCs w:val="16"/>
              </w:rPr>
              <w:t xml:space="preserve">перед Правительством Республики Казахстан </w:t>
            </w:r>
          </w:p>
        </w:tc>
        <w:tc>
          <w:tcPr>
            <w:tcW w:w="708" w:type="dxa"/>
            <w:noWrap/>
            <w:textDirection w:val="btLr"/>
            <w:vAlign w:val="center"/>
            <w:hideMark/>
          </w:tcPr>
          <w:p w14:paraId="7F5EF939" w14:textId="27B45D28"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217 529 938 </w:t>
            </w:r>
          </w:p>
        </w:tc>
        <w:tc>
          <w:tcPr>
            <w:tcW w:w="708" w:type="dxa"/>
            <w:noWrap/>
            <w:textDirection w:val="btLr"/>
            <w:vAlign w:val="center"/>
            <w:hideMark/>
          </w:tcPr>
          <w:p w14:paraId="798C0A19" w14:textId="739D3E73"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1 192 925 </w:t>
            </w:r>
          </w:p>
        </w:tc>
        <w:tc>
          <w:tcPr>
            <w:tcW w:w="709" w:type="dxa"/>
            <w:noWrap/>
            <w:textDirection w:val="btLr"/>
            <w:vAlign w:val="center"/>
            <w:hideMark/>
          </w:tcPr>
          <w:p w14:paraId="0C6C4DCE" w14:textId="1122EC3F"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308 355 550 </w:t>
            </w:r>
          </w:p>
        </w:tc>
        <w:tc>
          <w:tcPr>
            <w:tcW w:w="708" w:type="dxa"/>
            <w:noWrap/>
            <w:textDirection w:val="btLr"/>
            <w:vAlign w:val="center"/>
            <w:hideMark/>
          </w:tcPr>
          <w:p w14:paraId="31F1A0E4" w14:textId="03CDEC5B"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908 344 </w:t>
            </w:r>
          </w:p>
        </w:tc>
        <w:tc>
          <w:tcPr>
            <w:tcW w:w="708" w:type="dxa"/>
            <w:noWrap/>
            <w:textDirection w:val="btLr"/>
            <w:vAlign w:val="center"/>
            <w:hideMark/>
          </w:tcPr>
          <w:p w14:paraId="1DB6287E" w14:textId="73838D66"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398 893 352 </w:t>
            </w:r>
          </w:p>
        </w:tc>
        <w:tc>
          <w:tcPr>
            <w:tcW w:w="709" w:type="dxa"/>
            <w:noWrap/>
            <w:textDirection w:val="btLr"/>
            <w:vAlign w:val="center"/>
            <w:hideMark/>
          </w:tcPr>
          <w:p w14:paraId="703C1F32" w14:textId="275480AA"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1 196 836 </w:t>
            </w:r>
          </w:p>
        </w:tc>
        <w:tc>
          <w:tcPr>
            <w:tcW w:w="708" w:type="dxa"/>
            <w:noWrap/>
            <w:textDirection w:val="btLr"/>
            <w:vAlign w:val="center"/>
            <w:hideMark/>
          </w:tcPr>
          <w:p w14:paraId="4D85AE8F" w14:textId="6A829A0A"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444 667 991 </w:t>
            </w:r>
          </w:p>
        </w:tc>
        <w:tc>
          <w:tcPr>
            <w:tcW w:w="708" w:type="dxa"/>
            <w:noWrap/>
            <w:textDirection w:val="btLr"/>
            <w:vAlign w:val="center"/>
            <w:hideMark/>
          </w:tcPr>
          <w:p w14:paraId="1C868549" w14:textId="053AD67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1 338 031 </w:t>
            </w:r>
          </w:p>
        </w:tc>
        <w:tc>
          <w:tcPr>
            <w:tcW w:w="709" w:type="dxa"/>
            <w:noWrap/>
            <w:textDirection w:val="btLr"/>
            <w:vAlign w:val="center"/>
            <w:hideMark/>
          </w:tcPr>
          <w:p w14:paraId="6FB3F31F" w14:textId="0DA8892B"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525 579 682 </w:t>
            </w:r>
          </w:p>
        </w:tc>
        <w:tc>
          <w:tcPr>
            <w:tcW w:w="708" w:type="dxa"/>
            <w:noWrap/>
            <w:textDirection w:val="btLr"/>
            <w:vAlign w:val="center"/>
            <w:hideMark/>
          </w:tcPr>
          <w:p w14:paraId="6582CF8A" w14:textId="298DA9A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1 367 985 </w:t>
            </w:r>
          </w:p>
        </w:tc>
        <w:tc>
          <w:tcPr>
            <w:tcW w:w="708" w:type="dxa"/>
            <w:noWrap/>
            <w:textDirection w:val="btLr"/>
            <w:vAlign w:val="center"/>
            <w:hideMark/>
          </w:tcPr>
          <w:p w14:paraId="6660D4E5" w14:textId="40A5F692"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630 116 047</w:t>
            </w:r>
          </w:p>
        </w:tc>
        <w:tc>
          <w:tcPr>
            <w:tcW w:w="709" w:type="dxa"/>
            <w:noWrap/>
            <w:textDirection w:val="btLr"/>
            <w:vAlign w:val="center"/>
            <w:hideMark/>
          </w:tcPr>
          <w:p w14:paraId="2BD44762" w14:textId="6E1E2665"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1 653 067</w:t>
            </w:r>
          </w:p>
        </w:tc>
      </w:tr>
      <w:tr w:rsidR="0034307C" w:rsidRPr="005C53F5" w14:paraId="7F69AEE6" w14:textId="77777777" w:rsidTr="00111CB6">
        <w:trPr>
          <w:cantSplit/>
          <w:trHeight w:val="1134"/>
        </w:trPr>
        <w:tc>
          <w:tcPr>
            <w:tcW w:w="1629" w:type="dxa"/>
            <w:vAlign w:val="center"/>
            <w:hideMark/>
          </w:tcPr>
          <w:p w14:paraId="2482D09F" w14:textId="77777777" w:rsidR="0034307C" w:rsidRPr="005C53F5" w:rsidRDefault="0034307C" w:rsidP="00057BE5">
            <w:pPr>
              <w:autoSpaceDE w:val="0"/>
              <w:autoSpaceDN w:val="0"/>
              <w:adjustRightInd w:val="0"/>
              <w:jc w:val="both"/>
              <w:rPr>
                <w:rFonts w:ascii="Times New Roman" w:eastAsia="Calibri" w:hAnsi="Times New Roman" w:cs="Times New Roman"/>
                <w:b/>
                <w:bCs/>
                <w:i/>
                <w:iCs/>
                <w:sz w:val="16"/>
                <w:szCs w:val="16"/>
              </w:rPr>
            </w:pPr>
            <w:r w:rsidRPr="005C53F5">
              <w:rPr>
                <w:rFonts w:ascii="Times New Roman" w:eastAsia="Calibri" w:hAnsi="Times New Roman" w:cs="Times New Roman"/>
                <w:b/>
                <w:bCs/>
                <w:i/>
                <w:iCs/>
                <w:sz w:val="16"/>
                <w:szCs w:val="16"/>
              </w:rPr>
              <w:t xml:space="preserve">перед прочими кредиторами </w:t>
            </w:r>
          </w:p>
        </w:tc>
        <w:tc>
          <w:tcPr>
            <w:tcW w:w="708" w:type="dxa"/>
            <w:noWrap/>
            <w:textDirection w:val="btLr"/>
            <w:vAlign w:val="center"/>
            <w:hideMark/>
          </w:tcPr>
          <w:p w14:paraId="498A38A8" w14:textId="3183E614"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 15 494 597 </w:t>
            </w:r>
          </w:p>
        </w:tc>
        <w:tc>
          <w:tcPr>
            <w:tcW w:w="708" w:type="dxa"/>
            <w:noWrap/>
            <w:textDirection w:val="btLr"/>
            <w:vAlign w:val="center"/>
            <w:hideMark/>
          </w:tcPr>
          <w:p w14:paraId="56AC5727" w14:textId="2C1E69BB"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84 972 </w:t>
            </w:r>
          </w:p>
        </w:tc>
        <w:tc>
          <w:tcPr>
            <w:tcW w:w="709" w:type="dxa"/>
            <w:noWrap/>
            <w:textDirection w:val="btLr"/>
            <w:vAlign w:val="center"/>
            <w:hideMark/>
          </w:tcPr>
          <w:p w14:paraId="2C985001" w14:textId="7397EA3E"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2 494 597 </w:t>
            </w:r>
          </w:p>
        </w:tc>
        <w:tc>
          <w:tcPr>
            <w:tcW w:w="708" w:type="dxa"/>
            <w:noWrap/>
            <w:textDirection w:val="btLr"/>
            <w:vAlign w:val="center"/>
            <w:hideMark/>
          </w:tcPr>
          <w:p w14:paraId="6A421239" w14:textId="26024E3A"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7 349 </w:t>
            </w:r>
          </w:p>
        </w:tc>
        <w:tc>
          <w:tcPr>
            <w:tcW w:w="708" w:type="dxa"/>
            <w:noWrap/>
            <w:textDirection w:val="btLr"/>
            <w:vAlign w:val="center"/>
            <w:hideMark/>
          </w:tcPr>
          <w:p w14:paraId="03C20913" w14:textId="5E914298"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40 708 073 </w:t>
            </w:r>
          </w:p>
        </w:tc>
        <w:tc>
          <w:tcPr>
            <w:tcW w:w="709" w:type="dxa"/>
            <w:noWrap/>
            <w:textDirection w:val="btLr"/>
            <w:vAlign w:val="center"/>
            <w:hideMark/>
          </w:tcPr>
          <w:p w14:paraId="45E2D4C0" w14:textId="05B4B92F"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122 140 </w:t>
            </w:r>
          </w:p>
        </w:tc>
        <w:tc>
          <w:tcPr>
            <w:tcW w:w="708" w:type="dxa"/>
            <w:noWrap/>
            <w:textDirection w:val="btLr"/>
            <w:vAlign w:val="center"/>
            <w:hideMark/>
          </w:tcPr>
          <w:p w14:paraId="2A08A218" w14:textId="4CDFA6B3"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127 449 251 </w:t>
            </w:r>
          </w:p>
        </w:tc>
        <w:tc>
          <w:tcPr>
            <w:tcW w:w="708" w:type="dxa"/>
            <w:noWrap/>
            <w:textDirection w:val="btLr"/>
            <w:vAlign w:val="center"/>
            <w:hideMark/>
          </w:tcPr>
          <w:p w14:paraId="283F2C1E" w14:textId="3B0AEC68"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383 502 </w:t>
            </w:r>
          </w:p>
        </w:tc>
        <w:tc>
          <w:tcPr>
            <w:tcW w:w="709" w:type="dxa"/>
            <w:noWrap/>
            <w:textDirection w:val="btLr"/>
            <w:vAlign w:val="center"/>
            <w:hideMark/>
          </w:tcPr>
          <w:p w14:paraId="1A8C339F" w14:textId="2CED627F"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191 425 201 </w:t>
            </w:r>
          </w:p>
        </w:tc>
        <w:tc>
          <w:tcPr>
            <w:tcW w:w="708" w:type="dxa"/>
            <w:noWrap/>
            <w:textDirection w:val="btLr"/>
            <w:vAlign w:val="center"/>
            <w:hideMark/>
          </w:tcPr>
          <w:p w14:paraId="0FA5217F" w14:textId="29E86413"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498 244 </w:t>
            </w:r>
          </w:p>
        </w:tc>
        <w:tc>
          <w:tcPr>
            <w:tcW w:w="708" w:type="dxa"/>
            <w:noWrap/>
            <w:textDirection w:val="btLr"/>
            <w:vAlign w:val="center"/>
            <w:hideMark/>
          </w:tcPr>
          <w:p w14:paraId="4D02CA98" w14:textId="58AD830A"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216 539 152</w:t>
            </w:r>
          </w:p>
        </w:tc>
        <w:tc>
          <w:tcPr>
            <w:tcW w:w="709" w:type="dxa"/>
            <w:noWrap/>
            <w:textDirection w:val="btLr"/>
            <w:vAlign w:val="center"/>
            <w:hideMark/>
          </w:tcPr>
          <w:p w14:paraId="7F2311AA" w14:textId="138906CE"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568 076</w:t>
            </w:r>
          </w:p>
        </w:tc>
      </w:tr>
      <w:tr w:rsidR="0034307C" w:rsidRPr="005C53F5" w14:paraId="0AE6B6DF" w14:textId="77777777" w:rsidTr="00111CB6">
        <w:trPr>
          <w:cantSplit/>
          <w:trHeight w:val="1134"/>
        </w:trPr>
        <w:tc>
          <w:tcPr>
            <w:tcW w:w="1629" w:type="dxa"/>
            <w:vAlign w:val="center"/>
            <w:hideMark/>
          </w:tcPr>
          <w:p w14:paraId="1467AF69"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Гарантированный государством долг </w:t>
            </w:r>
          </w:p>
        </w:tc>
        <w:tc>
          <w:tcPr>
            <w:tcW w:w="708" w:type="dxa"/>
            <w:noWrap/>
            <w:textDirection w:val="btLr"/>
            <w:vAlign w:val="center"/>
            <w:hideMark/>
          </w:tcPr>
          <w:p w14:paraId="68C0FA60" w14:textId="6B20F44B"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83 270 238 </w:t>
            </w:r>
          </w:p>
        </w:tc>
        <w:tc>
          <w:tcPr>
            <w:tcW w:w="708" w:type="dxa"/>
            <w:noWrap/>
            <w:textDirection w:val="btLr"/>
            <w:vAlign w:val="center"/>
            <w:hideMark/>
          </w:tcPr>
          <w:p w14:paraId="4E522DA9" w14:textId="6A48D263"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456 651 </w:t>
            </w:r>
          </w:p>
        </w:tc>
        <w:tc>
          <w:tcPr>
            <w:tcW w:w="709" w:type="dxa"/>
            <w:noWrap/>
            <w:textDirection w:val="btLr"/>
            <w:vAlign w:val="center"/>
            <w:hideMark/>
          </w:tcPr>
          <w:p w14:paraId="41AE7EBE" w14:textId="760912E2"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238 317 852 </w:t>
            </w:r>
          </w:p>
        </w:tc>
        <w:tc>
          <w:tcPr>
            <w:tcW w:w="708" w:type="dxa"/>
            <w:noWrap/>
            <w:textDirection w:val="btLr"/>
            <w:vAlign w:val="center"/>
            <w:hideMark/>
          </w:tcPr>
          <w:p w14:paraId="5E410A66" w14:textId="552655DF"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702 029 </w:t>
            </w:r>
          </w:p>
        </w:tc>
        <w:tc>
          <w:tcPr>
            <w:tcW w:w="708" w:type="dxa"/>
            <w:noWrap/>
            <w:textDirection w:val="btLr"/>
            <w:vAlign w:val="center"/>
            <w:hideMark/>
          </w:tcPr>
          <w:p w14:paraId="0038E0EC" w14:textId="6C8926E2"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286 857 010 </w:t>
            </w:r>
          </w:p>
        </w:tc>
        <w:tc>
          <w:tcPr>
            <w:tcW w:w="709" w:type="dxa"/>
            <w:noWrap/>
            <w:textDirection w:val="btLr"/>
            <w:vAlign w:val="center"/>
            <w:hideMark/>
          </w:tcPr>
          <w:p w14:paraId="2119667F" w14:textId="64A58D22"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860 683 </w:t>
            </w:r>
          </w:p>
        </w:tc>
        <w:tc>
          <w:tcPr>
            <w:tcW w:w="708" w:type="dxa"/>
            <w:noWrap/>
            <w:textDirection w:val="btLr"/>
            <w:vAlign w:val="center"/>
            <w:hideMark/>
          </w:tcPr>
          <w:p w14:paraId="667DE8C8" w14:textId="0DE73979"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446 150 033 </w:t>
            </w:r>
          </w:p>
        </w:tc>
        <w:tc>
          <w:tcPr>
            <w:tcW w:w="708" w:type="dxa"/>
            <w:noWrap/>
            <w:textDirection w:val="btLr"/>
            <w:vAlign w:val="center"/>
            <w:hideMark/>
          </w:tcPr>
          <w:p w14:paraId="0758364C" w14:textId="3297B314"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1 342 491 </w:t>
            </w:r>
          </w:p>
        </w:tc>
        <w:tc>
          <w:tcPr>
            <w:tcW w:w="709" w:type="dxa"/>
            <w:noWrap/>
            <w:textDirection w:val="btLr"/>
            <w:vAlign w:val="center"/>
            <w:hideMark/>
          </w:tcPr>
          <w:p w14:paraId="5E27BBD4" w14:textId="0F343E85"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620 309 002 </w:t>
            </w:r>
          </w:p>
        </w:tc>
        <w:tc>
          <w:tcPr>
            <w:tcW w:w="708" w:type="dxa"/>
            <w:noWrap/>
            <w:textDirection w:val="btLr"/>
            <w:vAlign w:val="center"/>
            <w:hideMark/>
          </w:tcPr>
          <w:p w14:paraId="355D9307" w14:textId="10D63E03"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1 614 547 </w:t>
            </w:r>
          </w:p>
        </w:tc>
        <w:tc>
          <w:tcPr>
            <w:tcW w:w="708" w:type="dxa"/>
            <w:noWrap/>
            <w:textDirection w:val="btLr"/>
            <w:vAlign w:val="center"/>
            <w:hideMark/>
          </w:tcPr>
          <w:p w14:paraId="61DE334E" w14:textId="07173909"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768 487 025</w:t>
            </w:r>
          </w:p>
        </w:tc>
        <w:tc>
          <w:tcPr>
            <w:tcW w:w="709" w:type="dxa"/>
            <w:noWrap/>
            <w:textDirection w:val="btLr"/>
            <w:vAlign w:val="center"/>
            <w:hideMark/>
          </w:tcPr>
          <w:p w14:paraId="24632748" w14:textId="41797847"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2 016 074</w:t>
            </w:r>
          </w:p>
        </w:tc>
      </w:tr>
      <w:tr w:rsidR="0034307C" w:rsidRPr="005C53F5" w14:paraId="4DA69B58" w14:textId="77777777" w:rsidTr="00111CB6">
        <w:trPr>
          <w:cantSplit/>
          <w:trHeight w:val="1134"/>
        </w:trPr>
        <w:tc>
          <w:tcPr>
            <w:tcW w:w="1629" w:type="dxa"/>
            <w:vAlign w:val="center"/>
            <w:hideMark/>
          </w:tcPr>
          <w:p w14:paraId="500247F3" w14:textId="77777777" w:rsidR="0034307C" w:rsidRPr="005C53F5" w:rsidRDefault="0034307C" w:rsidP="00057BE5">
            <w:pPr>
              <w:autoSpaceDE w:val="0"/>
              <w:autoSpaceDN w:val="0"/>
              <w:adjustRightInd w:val="0"/>
              <w:jc w:val="both"/>
              <w:rPr>
                <w:rFonts w:ascii="Times New Roman" w:eastAsia="Calibri" w:hAnsi="Times New Roman" w:cs="Times New Roman"/>
                <w:b/>
                <w:bCs/>
                <w:i/>
                <w:iCs/>
                <w:sz w:val="16"/>
                <w:szCs w:val="16"/>
              </w:rPr>
            </w:pPr>
            <w:r w:rsidRPr="005C53F5">
              <w:rPr>
                <w:rFonts w:ascii="Times New Roman" w:eastAsia="Calibri" w:hAnsi="Times New Roman" w:cs="Times New Roman"/>
                <w:b/>
                <w:bCs/>
                <w:i/>
                <w:iCs/>
                <w:sz w:val="16"/>
                <w:szCs w:val="16"/>
              </w:rPr>
              <w:t>внутренний</w:t>
            </w:r>
          </w:p>
        </w:tc>
        <w:tc>
          <w:tcPr>
            <w:tcW w:w="708" w:type="dxa"/>
            <w:noWrap/>
            <w:textDirection w:val="btLr"/>
            <w:vAlign w:val="center"/>
            <w:hideMark/>
          </w:tcPr>
          <w:p w14:paraId="028F254D" w14:textId="0A2D7C5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7 352 908 </w:t>
            </w:r>
          </w:p>
        </w:tc>
        <w:tc>
          <w:tcPr>
            <w:tcW w:w="708" w:type="dxa"/>
            <w:noWrap/>
            <w:textDirection w:val="btLr"/>
            <w:vAlign w:val="center"/>
            <w:hideMark/>
          </w:tcPr>
          <w:p w14:paraId="48969D4A" w14:textId="0E06DE8F"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40 323 </w:t>
            </w:r>
          </w:p>
        </w:tc>
        <w:tc>
          <w:tcPr>
            <w:tcW w:w="709" w:type="dxa"/>
            <w:noWrap/>
            <w:textDirection w:val="btLr"/>
            <w:vAlign w:val="center"/>
            <w:hideMark/>
          </w:tcPr>
          <w:p w14:paraId="551D0111" w14:textId="40264196"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12 334 169 </w:t>
            </w:r>
          </w:p>
        </w:tc>
        <w:tc>
          <w:tcPr>
            <w:tcW w:w="708" w:type="dxa"/>
            <w:noWrap/>
            <w:textDirection w:val="btLr"/>
            <w:vAlign w:val="center"/>
            <w:hideMark/>
          </w:tcPr>
          <w:p w14:paraId="54BECA35" w14:textId="16AEF65B"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36 334 </w:t>
            </w:r>
          </w:p>
        </w:tc>
        <w:tc>
          <w:tcPr>
            <w:tcW w:w="708" w:type="dxa"/>
            <w:noWrap/>
            <w:textDirection w:val="btLr"/>
            <w:vAlign w:val="center"/>
            <w:hideMark/>
          </w:tcPr>
          <w:p w14:paraId="366035B6" w14:textId="61348049"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10 779 986 </w:t>
            </w:r>
          </w:p>
        </w:tc>
        <w:tc>
          <w:tcPr>
            <w:tcW w:w="709" w:type="dxa"/>
            <w:noWrap/>
            <w:textDirection w:val="btLr"/>
            <w:vAlign w:val="center"/>
            <w:hideMark/>
          </w:tcPr>
          <w:p w14:paraId="23F95485" w14:textId="362A57D9"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32 344 </w:t>
            </w:r>
          </w:p>
        </w:tc>
        <w:tc>
          <w:tcPr>
            <w:tcW w:w="708" w:type="dxa"/>
            <w:noWrap/>
            <w:textDirection w:val="btLr"/>
            <w:vAlign w:val="center"/>
            <w:hideMark/>
          </w:tcPr>
          <w:p w14:paraId="2F2C3E25" w14:textId="66154F6D"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9 423 123 </w:t>
            </w:r>
          </w:p>
        </w:tc>
        <w:tc>
          <w:tcPr>
            <w:tcW w:w="708" w:type="dxa"/>
            <w:noWrap/>
            <w:textDirection w:val="btLr"/>
            <w:vAlign w:val="center"/>
            <w:hideMark/>
          </w:tcPr>
          <w:p w14:paraId="4F58E463" w14:textId="5A94F3E5"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28 355 </w:t>
            </w:r>
          </w:p>
        </w:tc>
        <w:tc>
          <w:tcPr>
            <w:tcW w:w="709" w:type="dxa"/>
            <w:noWrap/>
            <w:textDirection w:val="btLr"/>
            <w:vAlign w:val="center"/>
            <w:hideMark/>
          </w:tcPr>
          <w:p w14:paraId="203E86BA" w14:textId="5F8D6756"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9 361 138 </w:t>
            </w:r>
          </w:p>
        </w:tc>
        <w:tc>
          <w:tcPr>
            <w:tcW w:w="708" w:type="dxa"/>
            <w:noWrap/>
            <w:textDirection w:val="btLr"/>
            <w:vAlign w:val="center"/>
            <w:hideMark/>
          </w:tcPr>
          <w:p w14:paraId="19C36277" w14:textId="4EC22708"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24 365 </w:t>
            </w:r>
          </w:p>
        </w:tc>
        <w:tc>
          <w:tcPr>
            <w:tcW w:w="708" w:type="dxa"/>
            <w:noWrap/>
            <w:textDirection w:val="btLr"/>
            <w:vAlign w:val="center"/>
            <w:hideMark/>
          </w:tcPr>
          <w:p w14:paraId="77A54159" w14:textId="4CAEBBE4"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172 283 064</w:t>
            </w:r>
          </w:p>
        </w:tc>
        <w:tc>
          <w:tcPr>
            <w:tcW w:w="709" w:type="dxa"/>
            <w:noWrap/>
            <w:textDirection w:val="btLr"/>
            <w:vAlign w:val="center"/>
            <w:hideMark/>
          </w:tcPr>
          <w:p w14:paraId="19C8F689" w14:textId="666B092B"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451 973</w:t>
            </w:r>
          </w:p>
        </w:tc>
      </w:tr>
      <w:tr w:rsidR="0034307C" w:rsidRPr="005C53F5" w14:paraId="06C12D0A" w14:textId="77777777" w:rsidTr="00111CB6">
        <w:trPr>
          <w:cantSplit/>
          <w:trHeight w:val="1134"/>
        </w:trPr>
        <w:tc>
          <w:tcPr>
            <w:tcW w:w="1629" w:type="dxa"/>
            <w:vAlign w:val="center"/>
            <w:hideMark/>
          </w:tcPr>
          <w:p w14:paraId="0BA253F1" w14:textId="77777777" w:rsidR="0034307C" w:rsidRPr="005C53F5" w:rsidRDefault="0034307C" w:rsidP="00057BE5">
            <w:pPr>
              <w:autoSpaceDE w:val="0"/>
              <w:autoSpaceDN w:val="0"/>
              <w:adjustRightInd w:val="0"/>
              <w:jc w:val="both"/>
              <w:rPr>
                <w:rFonts w:ascii="Times New Roman" w:eastAsia="Calibri" w:hAnsi="Times New Roman" w:cs="Times New Roman"/>
                <w:b/>
                <w:bCs/>
                <w:i/>
                <w:iCs/>
                <w:sz w:val="16"/>
                <w:szCs w:val="16"/>
              </w:rPr>
            </w:pPr>
            <w:r w:rsidRPr="005C53F5">
              <w:rPr>
                <w:rFonts w:ascii="Times New Roman" w:eastAsia="Calibri" w:hAnsi="Times New Roman" w:cs="Times New Roman"/>
                <w:b/>
                <w:bCs/>
                <w:i/>
                <w:iCs/>
                <w:sz w:val="16"/>
                <w:szCs w:val="16"/>
              </w:rPr>
              <w:t>внешний</w:t>
            </w:r>
          </w:p>
        </w:tc>
        <w:tc>
          <w:tcPr>
            <w:tcW w:w="708" w:type="dxa"/>
            <w:noWrap/>
            <w:textDirection w:val="btLr"/>
            <w:vAlign w:val="center"/>
            <w:hideMark/>
          </w:tcPr>
          <w:p w14:paraId="6D7AF746" w14:textId="7A38D3C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75 917 330 </w:t>
            </w:r>
          </w:p>
        </w:tc>
        <w:tc>
          <w:tcPr>
            <w:tcW w:w="708" w:type="dxa"/>
            <w:noWrap/>
            <w:textDirection w:val="btLr"/>
            <w:vAlign w:val="center"/>
            <w:hideMark/>
          </w:tcPr>
          <w:p w14:paraId="216D3783" w14:textId="71208022"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416 328 </w:t>
            </w:r>
          </w:p>
        </w:tc>
        <w:tc>
          <w:tcPr>
            <w:tcW w:w="709" w:type="dxa"/>
            <w:noWrap/>
            <w:textDirection w:val="btLr"/>
            <w:vAlign w:val="center"/>
            <w:hideMark/>
          </w:tcPr>
          <w:p w14:paraId="75F75276" w14:textId="6D330068"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225 983 683 </w:t>
            </w:r>
          </w:p>
        </w:tc>
        <w:tc>
          <w:tcPr>
            <w:tcW w:w="708" w:type="dxa"/>
            <w:noWrap/>
            <w:textDirection w:val="btLr"/>
            <w:vAlign w:val="center"/>
            <w:hideMark/>
          </w:tcPr>
          <w:p w14:paraId="2C2369B6" w14:textId="58A37A09"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665 696 </w:t>
            </w:r>
          </w:p>
        </w:tc>
        <w:tc>
          <w:tcPr>
            <w:tcW w:w="708" w:type="dxa"/>
            <w:noWrap/>
            <w:textDirection w:val="btLr"/>
            <w:vAlign w:val="center"/>
            <w:hideMark/>
          </w:tcPr>
          <w:p w14:paraId="659B33DF" w14:textId="5A71D242"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276 077 025 </w:t>
            </w:r>
          </w:p>
        </w:tc>
        <w:tc>
          <w:tcPr>
            <w:tcW w:w="709" w:type="dxa"/>
            <w:noWrap/>
            <w:textDirection w:val="btLr"/>
            <w:vAlign w:val="center"/>
            <w:hideMark/>
          </w:tcPr>
          <w:p w14:paraId="0E21DA2A" w14:textId="5B9C01AC"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828 339 </w:t>
            </w:r>
          </w:p>
        </w:tc>
        <w:tc>
          <w:tcPr>
            <w:tcW w:w="708" w:type="dxa"/>
            <w:noWrap/>
            <w:textDirection w:val="btLr"/>
            <w:vAlign w:val="center"/>
            <w:hideMark/>
          </w:tcPr>
          <w:p w14:paraId="43BB432A" w14:textId="0C7D11F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436 726 910 </w:t>
            </w:r>
          </w:p>
        </w:tc>
        <w:tc>
          <w:tcPr>
            <w:tcW w:w="708" w:type="dxa"/>
            <w:noWrap/>
            <w:textDirection w:val="btLr"/>
            <w:vAlign w:val="center"/>
            <w:hideMark/>
          </w:tcPr>
          <w:p w14:paraId="020C8E29" w14:textId="0CF6CB13"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1 314 136 </w:t>
            </w:r>
          </w:p>
        </w:tc>
        <w:tc>
          <w:tcPr>
            <w:tcW w:w="709" w:type="dxa"/>
            <w:noWrap/>
            <w:textDirection w:val="btLr"/>
            <w:vAlign w:val="center"/>
            <w:hideMark/>
          </w:tcPr>
          <w:p w14:paraId="36B65D96" w14:textId="13590EFE"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610 947 864 </w:t>
            </w:r>
          </w:p>
        </w:tc>
        <w:tc>
          <w:tcPr>
            <w:tcW w:w="708" w:type="dxa"/>
            <w:noWrap/>
            <w:textDirection w:val="btLr"/>
            <w:vAlign w:val="center"/>
            <w:hideMark/>
          </w:tcPr>
          <w:p w14:paraId="0D312129" w14:textId="6AAE4B50"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1 590 182 </w:t>
            </w:r>
          </w:p>
        </w:tc>
        <w:tc>
          <w:tcPr>
            <w:tcW w:w="708" w:type="dxa"/>
            <w:noWrap/>
            <w:textDirection w:val="btLr"/>
            <w:vAlign w:val="center"/>
            <w:hideMark/>
          </w:tcPr>
          <w:p w14:paraId="30D1C7F6" w14:textId="0AFFB043"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596 203 961</w:t>
            </w:r>
          </w:p>
        </w:tc>
        <w:tc>
          <w:tcPr>
            <w:tcW w:w="709" w:type="dxa"/>
            <w:noWrap/>
            <w:textDirection w:val="btLr"/>
            <w:vAlign w:val="center"/>
            <w:hideMark/>
          </w:tcPr>
          <w:p w14:paraId="7AF0E654" w14:textId="0AF173CF"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1 564 101</w:t>
            </w:r>
          </w:p>
        </w:tc>
      </w:tr>
      <w:tr w:rsidR="0034307C" w:rsidRPr="005C53F5" w14:paraId="576FB8FE" w14:textId="77777777" w:rsidTr="00111CB6">
        <w:trPr>
          <w:cantSplit/>
          <w:trHeight w:val="1012"/>
        </w:trPr>
        <w:tc>
          <w:tcPr>
            <w:tcW w:w="1629" w:type="dxa"/>
            <w:vAlign w:val="center"/>
            <w:hideMark/>
          </w:tcPr>
          <w:p w14:paraId="3BE98A50"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Долг по поручительствам государства</w:t>
            </w:r>
          </w:p>
        </w:tc>
        <w:tc>
          <w:tcPr>
            <w:tcW w:w="708" w:type="dxa"/>
            <w:noWrap/>
            <w:textDirection w:val="btLr"/>
            <w:vAlign w:val="center"/>
            <w:hideMark/>
          </w:tcPr>
          <w:p w14:paraId="096BE2F4" w14:textId="1C013679"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 39 727 833 </w:t>
            </w:r>
          </w:p>
        </w:tc>
        <w:tc>
          <w:tcPr>
            <w:tcW w:w="708" w:type="dxa"/>
            <w:noWrap/>
            <w:textDirection w:val="btLr"/>
            <w:vAlign w:val="center"/>
            <w:hideMark/>
          </w:tcPr>
          <w:p w14:paraId="0AEE4D7C" w14:textId="7593826A"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217 866 </w:t>
            </w:r>
          </w:p>
        </w:tc>
        <w:tc>
          <w:tcPr>
            <w:tcW w:w="709" w:type="dxa"/>
            <w:noWrap/>
            <w:textDirection w:val="btLr"/>
            <w:vAlign w:val="center"/>
            <w:hideMark/>
          </w:tcPr>
          <w:p w14:paraId="731F5347" w14:textId="74A6DC4E"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39 727 833 </w:t>
            </w:r>
          </w:p>
        </w:tc>
        <w:tc>
          <w:tcPr>
            <w:tcW w:w="708" w:type="dxa"/>
            <w:noWrap/>
            <w:textDirection w:val="btLr"/>
            <w:vAlign w:val="center"/>
            <w:hideMark/>
          </w:tcPr>
          <w:p w14:paraId="13CAC4B4" w14:textId="405E9D10"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117 029 </w:t>
            </w:r>
          </w:p>
        </w:tc>
        <w:tc>
          <w:tcPr>
            <w:tcW w:w="708" w:type="dxa"/>
            <w:noWrap/>
            <w:textDirection w:val="btLr"/>
            <w:vAlign w:val="center"/>
            <w:hideMark/>
          </w:tcPr>
          <w:p w14:paraId="64E8F53F" w14:textId="3A97FC34"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37 837 890 </w:t>
            </w:r>
          </w:p>
        </w:tc>
        <w:tc>
          <w:tcPr>
            <w:tcW w:w="709" w:type="dxa"/>
            <w:noWrap/>
            <w:textDirection w:val="btLr"/>
            <w:vAlign w:val="center"/>
            <w:hideMark/>
          </w:tcPr>
          <w:p w14:paraId="58155324" w14:textId="73B31F7E"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113 528 </w:t>
            </w:r>
          </w:p>
        </w:tc>
        <w:tc>
          <w:tcPr>
            <w:tcW w:w="708" w:type="dxa"/>
            <w:noWrap/>
            <w:textDirection w:val="btLr"/>
            <w:vAlign w:val="center"/>
            <w:hideMark/>
          </w:tcPr>
          <w:p w14:paraId="45238370" w14:textId="67C1BBD8"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37 837 890 </w:t>
            </w:r>
          </w:p>
        </w:tc>
        <w:tc>
          <w:tcPr>
            <w:tcW w:w="708" w:type="dxa"/>
            <w:noWrap/>
            <w:textDirection w:val="btLr"/>
            <w:vAlign w:val="center"/>
            <w:hideMark/>
          </w:tcPr>
          <w:p w14:paraId="7E764716" w14:textId="0E50389F"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113 856 </w:t>
            </w:r>
          </w:p>
        </w:tc>
        <w:tc>
          <w:tcPr>
            <w:tcW w:w="709" w:type="dxa"/>
            <w:noWrap/>
            <w:textDirection w:val="btLr"/>
            <w:vAlign w:val="center"/>
            <w:hideMark/>
          </w:tcPr>
          <w:p w14:paraId="1A920A4F" w14:textId="204349A6"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37 837 790 </w:t>
            </w:r>
          </w:p>
        </w:tc>
        <w:tc>
          <w:tcPr>
            <w:tcW w:w="708" w:type="dxa"/>
            <w:noWrap/>
            <w:textDirection w:val="btLr"/>
            <w:vAlign w:val="center"/>
            <w:hideMark/>
          </w:tcPr>
          <w:p w14:paraId="6FA24127" w14:textId="506D16FB"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98 485 </w:t>
            </w:r>
          </w:p>
        </w:tc>
        <w:tc>
          <w:tcPr>
            <w:tcW w:w="708" w:type="dxa"/>
            <w:noWrap/>
            <w:textDirection w:val="btLr"/>
            <w:vAlign w:val="center"/>
            <w:hideMark/>
          </w:tcPr>
          <w:p w14:paraId="3EAA67CF" w14:textId="1566BC88"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30 623 891</w:t>
            </w:r>
          </w:p>
        </w:tc>
        <w:tc>
          <w:tcPr>
            <w:tcW w:w="709" w:type="dxa"/>
            <w:noWrap/>
            <w:textDirection w:val="btLr"/>
            <w:vAlign w:val="center"/>
            <w:hideMark/>
          </w:tcPr>
          <w:p w14:paraId="2A5D46BE" w14:textId="215B72A4"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80 340</w:t>
            </w:r>
          </w:p>
        </w:tc>
      </w:tr>
      <w:tr w:rsidR="0034307C" w:rsidRPr="005C53F5" w14:paraId="3586C666" w14:textId="77777777" w:rsidTr="00111CB6">
        <w:trPr>
          <w:cantSplit/>
          <w:trHeight w:val="1134"/>
        </w:trPr>
        <w:tc>
          <w:tcPr>
            <w:tcW w:w="1629" w:type="dxa"/>
            <w:vAlign w:val="center"/>
            <w:hideMark/>
          </w:tcPr>
          <w:p w14:paraId="7418DD89" w14:textId="77777777" w:rsidR="0034307C" w:rsidRPr="005C53F5" w:rsidRDefault="0034307C" w:rsidP="00057BE5">
            <w:pPr>
              <w:autoSpaceDE w:val="0"/>
              <w:autoSpaceDN w:val="0"/>
              <w:adjustRightInd w:val="0"/>
              <w:jc w:val="both"/>
              <w:rPr>
                <w:rFonts w:ascii="Times New Roman" w:eastAsia="Calibri" w:hAnsi="Times New Roman" w:cs="Times New Roman"/>
                <w:b/>
                <w:bCs/>
                <w:i/>
                <w:iCs/>
                <w:sz w:val="16"/>
                <w:szCs w:val="16"/>
              </w:rPr>
            </w:pPr>
            <w:r w:rsidRPr="005C53F5">
              <w:rPr>
                <w:rFonts w:ascii="Times New Roman" w:eastAsia="Calibri" w:hAnsi="Times New Roman" w:cs="Times New Roman"/>
                <w:b/>
                <w:bCs/>
                <w:i/>
                <w:iCs/>
                <w:sz w:val="16"/>
                <w:szCs w:val="16"/>
              </w:rPr>
              <w:t>внутренний</w:t>
            </w:r>
          </w:p>
        </w:tc>
        <w:tc>
          <w:tcPr>
            <w:tcW w:w="708" w:type="dxa"/>
            <w:noWrap/>
            <w:textDirection w:val="btLr"/>
            <w:vAlign w:val="center"/>
            <w:hideMark/>
          </w:tcPr>
          <w:p w14:paraId="78F7B4DF" w14:textId="46E88068"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39 727 833 </w:t>
            </w:r>
          </w:p>
        </w:tc>
        <w:tc>
          <w:tcPr>
            <w:tcW w:w="708" w:type="dxa"/>
            <w:noWrap/>
            <w:textDirection w:val="btLr"/>
            <w:vAlign w:val="center"/>
            <w:hideMark/>
          </w:tcPr>
          <w:p w14:paraId="51E2C2A0" w14:textId="6092F01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217 866 </w:t>
            </w:r>
          </w:p>
        </w:tc>
        <w:tc>
          <w:tcPr>
            <w:tcW w:w="709" w:type="dxa"/>
            <w:noWrap/>
            <w:textDirection w:val="btLr"/>
            <w:vAlign w:val="center"/>
            <w:hideMark/>
          </w:tcPr>
          <w:p w14:paraId="03515875" w14:textId="1C628F0F"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39 727 833 </w:t>
            </w:r>
          </w:p>
        </w:tc>
        <w:tc>
          <w:tcPr>
            <w:tcW w:w="708" w:type="dxa"/>
            <w:noWrap/>
            <w:textDirection w:val="btLr"/>
            <w:vAlign w:val="center"/>
            <w:hideMark/>
          </w:tcPr>
          <w:p w14:paraId="62BB3C4B" w14:textId="0C1702ED"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117 029 </w:t>
            </w:r>
          </w:p>
        </w:tc>
        <w:tc>
          <w:tcPr>
            <w:tcW w:w="708" w:type="dxa"/>
            <w:noWrap/>
            <w:textDirection w:val="btLr"/>
            <w:vAlign w:val="center"/>
            <w:hideMark/>
          </w:tcPr>
          <w:p w14:paraId="44050781" w14:textId="1EDF491C"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37 837 890 </w:t>
            </w:r>
          </w:p>
        </w:tc>
        <w:tc>
          <w:tcPr>
            <w:tcW w:w="709" w:type="dxa"/>
            <w:noWrap/>
            <w:textDirection w:val="btLr"/>
            <w:vAlign w:val="center"/>
            <w:hideMark/>
          </w:tcPr>
          <w:p w14:paraId="0FFDACD1" w14:textId="770467CC"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113 528 </w:t>
            </w:r>
          </w:p>
        </w:tc>
        <w:tc>
          <w:tcPr>
            <w:tcW w:w="708" w:type="dxa"/>
            <w:noWrap/>
            <w:textDirection w:val="btLr"/>
            <w:vAlign w:val="center"/>
            <w:hideMark/>
          </w:tcPr>
          <w:p w14:paraId="11DB964F" w14:textId="7C6F1F5C"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37 837 890 </w:t>
            </w:r>
          </w:p>
        </w:tc>
        <w:tc>
          <w:tcPr>
            <w:tcW w:w="708" w:type="dxa"/>
            <w:noWrap/>
            <w:textDirection w:val="btLr"/>
            <w:vAlign w:val="center"/>
            <w:hideMark/>
          </w:tcPr>
          <w:p w14:paraId="30221A02" w14:textId="4E131936"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113 856 </w:t>
            </w:r>
          </w:p>
        </w:tc>
        <w:tc>
          <w:tcPr>
            <w:tcW w:w="709" w:type="dxa"/>
            <w:noWrap/>
            <w:textDirection w:val="btLr"/>
            <w:vAlign w:val="center"/>
            <w:hideMark/>
          </w:tcPr>
          <w:p w14:paraId="274C993E" w14:textId="1CB3F401"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37 837 790 </w:t>
            </w:r>
          </w:p>
        </w:tc>
        <w:tc>
          <w:tcPr>
            <w:tcW w:w="708" w:type="dxa"/>
            <w:noWrap/>
            <w:textDirection w:val="btLr"/>
            <w:vAlign w:val="center"/>
            <w:hideMark/>
          </w:tcPr>
          <w:p w14:paraId="409FA32F" w14:textId="3EA486AE"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 xml:space="preserve">98 485 </w:t>
            </w:r>
          </w:p>
        </w:tc>
        <w:tc>
          <w:tcPr>
            <w:tcW w:w="708" w:type="dxa"/>
            <w:noWrap/>
            <w:textDirection w:val="btLr"/>
            <w:vAlign w:val="center"/>
            <w:hideMark/>
          </w:tcPr>
          <w:p w14:paraId="47441CBD" w14:textId="60C0E4C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30 623 891</w:t>
            </w:r>
          </w:p>
        </w:tc>
        <w:tc>
          <w:tcPr>
            <w:tcW w:w="709" w:type="dxa"/>
            <w:noWrap/>
            <w:textDirection w:val="btLr"/>
            <w:vAlign w:val="center"/>
            <w:hideMark/>
          </w:tcPr>
          <w:p w14:paraId="1B0F5042" w14:textId="6315A0B9"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80 340</w:t>
            </w:r>
          </w:p>
        </w:tc>
      </w:tr>
      <w:tr w:rsidR="0034307C" w:rsidRPr="005C53F5" w14:paraId="6AC3FFB0" w14:textId="77777777" w:rsidTr="00111CB6">
        <w:trPr>
          <w:cantSplit/>
          <w:trHeight w:val="1134"/>
        </w:trPr>
        <w:tc>
          <w:tcPr>
            <w:tcW w:w="1629" w:type="dxa"/>
            <w:vAlign w:val="center"/>
            <w:hideMark/>
          </w:tcPr>
          <w:p w14:paraId="0E760967" w14:textId="77777777" w:rsidR="0034307C" w:rsidRPr="005C53F5" w:rsidRDefault="0034307C" w:rsidP="00057BE5">
            <w:pPr>
              <w:autoSpaceDE w:val="0"/>
              <w:autoSpaceDN w:val="0"/>
              <w:adjustRightInd w:val="0"/>
              <w:jc w:val="both"/>
              <w:rPr>
                <w:rFonts w:ascii="Times New Roman" w:eastAsia="Calibri" w:hAnsi="Times New Roman" w:cs="Times New Roman"/>
                <w:b/>
                <w:bCs/>
                <w:i/>
                <w:iCs/>
                <w:sz w:val="16"/>
                <w:szCs w:val="16"/>
              </w:rPr>
            </w:pPr>
            <w:r w:rsidRPr="005C53F5">
              <w:rPr>
                <w:rFonts w:ascii="Times New Roman" w:eastAsia="Calibri" w:hAnsi="Times New Roman" w:cs="Times New Roman"/>
                <w:b/>
                <w:bCs/>
                <w:i/>
                <w:iCs/>
                <w:sz w:val="16"/>
                <w:szCs w:val="16"/>
              </w:rPr>
              <w:t>внешний</w:t>
            </w:r>
          </w:p>
        </w:tc>
        <w:tc>
          <w:tcPr>
            <w:tcW w:w="708" w:type="dxa"/>
            <w:noWrap/>
            <w:textDirection w:val="btLr"/>
            <w:vAlign w:val="center"/>
          </w:tcPr>
          <w:p w14:paraId="61537FCB"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w:t>
            </w:r>
          </w:p>
        </w:tc>
        <w:tc>
          <w:tcPr>
            <w:tcW w:w="708" w:type="dxa"/>
            <w:noWrap/>
            <w:textDirection w:val="btLr"/>
            <w:vAlign w:val="center"/>
            <w:hideMark/>
          </w:tcPr>
          <w:p w14:paraId="5B5A849B"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w:t>
            </w:r>
          </w:p>
        </w:tc>
        <w:tc>
          <w:tcPr>
            <w:tcW w:w="709" w:type="dxa"/>
            <w:noWrap/>
            <w:textDirection w:val="btLr"/>
            <w:vAlign w:val="center"/>
            <w:hideMark/>
          </w:tcPr>
          <w:p w14:paraId="3A9E23CC"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w:t>
            </w:r>
          </w:p>
        </w:tc>
        <w:tc>
          <w:tcPr>
            <w:tcW w:w="708" w:type="dxa"/>
            <w:noWrap/>
            <w:textDirection w:val="btLr"/>
            <w:vAlign w:val="center"/>
            <w:hideMark/>
          </w:tcPr>
          <w:p w14:paraId="5FD01BC1"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w:t>
            </w:r>
          </w:p>
        </w:tc>
        <w:tc>
          <w:tcPr>
            <w:tcW w:w="708" w:type="dxa"/>
            <w:noWrap/>
            <w:textDirection w:val="btLr"/>
            <w:vAlign w:val="center"/>
            <w:hideMark/>
          </w:tcPr>
          <w:p w14:paraId="4DC5A25D"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w:t>
            </w:r>
          </w:p>
        </w:tc>
        <w:tc>
          <w:tcPr>
            <w:tcW w:w="709" w:type="dxa"/>
            <w:noWrap/>
            <w:textDirection w:val="btLr"/>
            <w:vAlign w:val="center"/>
            <w:hideMark/>
          </w:tcPr>
          <w:p w14:paraId="31F2AF2A"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w:t>
            </w:r>
          </w:p>
        </w:tc>
        <w:tc>
          <w:tcPr>
            <w:tcW w:w="708" w:type="dxa"/>
            <w:noWrap/>
            <w:textDirection w:val="btLr"/>
            <w:vAlign w:val="center"/>
            <w:hideMark/>
          </w:tcPr>
          <w:p w14:paraId="4636AEE1"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w:t>
            </w:r>
          </w:p>
        </w:tc>
        <w:tc>
          <w:tcPr>
            <w:tcW w:w="708" w:type="dxa"/>
            <w:noWrap/>
            <w:textDirection w:val="btLr"/>
            <w:vAlign w:val="center"/>
            <w:hideMark/>
          </w:tcPr>
          <w:p w14:paraId="3ADFD8A9"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w:t>
            </w:r>
          </w:p>
        </w:tc>
        <w:tc>
          <w:tcPr>
            <w:tcW w:w="709" w:type="dxa"/>
            <w:noWrap/>
            <w:textDirection w:val="btLr"/>
            <w:vAlign w:val="center"/>
            <w:hideMark/>
          </w:tcPr>
          <w:p w14:paraId="3887ACF4"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w:t>
            </w:r>
          </w:p>
        </w:tc>
        <w:tc>
          <w:tcPr>
            <w:tcW w:w="708" w:type="dxa"/>
            <w:noWrap/>
            <w:textDirection w:val="btLr"/>
            <w:vAlign w:val="center"/>
            <w:hideMark/>
          </w:tcPr>
          <w:p w14:paraId="4802D326"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w:t>
            </w:r>
          </w:p>
        </w:tc>
        <w:tc>
          <w:tcPr>
            <w:tcW w:w="708" w:type="dxa"/>
            <w:noWrap/>
            <w:textDirection w:val="btLr"/>
            <w:vAlign w:val="center"/>
            <w:hideMark/>
          </w:tcPr>
          <w:p w14:paraId="2F6B2FB9"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w:t>
            </w:r>
          </w:p>
        </w:tc>
        <w:tc>
          <w:tcPr>
            <w:tcW w:w="709" w:type="dxa"/>
            <w:noWrap/>
            <w:textDirection w:val="btLr"/>
            <w:vAlign w:val="center"/>
            <w:hideMark/>
          </w:tcPr>
          <w:p w14:paraId="3E129AA8" w14:textId="77777777" w:rsidR="0034307C" w:rsidRPr="005C53F5" w:rsidRDefault="0034307C" w:rsidP="00057BE5">
            <w:pPr>
              <w:autoSpaceDE w:val="0"/>
              <w:autoSpaceDN w:val="0"/>
              <w:adjustRightInd w:val="0"/>
              <w:ind w:left="113" w:right="113"/>
              <w:jc w:val="both"/>
              <w:rPr>
                <w:rFonts w:ascii="Times New Roman" w:eastAsia="Calibri" w:hAnsi="Times New Roman" w:cs="Times New Roman"/>
                <w:sz w:val="16"/>
                <w:szCs w:val="16"/>
              </w:rPr>
            </w:pPr>
            <w:r w:rsidRPr="005C53F5">
              <w:rPr>
                <w:rFonts w:ascii="Times New Roman" w:eastAsia="Calibri" w:hAnsi="Times New Roman" w:cs="Times New Roman"/>
                <w:sz w:val="16"/>
                <w:szCs w:val="16"/>
              </w:rPr>
              <w:t>-</w:t>
            </w:r>
          </w:p>
        </w:tc>
      </w:tr>
      <w:tr w:rsidR="0034307C" w:rsidRPr="005C53F5" w14:paraId="7B93DB09" w14:textId="77777777" w:rsidTr="00111CB6">
        <w:trPr>
          <w:cantSplit/>
          <w:trHeight w:val="1134"/>
        </w:trPr>
        <w:tc>
          <w:tcPr>
            <w:tcW w:w="1629" w:type="dxa"/>
            <w:vAlign w:val="center"/>
            <w:hideMark/>
          </w:tcPr>
          <w:p w14:paraId="7C34E8E9" w14:textId="77777777" w:rsidR="0034307C" w:rsidRPr="005C53F5" w:rsidRDefault="0034307C" w:rsidP="00057BE5">
            <w:pPr>
              <w:autoSpaceDE w:val="0"/>
              <w:autoSpaceDN w:val="0"/>
              <w:adjustRightInd w:val="0"/>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Всего государственный и гарантированный государством долг,  долг по поручительствам государства (I + II + III)</w:t>
            </w:r>
          </w:p>
        </w:tc>
        <w:tc>
          <w:tcPr>
            <w:tcW w:w="708" w:type="dxa"/>
            <w:noWrap/>
            <w:textDirection w:val="btLr"/>
            <w:vAlign w:val="center"/>
            <w:hideMark/>
          </w:tcPr>
          <w:p w14:paraId="14D83B04" w14:textId="60659477"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5 778 409 329 </w:t>
            </w:r>
          </w:p>
        </w:tc>
        <w:tc>
          <w:tcPr>
            <w:tcW w:w="708" w:type="dxa"/>
            <w:noWrap/>
            <w:textDirection w:val="btLr"/>
            <w:vAlign w:val="center"/>
            <w:hideMark/>
          </w:tcPr>
          <w:p w14:paraId="465CD268" w14:textId="213C3CC9"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31 688 562 </w:t>
            </w:r>
          </w:p>
        </w:tc>
        <w:tc>
          <w:tcPr>
            <w:tcW w:w="709" w:type="dxa"/>
            <w:noWrap/>
            <w:textDirection w:val="btLr"/>
            <w:vAlign w:val="center"/>
            <w:hideMark/>
          </w:tcPr>
          <w:p w14:paraId="7200C455" w14:textId="725983DC"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9 300 240 692 </w:t>
            </w:r>
          </w:p>
        </w:tc>
        <w:tc>
          <w:tcPr>
            <w:tcW w:w="708" w:type="dxa"/>
            <w:noWrap/>
            <w:textDirection w:val="btLr"/>
            <w:vAlign w:val="center"/>
            <w:hideMark/>
          </w:tcPr>
          <w:p w14:paraId="2278E7F1" w14:textId="67855C87"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27 396 355 </w:t>
            </w:r>
          </w:p>
        </w:tc>
        <w:tc>
          <w:tcPr>
            <w:tcW w:w="708" w:type="dxa"/>
            <w:noWrap/>
            <w:textDirection w:val="btLr"/>
            <w:vAlign w:val="center"/>
            <w:hideMark/>
          </w:tcPr>
          <w:p w14:paraId="1366D428" w14:textId="0946AD3D"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11 761 337 570 </w:t>
            </w:r>
          </w:p>
        </w:tc>
        <w:tc>
          <w:tcPr>
            <w:tcW w:w="709" w:type="dxa"/>
            <w:noWrap/>
            <w:textDirection w:val="btLr"/>
            <w:vAlign w:val="center"/>
            <w:hideMark/>
          </w:tcPr>
          <w:p w14:paraId="6AE5C092" w14:textId="372A066D"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35 288 600 </w:t>
            </w:r>
          </w:p>
        </w:tc>
        <w:tc>
          <w:tcPr>
            <w:tcW w:w="708" w:type="dxa"/>
            <w:noWrap/>
            <w:textDirection w:val="btLr"/>
            <w:vAlign w:val="center"/>
            <w:hideMark/>
          </w:tcPr>
          <w:p w14:paraId="0B198A2B" w14:textId="71ECFB9D"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13 988 209 058 </w:t>
            </w:r>
          </w:p>
        </w:tc>
        <w:tc>
          <w:tcPr>
            <w:tcW w:w="708" w:type="dxa"/>
            <w:noWrap/>
            <w:textDirection w:val="btLr"/>
            <w:vAlign w:val="center"/>
            <w:hideMark/>
          </w:tcPr>
          <w:p w14:paraId="6DD6411A" w14:textId="0D471C0E"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42 091 322 </w:t>
            </w:r>
          </w:p>
        </w:tc>
        <w:tc>
          <w:tcPr>
            <w:tcW w:w="709" w:type="dxa"/>
            <w:noWrap/>
            <w:textDirection w:val="btLr"/>
            <w:vAlign w:val="center"/>
            <w:hideMark/>
          </w:tcPr>
          <w:p w14:paraId="4F8C6619" w14:textId="4702FDD1"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16 045 358 344 </w:t>
            </w:r>
          </w:p>
        </w:tc>
        <w:tc>
          <w:tcPr>
            <w:tcW w:w="708" w:type="dxa"/>
            <w:noWrap/>
            <w:textDirection w:val="btLr"/>
            <w:vAlign w:val="center"/>
            <w:hideMark/>
          </w:tcPr>
          <w:p w14:paraId="5835BD66" w14:textId="40F03DEE"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 xml:space="preserve">41 763 036 </w:t>
            </w:r>
          </w:p>
        </w:tc>
        <w:tc>
          <w:tcPr>
            <w:tcW w:w="708" w:type="dxa"/>
            <w:noWrap/>
            <w:textDirection w:val="btLr"/>
            <w:vAlign w:val="center"/>
            <w:hideMark/>
          </w:tcPr>
          <w:p w14:paraId="20AFD69C" w14:textId="65153AE2"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17 285 958 184</w:t>
            </w:r>
          </w:p>
        </w:tc>
        <w:tc>
          <w:tcPr>
            <w:tcW w:w="709" w:type="dxa"/>
            <w:noWrap/>
            <w:textDirection w:val="btLr"/>
            <w:vAlign w:val="center"/>
            <w:hideMark/>
          </w:tcPr>
          <w:p w14:paraId="14C8EF5F" w14:textId="3B2BC493" w:rsidR="0034307C" w:rsidRPr="005C53F5" w:rsidRDefault="0034307C" w:rsidP="00057BE5">
            <w:pPr>
              <w:autoSpaceDE w:val="0"/>
              <w:autoSpaceDN w:val="0"/>
              <w:adjustRightInd w:val="0"/>
              <w:ind w:left="113" w:right="113"/>
              <w:jc w:val="both"/>
              <w:rPr>
                <w:rFonts w:ascii="Times New Roman" w:eastAsia="Calibri" w:hAnsi="Times New Roman" w:cs="Times New Roman"/>
                <w:b/>
                <w:bCs/>
                <w:sz w:val="16"/>
                <w:szCs w:val="16"/>
              </w:rPr>
            </w:pPr>
            <w:r w:rsidRPr="005C53F5">
              <w:rPr>
                <w:rFonts w:ascii="Times New Roman" w:eastAsia="Calibri" w:hAnsi="Times New Roman" w:cs="Times New Roman"/>
                <w:b/>
                <w:bCs/>
                <w:sz w:val="16"/>
                <w:szCs w:val="16"/>
              </w:rPr>
              <w:t>45 348 544</w:t>
            </w:r>
          </w:p>
        </w:tc>
      </w:tr>
    </w:tbl>
    <w:p w14:paraId="51566782" w14:textId="497BBA76"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Внутренний государственный долг состоит в основном из нот, выпущенных НБК, и государственных ценных бумаг</w:t>
      </w:r>
      <w:r w:rsidR="00AB752F" w:rsidRPr="005C53F5">
        <w:rPr>
          <w:rFonts w:ascii="Times New Roman" w:eastAsia="Calibri" w:hAnsi="Times New Roman" w:cs="Times New Roman"/>
          <w:sz w:val="24"/>
          <w:szCs w:val="24"/>
        </w:rPr>
        <w:t xml:space="preserve"> Министерства финансов Республики Казахстан и местных исполнительных органов</w:t>
      </w:r>
      <w:r w:rsidRPr="005C53F5">
        <w:rPr>
          <w:rFonts w:ascii="Times New Roman" w:eastAsia="Calibri" w:hAnsi="Times New Roman" w:cs="Times New Roman"/>
          <w:sz w:val="24"/>
          <w:szCs w:val="24"/>
        </w:rPr>
        <w:t>.</w:t>
      </w:r>
    </w:p>
    <w:p w14:paraId="7ACDB99E" w14:textId="3A1BADE5"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Министерство финансов </w:t>
      </w:r>
      <w:r w:rsidR="002E019F" w:rsidRPr="005C53F5">
        <w:rPr>
          <w:rFonts w:ascii="Times New Roman" w:eastAsia="Calibri" w:hAnsi="Times New Roman" w:cs="Times New Roman"/>
          <w:sz w:val="24"/>
          <w:szCs w:val="24"/>
        </w:rPr>
        <w:t xml:space="preserve">Республики Казахстан </w:t>
      </w:r>
      <w:r w:rsidRPr="005C53F5">
        <w:rPr>
          <w:rFonts w:ascii="Times New Roman" w:eastAsia="Calibri" w:hAnsi="Times New Roman" w:cs="Times New Roman"/>
          <w:sz w:val="24"/>
          <w:szCs w:val="24"/>
        </w:rPr>
        <w:t>выпускает государственные облигации со сроком погашения от одного года до 30 лет, имеющие как фиксированную, так и индексную ставку купона. По состоянию на 31 декабря 2019 года большинство государственных облигаций в обращении составляли долгосрочные государственные облигации и долгосрочные индексные государственные облигации, что составляло 69% и 20% от общего объема государственных облигаций в обращении, 10%-среднесрочные государственные облигации.</w:t>
      </w:r>
      <w:r w:rsidR="000D7AAE" w:rsidRPr="005C53F5">
        <w:rPr>
          <w:rFonts w:ascii="Times New Roman" w:eastAsia="Times New Roman" w:hAnsi="Times New Roman" w:cs="Times New Roman"/>
          <w:color w:val="000000"/>
          <w:sz w:val="28"/>
          <w:szCs w:val="24"/>
          <w:lang w:eastAsia="ru-RU"/>
        </w:rPr>
        <w:t xml:space="preserve"> </w:t>
      </w:r>
      <w:r w:rsidR="000D7AAE" w:rsidRPr="005C53F5">
        <w:rPr>
          <w:rFonts w:ascii="Times New Roman" w:eastAsia="Calibri" w:hAnsi="Times New Roman" w:cs="Times New Roman"/>
          <w:sz w:val="24"/>
          <w:szCs w:val="24"/>
        </w:rPr>
        <w:t>По состоянию на 1 января 2020 года в инвестиционном портфеле ЕНПФ находятся государственные ценные бумаги РК на общую сумму 4 368,0 млрд тенге, в том числе государственные ценные бумаги, эмитированные МФРК, на сумму 3 924,3 млрд тенге.</w:t>
      </w:r>
    </w:p>
    <w:p w14:paraId="4156E8F8" w14:textId="055FBDB6"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Такой относительно высокий объем выпуска краткосрочных </w:t>
      </w:r>
      <w:r w:rsidR="00163D5A" w:rsidRPr="005C53F5">
        <w:rPr>
          <w:rFonts w:ascii="Times New Roman" w:eastAsia="Calibri" w:hAnsi="Times New Roman" w:cs="Times New Roman"/>
          <w:sz w:val="24"/>
          <w:szCs w:val="24"/>
        </w:rPr>
        <w:t xml:space="preserve">облигаций </w:t>
      </w:r>
      <w:r w:rsidRPr="005C53F5">
        <w:rPr>
          <w:rFonts w:ascii="Times New Roman" w:eastAsia="Calibri" w:hAnsi="Times New Roman" w:cs="Times New Roman"/>
          <w:sz w:val="24"/>
          <w:szCs w:val="24"/>
        </w:rPr>
        <w:t xml:space="preserve">связан с сохраняющимся профицитом ликвидности в банковской системе, а также спросом на краткосрочные </w:t>
      </w:r>
      <w:r w:rsidR="00163D5A" w:rsidRPr="005C53F5">
        <w:rPr>
          <w:rFonts w:ascii="Times New Roman" w:eastAsia="Calibri" w:hAnsi="Times New Roman" w:cs="Times New Roman"/>
          <w:sz w:val="24"/>
          <w:szCs w:val="24"/>
        </w:rPr>
        <w:t xml:space="preserve">облигации </w:t>
      </w:r>
      <w:r w:rsidRPr="005C53F5">
        <w:rPr>
          <w:rFonts w:ascii="Times New Roman" w:eastAsia="Calibri" w:hAnsi="Times New Roman" w:cs="Times New Roman"/>
          <w:sz w:val="24"/>
          <w:szCs w:val="24"/>
        </w:rPr>
        <w:t>НБК со стороны иностранных инвесторов из-за относительно высоких процентных ставок.</w:t>
      </w:r>
    </w:p>
    <w:p w14:paraId="39B92F93" w14:textId="07E1D933" w:rsidR="000E68F0"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i/>
          <w:iCs/>
          <w:sz w:val="24"/>
          <w:szCs w:val="24"/>
        </w:rPr>
      </w:pPr>
      <w:r w:rsidRPr="005C53F5">
        <w:rPr>
          <w:rFonts w:ascii="Times New Roman" w:eastAsia="Calibri" w:hAnsi="Times New Roman" w:cs="Times New Roman"/>
          <w:i/>
          <w:iCs/>
          <w:sz w:val="24"/>
          <w:szCs w:val="24"/>
        </w:rPr>
        <w:t xml:space="preserve">Государственная </w:t>
      </w:r>
      <w:r w:rsidR="000E68F0" w:rsidRPr="005C53F5">
        <w:rPr>
          <w:rFonts w:ascii="Times New Roman" w:eastAsia="Calibri" w:hAnsi="Times New Roman" w:cs="Times New Roman"/>
          <w:i/>
          <w:iCs/>
          <w:sz w:val="24"/>
          <w:szCs w:val="24"/>
        </w:rPr>
        <w:t xml:space="preserve">политика в сфере внутреннего государственного долга </w:t>
      </w:r>
    </w:p>
    <w:p w14:paraId="3E3454A0" w14:textId="77F2D3ED"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Министерство финансов </w:t>
      </w:r>
      <w:r w:rsidR="00163D5A" w:rsidRPr="005C53F5">
        <w:rPr>
          <w:rFonts w:ascii="Times New Roman" w:eastAsia="Calibri" w:hAnsi="Times New Roman" w:cs="Times New Roman"/>
          <w:sz w:val="24"/>
          <w:szCs w:val="24"/>
        </w:rPr>
        <w:t xml:space="preserve">Республики Казахстан </w:t>
      </w:r>
      <w:r w:rsidRPr="005C53F5">
        <w:rPr>
          <w:rFonts w:ascii="Times New Roman" w:eastAsia="Calibri" w:hAnsi="Times New Roman" w:cs="Times New Roman"/>
          <w:sz w:val="24"/>
          <w:szCs w:val="24"/>
        </w:rPr>
        <w:t>учитывает следующие факторы при рассмотрении своей политики в отношении планирования и выпуска внутреннего государственного долга:</w:t>
      </w:r>
    </w:p>
    <w:p w14:paraId="789F527E" w14:textId="77777777" w:rsidR="00A36FAF" w:rsidRPr="005C53F5" w:rsidRDefault="00A36FAF" w:rsidP="00057BE5">
      <w:pPr>
        <w:numPr>
          <w:ilvl w:val="0"/>
          <w:numId w:val="11"/>
        </w:numPr>
        <w:autoSpaceDE w:val="0"/>
        <w:autoSpaceDN w:val="0"/>
        <w:adjustRightInd w:val="0"/>
        <w:spacing w:after="0" w:line="240" w:lineRule="auto"/>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поддержание достаточного уровня облигаций в обращении для того, чтобы обеспечить надлежащий ориентир для фондовой биржи;</w:t>
      </w:r>
    </w:p>
    <w:p w14:paraId="132C99D9" w14:textId="77777777" w:rsidR="00A36FAF" w:rsidRPr="005C53F5" w:rsidRDefault="00A36FAF" w:rsidP="00057BE5">
      <w:pPr>
        <w:numPr>
          <w:ilvl w:val="0"/>
          <w:numId w:val="11"/>
        </w:numPr>
        <w:autoSpaceDE w:val="0"/>
        <w:autoSpaceDN w:val="0"/>
        <w:adjustRightInd w:val="0"/>
        <w:spacing w:after="0" w:line="240" w:lineRule="auto"/>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расширение и диверсификация базы инвесторов;</w:t>
      </w:r>
    </w:p>
    <w:p w14:paraId="3116C6DD" w14:textId="77777777" w:rsidR="00A36FAF" w:rsidRPr="005C53F5" w:rsidRDefault="00A36FAF" w:rsidP="00057BE5">
      <w:pPr>
        <w:numPr>
          <w:ilvl w:val="0"/>
          <w:numId w:val="11"/>
        </w:numPr>
        <w:autoSpaceDE w:val="0"/>
        <w:autoSpaceDN w:val="0"/>
        <w:adjustRightInd w:val="0"/>
        <w:spacing w:after="0" w:line="240" w:lineRule="auto"/>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разработка альтернативных долговых инструментов, включая выпуск доходных облигаций, с целью удовлетворения потребностей участников рынка; и</w:t>
      </w:r>
    </w:p>
    <w:p w14:paraId="51D7EC7E" w14:textId="77777777" w:rsidR="00A36FAF" w:rsidRPr="005C53F5" w:rsidRDefault="00A36FAF" w:rsidP="00057BE5">
      <w:pPr>
        <w:numPr>
          <w:ilvl w:val="0"/>
          <w:numId w:val="11"/>
        </w:numPr>
        <w:autoSpaceDE w:val="0"/>
        <w:autoSpaceDN w:val="0"/>
        <w:adjustRightInd w:val="0"/>
        <w:spacing w:after="0" w:line="240" w:lineRule="auto"/>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совершенствование работы первичного рынка облигаций.</w:t>
      </w:r>
    </w:p>
    <w:p w14:paraId="6398804D" w14:textId="77777777"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Дальнейшее развитие казахстанского рынка долговых ценных бумаг является одним из ключевых среднесрочных приоритетов внутренней государственной долговой политики Казахстана.</w:t>
      </w:r>
    </w:p>
    <w:p w14:paraId="38BB78A7" w14:textId="76F0CF91" w:rsidR="000E68F0" w:rsidRPr="005C53F5" w:rsidRDefault="00A36FAF" w:rsidP="00057BE5">
      <w:pPr>
        <w:keepNext/>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5C53F5">
        <w:rPr>
          <w:rFonts w:ascii="Times New Roman" w:eastAsia="Calibri" w:hAnsi="Times New Roman" w:cs="Times New Roman"/>
          <w:i/>
          <w:iCs/>
          <w:sz w:val="24"/>
          <w:szCs w:val="24"/>
        </w:rPr>
        <w:t xml:space="preserve">Прочая </w:t>
      </w:r>
      <w:r w:rsidR="000E68F0" w:rsidRPr="005C53F5">
        <w:rPr>
          <w:rFonts w:ascii="Times New Roman" w:eastAsia="Calibri" w:hAnsi="Times New Roman" w:cs="Times New Roman"/>
          <w:i/>
          <w:iCs/>
          <w:sz w:val="24"/>
          <w:szCs w:val="24"/>
        </w:rPr>
        <w:t xml:space="preserve">внутренняя задолженность государственного сектора </w:t>
      </w:r>
    </w:p>
    <w:p w14:paraId="6C7F04B4" w14:textId="1E436058"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Внутренний долг государственного сектора Казахстана включает задолженность органов местного самоуправления</w:t>
      </w:r>
      <w:r w:rsidR="00E228E3" w:rsidRPr="005C53F5">
        <w:rPr>
          <w:rFonts w:ascii="Times New Roman" w:eastAsia="Calibri" w:hAnsi="Times New Roman" w:cs="Times New Roman"/>
          <w:sz w:val="24"/>
          <w:szCs w:val="24"/>
        </w:rPr>
        <w:t xml:space="preserve">. Заимствование местными исполнительными органами областей, городов республиканского значения, столицы осуществляется в виде получения бюджетных кредитов из республиканского бюджета и выпуска местными исполнительными органами городов республиканского значения, столицы государственных ценных бумаг для обращения на внутреннем рынке для финансирования дефицита бюджета города республиканского значения, столицы, а также в виде выпуска местными исполнительными органами областей, городов республиканского значения, столицы государственных ценных бумаг для обращения на внутреннем рынке для финансирования строительства жилья в рамках реализации государственных и правительственных программ. </w:t>
      </w:r>
      <w:r w:rsidRPr="005C53F5">
        <w:rPr>
          <w:rFonts w:ascii="Times New Roman" w:eastAsia="Calibri" w:hAnsi="Times New Roman" w:cs="Times New Roman"/>
          <w:sz w:val="24"/>
          <w:szCs w:val="24"/>
        </w:rPr>
        <w:t xml:space="preserve">Правительство </w:t>
      </w:r>
      <w:r w:rsidR="00163D5A" w:rsidRPr="005C53F5">
        <w:rPr>
          <w:rFonts w:ascii="Times New Roman" w:eastAsia="Calibri" w:hAnsi="Times New Roman" w:cs="Times New Roman"/>
          <w:sz w:val="24"/>
          <w:szCs w:val="24"/>
        </w:rPr>
        <w:t xml:space="preserve">Республики Казахстан </w:t>
      </w:r>
      <w:r w:rsidRPr="005C53F5">
        <w:rPr>
          <w:rFonts w:ascii="Times New Roman" w:eastAsia="Calibri" w:hAnsi="Times New Roman" w:cs="Times New Roman"/>
          <w:sz w:val="24"/>
          <w:szCs w:val="24"/>
        </w:rPr>
        <w:t xml:space="preserve">не несет юридической ответственности за долги местных органов власти. Совокупная основная сумма задолженности местных органов власти, остающаяся непогашенной по состоянию на конец 2019 года, оценивается в </w:t>
      </w:r>
      <w:r w:rsidR="00104BDA" w:rsidRPr="005C53F5">
        <w:rPr>
          <w:rFonts w:ascii="Times New Roman" w:eastAsia="Calibri" w:hAnsi="Times New Roman" w:cs="Times New Roman"/>
          <w:sz w:val="24"/>
          <w:szCs w:val="24"/>
        </w:rPr>
        <w:t xml:space="preserve">846,7 </w:t>
      </w:r>
      <w:r w:rsidRPr="005C53F5">
        <w:rPr>
          <w:rFonts w:ascii="Times New Roman" w:eastAsia="Calibri" w:hAnsi="Times New Roman" w:cs="Times New Roman"/>
          <w:sz w:val="24"/>
          <w:szCs w:val="24"/>
        </w:rPr>
        <w:t>млрд тенге.</w:t>
      </w:r>
    </w:p>
    <w:p w14:paraId="42F2978C" w14:textId="77777777" w:rsidR="00A36FAF" w:rsidRPr="005C53F5" w:rsidRDefault="00A36FAF" w:rsidP="00057BE5">
      <w:pPr>
        <w:autoSpaceDE w:val="0"/>
        <w:autoSpaceDN w:val="0"/>
        <w:adjustRightInd w:val="0"/>
        <w:spacing w:after="0" w:line="240" w:lineRule="auto"/>
        <w:ind w:firstLine="709"/>
        <w:rPr>
          <w:rFonts w:ascii="Times New Roman" w:eastAsia="Calibri" w:hAnsi="Times New Roman" w:cs="Times New Roman"/>
          <w:b/>
          <w:bCs/>
          <w:i/>
          <w:iCs/>
          <w:sz w:val="24"/>
          <w:szCs w:val="24"/>
          <w:u w:val="single"/>
        </w:rPr>
      </w:pPr>
      <w:r w:rsidRPr="005C53F5">
        <w:rPr>
          <w:rFonts w:ascii="Times New Roman" w:eastAsia="Calibri" w:hAnsi="Times New Roman" w:cs="Times New Roman"/>
          <w:b/>
          <w:bCs/>
          <w:i/>
          <w:iCs/>
          <w:sz w:val="24"/>
          <w:szCs w:val="24"/>
          <w:u w:val="single"/>
        </w:rPr>
        <w:t>Уровень инфляции (темп прироста цен) в Республике Казахстан</w:t>
      </w:r>
    </w:p>
    <w:p w14:paraId="6FACB863" w14:textId="5C449087" w:rsidR="00A36FAF" w:rsidRPr="005C53F5" w:rsidRDefault="00640D43" w:rsidP="00057BE5">
      <w:pPr>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5C53F5">
        <w:rPr>
          <w:rFonts w:ascii="Times New Roman" w:eastAsia="Calibri" w:hAnsi="Times New Roman" w:cs="Times New Roman"/>
          <w:i/>
          <w:iCs/>
          <w:sz w:val="24"/>
          <w:szCs w:val="24"/>
        </w:rPr>
        <w:t>Роль Национального банка Республики Казахстан</w:t>
      </w:r>
      <w:r w:rsidR="00AB752F" w:rsidRPr="005C53F5">
        <w:rPr>
          <w:rFonts w:ascii="Times New Roman" w:eastAsia="Calibri" w:hAnsi="Times New Roman" w:cs="Times New Roman"/>
          <w:i/>
          <w:iCs/>
          <w:sz w:val="24"/>
          <w:szCs w:val="24"/>
        </w:rPr>
        <w:t xml:space="preserve"> (НБК)</w:t>
      </w:r>
    </w:p>
    <w:p w14:paraId="502AA8B2" w14:textId="6CFD9293" w:rsidR="00A36FAF" w:rsidRPr="005C53F5" w:rsidRDefault="0011181C"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НБК</w:t>
      </w:r>
      <w:r w:rsidR="00A36FAF" w:rsidRPr="005C53F5">
        <w:rPr>
          <w:rFonts w:ascii="Times New Roman" w:eastAsia="Calibri" w:hAnsi="Times New Roman" w:cs="Times New Roman"/>
          <w:sz w:val="24"/>
          <w:szCs w:val="24"/>
        </w:rPr>
        <w:t xml:space="preserve"> является центральным банком Республики Казахстан. </w:t>
      </w:r>
      <w:r w:rsidR="006D32B5" w:rsidRPr="005C53F5">
        <w:rPr>
          <w:rFonts w:ascii="Times New Roman" w:eastAsia="Calibri" w:hAnsi="Times New Roman" w:cs="Times New Roman"/>
          <w:sz w:val="24"/>
          <w:szCs w:val="24"/>
        </w:rPr>
        <w:t>Э</w:t>
      </w:r>
      <w:r w:rsidR="00A36FAF" w:rsidRPr="005C53F5">
        <w:rPr>
          <w:rFonts w:ascii="Times New Roman" w:eastAsia="Calibri" w:hAnsi="Times New Roman" w:cs="Times New Roman"/>
          <w:sz w:val="24"/>
          <w:szCs w:val="24"/>
        </w:rPr>
        <w:t xml:space="preserve">то самостоятельное учреждение, оно </w:t>
      </w:r>
      <w:r w:rsidR="006D32B5" w:rsidRPr="005C53F5">
        <w:rPr>
          <w:rFonts w:ascii="Times New Roman" w:eastAsia="Calibri" w:hAnsi="Times New Roman" w:cs="Times New Roman"/>
          <w:sz w:val="24"/>
          <w:szCs w:val="24"/>
        </w:rPr>
        <w:t>подотчетно</w:t>
      </w:r>
      <w:r w:rsidR="00A36FAF"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 xml:space="preserve">Президенту </w:t>
      </w:r>
      <w:r w:rsidR="00A36FAF" w:rsidRPr="005C53F5">
        <w:rPr>
          <w:rFonts w:ascii="Times New Roman" w:eastAsia="Calibri" w:hAnsi="Times New Roman" w:cs="Times New Roman"/>
          <w:sz w:val="24"/>
          <w:szCs w:val="24"/>
        </w:rPr>
        <w:t xml:space="preserve">Казахстана. Президент Казахстана имеет право, в частности, назначать (на срок до шести лет) и освобождать от должности </w:t>
      </w:r>
      <w:r w:rsidRPr="005C53F5">
        <w:rPr>
          <w:rFonts w:ascii="Times New Roman" w:eastAsia="Calibri" w:hAnsi="Times New Roman" w:cs="Times New Roman"/>
          <w:sz w:val="24"/>
          <w:szCs w:val="24"/>
        </w:rPr>
        <w:t xml:space="preserve">Председателя </w:t>
      </w:r>
      <w:r w:rsidR="00A36FAF" w:rsidRPr="005C53F5">
        <w:rPr>
          <w:rFonts w:ascii="Times New Roman" w:eastAsia="Calibri" w:hAnsi="Times New Roman" w:cs="Times New Roman"/>
          <w:sz w:val="24"/>
          <w:szCs w:val="24"/>
        </w:rPr>
        <w:t>НБК (по согласованию с Сенатом</w:t>
      </w:r>
      <w:r w:rsidRPr="005C53F5">
        <w:rPr>
          <w:rFonts w:ascii="Times New Roman" w:eastAsia="Calibri" w:hAnsi="Times New Roman" w:cs="Times New Roman"/>
          <w:sz w:val="24"/>
          <w:szCs w:val="24"/>
        </w:rPr>
        <w:t xml:space="preserve"> парламента Республики Казахстан</w:t>
      </w:r>
      <w:r w:rsidR="00A36FAF" w:rsidRPr="005C53F5">
        <w:rPr>
          <w:rFonts w:ascii="Times New Roman" w:eastAsia="Calibri" w:hAnsi="Times New Roman" w:cs="Times New Roman"/>
          <w:sz w:val="24"/>
          <w:szCs w:val="24"/>
        </w:rPr>
        <w:t xml:space="preserve">), назначать (на срок до шести лет) и освобождать от должности </w:t>
      </w:r>
      <w:r w:rsidRPr="005C53F5">
        <w:rPr>
          <w:rFonts w:ascii="Times New Roman" w:eastAsia="Calibri" w:hAnsi="Times New Roman" w:cs="Times New Roman"/>
          <w:sz w:val="24"/>
          <w:szCs w:val="24"/>
        </w:rPr>
        <w:t xml:space="preserve">Заместителя Председателя </w:t>
      </w:r>
      <w:r w:rsidR="00A36FAF" w:rsidRPr="005C53F5">
        <w:rPr>
          <w:rFonts w:ascii="Times New Roman" w:eastAsia="Calibri" w:hAnsi="Times New Roman" w:cs="Times New Roman"/>
          <w:sz w:val="24"/>
          <w:szCs w:val="24"/>
        </w:rPr>
        <w:t xml:space="preserve">НБК по представлению </w:t>
      </w:r>
      <w:r w:rsidRPr="005C53F5">
        <w:rPr>
          <w:rFonts w:ascii="Times New Roman" w:eastAsia="Calibri" w:hAnsi="Times New Roman" w:cs="Times New Roman"/>
          <w:sz w:val="24"/>
          <w:szCs w:val="24"/>
        </w:rPr>
        <w:t xml:space="preserve">Председателя </w:t>
      </w:r>
      <w:r w:rsidR="00A36FAF" w:rsidRPr="005C53F5">
        <w:rPr>
          <w:rFonts w:ascii="Times New Roman" w:eastAsia="Calibri" w:hAnsi="Times New Roman" w:cs="Times New Roman"/>
          <w:sz w:val="24"/>
          <w:szCs w:val="24"/>
        </w:rPr>
        <w:t xml:space="preserve">НБК, утверждать годовой отчет НБК, утверждать концепцию оформления национальной валюты, а также запрашивать информацию у НБК. Ерболат Досаев был назначен </w:t>
      </w:r>
      <w:r w:rsidRPr="005C53F5">
        <w:rPr>
          <w:rFonts w:ascii="Times New Roman" w:eastAsia="Calibri" w:hAnsi="Times New Roman" w:cs="Times New Roman"/>
          <w:sz w:val="24"/>
          <w:szCs w:val="24"/>
        </w:rPr>
        <w:t xml:space="preserve">Председателем </w:t>
      </w:r>
      <w:r w:rsidR="00A36FAF" w:rsidRPr="005C53F5">
        <w:rPr>
          <w:rFonts w:ascii="Times New Roman" w:eastAsia="Calibri" w:hAnsi="Times New Roman" w:cs="Times New Roman"/>
          <w:sz w:val="24"/>
          <w:szCs w:val="24"/>
        </w:rPr>
        <w:t>НБК в феврале 2019 года.</w:t>
      </w:r>
    </w:p>
    <w:p w14:paraId="0F96A2E3" w14:textId="7D433459"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Основной целью НБК является обеспечение ценовой стабильности в Казахстане. Для достижения этой цели НБК разрабатывает и реализует денежно-кредитную политику Казахстана</w:t>
      </w:r>
      <w:r w:rsidR="0011181C"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обеспечивает функционирование платежных систем</w:t>
      </w:r>
      <w:r w:rsidR="0011181C"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осуществляет валютное регулирование и валютный контроль</w:t>
      </w:r>
      <w:r w:rsidR="0011181C"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способствует стабильности финансовой системы</w:t>
      </w:r>
      <w:r w:rsidR="0011181C"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а также осуществляет статистическую деятельность в сферах денежно-кредитной системы и внешнего сектора.</w:t>
      </w:r>
    </w:p>
    <w:p w14:paraId="20F3995C" w14:textId="4BE6BA72"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Основными органами управления НБК являются </w:t>
      </w:r>
      <w:r w:rsidR="0011181C" w:rsidRPr="005C53F5">
        <w:rPr>
          <w:rFonts w:ascii="Times New Roman" w:eastAsia="Calibri" w:hAnsi="Times New Roman" w:cs="Times New Roman"/>
          <w:sz w:val="24"/>
          <w:szCs w:val="24"/>
        </w:rPr>
        <w:t>Правление</w:t>
      </w:r>
      <w:r w:rsidRPr="005C53F5">
        <w:rPr>
          <w:rFonts w:ascii="Times New Roman" w:eastAsia="Calibri" w:hAnsi="Times New Roman" w:cs="Times New Roman"/>
          <w:sz w:val="24"/>
          <w:szCs w:val="24"/>
        </w:rPr>
        <w:t xml:space="preserve"> и Совет директоров. </w:t>
      </w:r>
      <w:r w:rsidR="0011181C" w:rsidRPr="005C53F5">
        <w:rPr>
          <w:rFonts w:ascii="Times New Roman" w:eastAsia="Calibri" w:hAnsi="Times New Roman" w:cs="Times New Roman"/>
          <w:sz w:val="24"/>
          <w:szCs w:val="24"/>
        </w:rPr>
        <w:t>Правление</w:t>
      </w:r>
      <w:r w:rsidRPr="005C53F5">
        <w:rPr>
          <w:rFonts w:ascii="Times New Roman" w:eastAsia="Calibri" w:hAnsi="Times New Roman" w:cs="Times New Roman"/>
          <w:sz w:val="24"/>
          <w:szCs w:val="24"/>
        </w:rPr>
        <w:t xml:space="preserve">, </w:t>
      </w:r>
      <w:r w:rsidR="0011181C" w:rsidRPr="005C53F5">
        <w:rPr>
          <w:rFonts w:ascii="Times New Roman" w:eastAsia="Calibri" w:hAnsi="Times New Roman" w:cs="Times New Roman"/>
          <w:sz w:val="24"/>
          <w:szCs w:val="24"/>
        </w:rPr>
        <w:t xml:space="preserve">являющееся </w:t>
      </w:r>
      <w:r w:rsidRPr="005C53F5">
        <w:rPr>
          <w:rFonts w:ascii="Times New Roman" w:eastAsia="Calibri" w:hAnsi="Times New Roman" w:cs="Times New Roman"/>
          <w:sz w:val="24"/>
          <w:szCs w:val="24"/>
        </w:rPr>
        <w:t xml:space="preserve">высшим органом управления НБК, состоит из девяти членов, в том числе </w:t>
      </w:r>
      <w:r w:rsidR="0011181C" w:rsidRPr="005C53F5">
        <w:rPr>
          <w:rFonts w:ascii="Times New Roman" w:eastAsia="Calibri" w:hAnsi="Times New Roman" w:cs="Times New Roman"/>
          <w:sz w:val="24"/>
          <w:szCs w:val="24"/>
        </w:rPr>
        <w:t xml:space="preserve">Председателя </w:t>
      </w:r>
      <w:r w:rsidRPr="005C53F5">
        <w:rPr>
          <w:rFonts w:ascii="Times New Roman" w:eastAsia="Calibri" w:hAnsi="Times New Roman" w:cs="Times New Roman"/>
          <w:sz w:val="24"/>
          <w:szCs w:val="24"/>
        </w:rPr>
        <w:t xml:space="preserve">НБК, </w:t>
      </w:r>
      <w:r w:rsidR="006D32B5" w:rsidRPr="005C53F5">
        <w:rPr>
          <w:rFonts w:ascii="Times New Roman" w:eastAsia="Calibri" w:hAnsi="Times New Roman" w:cs="Times New Roman"/>
          <w:sz w:val="24"/>
          <w:szCs w:val="24"/>
        </w:rPr>
        <w:t>четырех</w:t>
      </w:r>
      <w:r w:rsidRPr="005C53F5">
        <w:rPr>
          <w:rFonts w:ascii="Times New Roman" w:eastAsia="Calibri" w:hAnsi="Times New Roman" w:cs="Times New Roman"/>
          <w:sz w:val="24"/>
          <w:szCs w:val="24"/>
        </w:rPr>
        <w:t xml:space="preserve"> других представителей НБК, представителя Президента Республики Казахстан</w:t>
      </w:r>
      <w:r w:rsidR="006D32B5"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двух представителей Правительства Республики Казахстан</w:t>
      </w:r>
      <w:r w:rsidR="006D32B5" w:rsidRPr="005C53F5">
        <w:rPr>
          <w:rFonts w:ascii="Times New Roman" w:eastAsia="Calibri" w:hAnsi="Times New Roman" w:cs="Times New Roman"/>
          <w:sz w:val="24"/>
          <w:szCs w:val="24"/>
        </w:rPr>
        <w:t xml:space="preserve"> и одного представителя от уполномоченного органа по регулированию</w:t>
      </w:r>
      <w:r w:rsidR="00AB752F" w:rsidRPr="005C53F5">
        <w:rPr>
          <w:rFonts w:ascii="Times New Roman" w:eastAsia="Calibri" w:hAnsi="Times New Roman" w:cs="Times New Roman"/>
          <w:sz w:val="24"/>
          <w:szCs w:val="24"/>
        </w:rPr>
        <w:t xml:space="preserve"> и развитию</w:t>
      </w:r>
      <w:r w:rsidR="006D32B5" w:rsidRPr="005C53F5">
        <w:rPr>
          <w:rFonts w:ascii="Times New Roman" w:eastAsia="Calibri" w:hAnsi="Times New Roman" w:cs="Times New Roman"/>
          <w:sz w:val="24"/>
          <w:szCs w:val="24"/>
        </w:rPr>
        <w:t xml:space="preserve"> финансового рынка</w:t>
      </w:r>
      <w:r w:rsidRPr="005C53F5">
        <w:rPr>
          <w:rFonts w:ascii="Times New Roman" w:eastAsia="Calibri" w:hAnsi="Times New Roman" w:cs="Times New Roman"/>
          <w:sz w:val="24"/>
          <w:szCs w:val="24"/>
        </w:rPr>
        <w:t>.</w:t>
      </w:r>
    </w:p>
    <w:p w14:paraId="5A60713E" w14:textId="7FB2831A"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НБК </w:t>
      </w:r>
      <w:r w:rsidR="006D32B5" w:rsidRPr="005C53F5">
        <w:rPr>
          <w:rFonts w:ascii="Times New Roman" w:eastAsia="Calibri" w:hAnsi="Times New Roman" w:cs="Times New Roman"/>
          <w:sz w:val="24"/>
          <w:szCs w:val="24"/>
        </w:rPr>
        <w:t>до 2020 года был ответственным органом</w:t>
      </w:r>
      <w:r w:rsidRPr="005C53F5">
        <w:rPr>
          <w:rFonts w:ascii="Times New Roman" w:eastAsia="Calibri" w:hAnsi="Times New Roman" w:cs="Times New Roman"/>
          <w:sz w:val="24"/>
          <w:szCs w:val="24"/>
        </w:rPr>
        <w:t xml:space="preserve"> за большинство надзорных и регулирующих функций в финансовом секторе Казахстана. Эти функции </w:t>
      </w:r>
      <w:r w:rsidR="00865569" w:rsidRPr="005C53F5">
        <w:rPr>
          <w:rFonts w:ascii="Times New Roman" w:eastAsia="Calibri" w:hAnsi="Times New Roman" w:cs="Times New Roman"/>
          <w:sz w:val="24"/>
          <w:szCs w:val="24"/>
        </w:rPr>
        <w:t xml:space="preserve">с января 2004 года по апрель 2011 года </w:t>
      </w:r>
      <w:r w:rsidRPr="005C53F5">
        <w:rPr>
          <w:rFonts w:ascii="Times New Roman" w:eastAsia="Calibri" w:hAnsi="Times New Roman" w:cs="Times New Roman"/>
          <w:sz w:val="24"/>
          <w:szCs w:val="24"/>
        </w:rPr>
        <w:t xml:space="preserve">выполнялись Агентством Республики Казахстан по регулированию и надзору финансового рынка и финансовых организаций </w:t>
      </w:r>
      <w:r w:rsidR="00865569"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независимым органом, подчинявшимся непосредственно </w:t>
      </w:r>
      <w:r w:rsidR="00865569" w:rsidRPr="005C53F5">
        <w:rPr>
          <w:rFonts w:ascii="Times New Roman" w:eastAsia="Calibri" w:hAnsi="Times New Roman" w:cs="Times New Roman"/>
          <w:sz w:val="24"/>
          <w:szCs w:val="24"/>
        </w:rPr>
        <w:t>Президенту Республики Казахстан, – до тех пор</w:t>
      </w:r>
      <w:r w:rsidR="00F44AE2" w:rsidRPr="005C53F5">
        <w:rPr>
          <w:rFonts w:ascii="Times New Roman" w:eastAsia="Calibri" w:hAnsi="Times New Roman" w:cs="Times New Roman"/>
          <w:sz w:val="24"/>
          <w:szCs w:val="24"/>
        </w:rPr>
        <w:t>,</w:t>
      </w:r>
      <w:r w:rsidR="00865569" w:rsidRPr="005C53F5">
        <w:rPr>
          <w:rFonts w:ascii="Times New Roman" w:eastAsia="Calibri" w:hAnsi="Times New Roman" w:cs="Times New Roman"/>
          <w:sz w:val="24"/>
          <w:szCs w:val="24"/>
        </w:rPr>
        <w:t xml:space="preserve"> пока указанные функции не </w:t>
      </w:r>
      <w:r w:rsidRPr="005C53F5">
        <w:rPr>
          <w:rFonts w:ascii="Times New Roman" w:eastAsia="Calibri" w:hAnsi="Times New Roman" w:cs="Times New Roman"/>
          <w:sz w:val="24"/>
          <w:szCs w:val="24"/>
        </w:rPr>
        <w:t>были переданы НБК на основании Указа Президента</w:t>
      </w:r>
      <w:r w:rsidR="00865569" w:rsidRPr="005C53F5">
        <w:rPr>
          <w:rFonts w:ascii="Times New Roman" w:eastAsia="Calibri" w:hAnsi="Times New Roman" w:cs="Times New Roman"/>
          <w:sz w:val="24"/>
          <w:szCs w:val="24"/>
        </w:rPr>
        <w:t xml:space="preserve"> Республики Казахстан</w:t>
      </w:r>
      <w:r w:rsidRPr="005C53F5">
        <w:rPr>
          <w:rFonts w:ascii="Times New Roman" w:eastAsia="Calibri" w:hAnsi="Times New Roman" w:cs="Times New Roman"/>
          <w:sz w:val="24"/>
          <w:szCs w:val="24"/>
        </w:rPr>
        <w:t xml:space="preserve">. С апреля 2011 года </w:t>
      </w:r>
      <w:r w:rsidR="00AB752F" w:rsidRPr="005C53F5">
        <w:rPr>
          <w:rFonts w:ascii="Times New Roman" w:eastAsia="Calibri" w:hAnsi="Times New Roman" w:cs="Times New Roman"/>
          <w:sz w:val="24"/>
          <w:szCs w:val="24"/>
        </w:rPr>
        <w:t xml:space="preserve">по январь 2014 года </w:t>
      </w:r>
      <w:r w:rsidRPr="005C53F5">
        <w:rPr>
          <w:rFonts w:ascii="Times New Roman" w:eastAsia="Calibri" w:hAnsi="Times New Roman" w:cs="Times New Roman"/>
          <w:sz w:val="24"/>
          <w:szCs w:val="24"/>
        </w:rPr>
        <w:t xml:space="preserve">функции НБК по контролю и надзору за финансовым сектором выполнял </w:t>
      </w:r>
      <w:r w:rsidR="00865569" w:rsidRPr="005C53F5">
        <w:rPr>
          <w:rFonts w:ascii="Times New Roman" w:eastAsia="Calibri" w:hAnsi="Times New Roman" w:cs="Times New Roman"/>
          <w:sz w:val="24"/>
          <w:szCs w:val="24"/>
        </w:rPr>
        <w:t xml:space="preserve">Комитет </w:t>
      </w:r>
      <w:r w:rsidRPr="005C53F5">
        <w:rPr>
          <w:rFonts w:ascii="Times New Roman" w:eastAsia="Calibri" w:hAnsi="Times New Roman" w:cs="Times New Roman"/>
          <w:sz w:val="24"/>
          <w:szCs w:val="24"/>
        </w:rPr>
        <w:t>по контролю и надзору финансов</w:t>
      </w:r>
      <w:r w:rsidR="00865569" w:rsidRPr="005C53F5">
        <w:rPr>
          <w:rFonts w:ascii="Times New Roman" w:eastAsia="Calibri" w:hAnsi="Times New Roman" w:cs="Times New Roman"/>
          <w:sz w:val="24"/>
          <w:szCs w:val="24"/>
        </w:rPr>
        <w:t>ого</w:t>
      </w:r>
      <w:r w:rsidRPr="005C53F5">
        <w:rPr>
          <w:rFonts w:ascii="Times New Roman" w:eastAsia="Calibri" w:hAnsi="Times New Roman" w:cs="Times New Roman"/>
          <w:sz w:val="24"/>
          <w:szCs w:val="24"/>
        </w:rPr>
        <w:t xml:space="preserve"> </w:t>
      </w:r>
      <w:r w:rsidR="00865569" w:rsidRPr="005C53F5">
        <w:rPr>
          <w:rFonts w:ascii="Times New Roman" w:eastAsia="Calibri" w:hAnsi="Times New Roman" w:cs="Times New Roman"/>
          <w:sz w:val="24"/>
          <w:szCs w:val="24"/>
        </w:rPr>
        <w:t xml:space="preserve">рынка </w:t>
      </w:r>
      <w:r w:rsidRPr="005C53F5">
        <w:rPr>
          <w:rFonts w:ascii="Times New Roman" w:eastAsia="Calibri" w:hAnsi="Times New Roman" w:cs="Times New Roman"/>
          <w:sz w:val="24"/>
          <w:szCs w:val="24"/>
        </w:rPr>
        <w:t xml:space="preserve">и </w:t>
      </w:r>
      <w:r w:rsidR="00865569" w:rsidRPr="005C53F5">
        <w:rPr>
          <w:rFonts w:ascii="Times New Roman" w:eastAsia="Calibri" w:hAnsi="Times New Roman" w:cs="Times New Roman"/>
          <w:sz w:val="24"/>
          <w:szCs w:val="24"/>
        </w:rPr>
        <w:t>финансовых организаций НБК</w:t>
      </w:r>
      <w:r w:rsidRPr="005C53F5">
        <w:rPr>
          <w:rFonts w:ascii="Times New Roman" w:eastAsia="Calibri" w:hAnsi="Times New Roman" w:cs="Times New Roman"/>
          <w:sz w:val="24"/>
          <w:szCs w:val="24"/>
        </w:rPr>
        <w:t xml:space="preserve">. В январе 2014 года </w:t>
      </w:r>
      <w:r w:rsidR="00865569" w:rsidRPr="005C53F5">
        <w:rPr>
          <w:rFonts w:ascii="Times New Roman" w:eastAsia="Calibri" w:hAnsi="Times New Roman" w:cs="Times New Roman"/>
          <w:sz w:val="24"/>
          <w:szCs w:val="24"/>
        </w:rPr>
        <w:t xml:space="preserve">указанный Комитет </w:t>
      </w:r>
      <w:r w:rsidRPr="005C53F5">
        <w:rPr>
          <w:rFonts w:ascii="Times New Roman" w:eastAsia="Calibri" w:hAnsi="Times New Roman" w:cs="Times New Roman"/>
          <w:sz w:val="24"/>
          <w:szCs w:val="24"/>
        </w:rPr>
        <w:t xml:space="preserve">был </w:t>
      </w:r>
      <w:r w:rsidR="006D32B5" w:rsidRPr="005C53F5">
        <w:rPr>
          <w:rFonts w:ascii="Times New Roman" w:eastAsia="Calibri" w:hAnsi="Times New Roman" w:cs="Times New Roman"/>
          <w:sz w:val="24"/>
          <w:szCs w:val="24"/>
        </w:rPr>
        <w:t>упразднен</w:t>
      </w:r>
      <w:r w:rsidRPr="005C53F5">
        <w:rPr>
          <w:rFonts w:ascii="Times New Roman" w:eastAsia="Calibri" w:hAnsi="Times New Roman" w:cs="Times New Roman"/>
          <w:sz w:val="24"/>
          <w:szCs w:val="24"/>
        </w:rPr>
        <w:t xml:space="preserve">, его функции </w:t>
      </w:r>
      <w:r w:rsidR="006D32B5" w:rsidRPr="005C53F5">
        <w:rPr>
          <w:rFonts w:ascii="Times New Roman" w:eastAsia="Calibri" w:hAnsi="Times New Roman" w:cs="Times New Roman"/>
          <w:sz w:val="24"/>
          <w:szCs w:val="24"/>
        </w:rPr>
        <w:t>были переданы</w:t>
      </w:r>
      <w:r w:rsidRPr="005C53F5">
        <w:rPr>
          <w:rFonts w:ascii="Times New Roman" w:eastAsia="Calibri" w:hAnsi="Times New Roman" w:cs="Times New Roman"/>
          <w:sz w:val="24"/>
          <w:szCs w:val="24"/>
        </w:rPr>
        <w:t xml:space="preserve"> НБК </w:t>
      </w:r>
      <w:r w:rsidR="00865569" w:rsidRPr="005C53F5">
        <w:rPr>
          <w:rFonts w:ascii="Times New Roman" w:eastAsia="Calibri" w:hAnsi="Times New Roman" w:cs="Times New Roman"/>
          <w:sz w:val="24"/>
          <w:szCs w:val="24"/>
        </w:rPr>
        <w:t>в качестве</w:t>
      </w:r>
      <w:r w:rsidRPr="005C53F5">
        <w:rPr>
          <w:rFonts w:ascii="Times New Roman" w:eastAsia="Calibri" w:hAnsi="Times New Roman" w:cs="Times New Roman"/>
          <w:sz w:val="24"/>
          <w:szCs w:val="24"/>
        </w:rPr>
        <w:t xml:space="preserve"> </w:t>
      </w:r>
      <w:r w:rsidR="00865569" w:rsidRPr="005C53F5">
        <w:rPr>
          <w:rFonts w:ascii="Times New Roman" w:eastAsia="Calibri" w:hAnsi="Times New Roman" w:cs="Times New Roman"/>
          <w:sz w:val="24"/>
          <w:szCs w:val="24"/>
        </w:rPr>
        <w:t xml:space="preserve">одного </w:t>
      </w:r>
      <w:r w:rsidRPr="005C53F5">
        <w:rPr>
          <w:rFonts w:ascii="Times New Roman" w:eastAsia="Calibri" w:hAnsi="Times New Roman" w:cs="Times New Roman"/>
          <w:sz w:val="24"/>
          <w:szCs w:val="24"/>
        </w:rPr>
        <w:t xml:space="preserve">из основных направлений </w:t>
      </w:r>
      <w:r w:rsidR="00865569" w:rsidRPr="005C53F5">
        <w:rPr>
          <w:rFonts w:ascii="Times New Roman" w:eastAsia="Calibri" w:hAnsi="Times New Roman" w:cs="Times New Roman"/>
          <w:sz w:val="24"/>
          <w:szCs w:val="24"/>
        </w:rPr>
        <w:t xml:space="preserve">своей </w:t>
      </w:r>
      <w:r w:rsidRPr="005C53F5">
        <w:rPr>
          <w:rFonts w:ascii="Times New Roman" w:eastAsia="Calibri" w:hAnsi="Times New Roman" w:cs="Times New Roman"/>
          <w:sz w:val="24"/>
          <w:szCs w:val="24"/>
        </w:rPr>
        <w:t>деятельности.</w:t>
      </w:r>
    </w:p>
    <w:p w14:paraId="65B9B4FB" w14:textId="1F6E7B51" w:rsidR="00A36FAF" w:rsidRPr="005C53F5" w:rsidRDefault="006D32B5"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После пенсионных реформ, которые были введены пенсионным законом в июне 2013 года, активы ЕНПФ были переданы в доверительное управление НБК. НБК в настоящее время продолжает управлять пенсионными активами ЕНПФ от имени Правительства Республики Казахстан на основе соглашения о доверительном управлении между НБК и Правительством Республики Казахстан</w:t>
      </w:r>
      <w:r w:rsidR="00A36FAF" w:rsidRPr="005C53F5">
        <w:rPr>
          <w:rFonts w:ascii="Times New Roman" w:eastAsia="Calibri" w:hAnsi="Times New Roman" w:cs="Times New Roman"/>
          <w:sz w:val="24"/>
          <w:szCs w:val="24"/>
        </w:rPr>
        <w:t xml:space="preserve">. </w:t>
      </w:r>
    </w:p>
    <w:p w14:paraId="2060ECDC" w14:textId="1D8C7464"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 января 2020 года </w:t>
      </w:r>
      <w:r w:rsidR="00640D43" w:rsidRPr="005C53F5">
        <w:rPr>
          <w:rFonts w:ascii="Times New Roman" w:eastAsia="Calibri" w:hAnsi="Times New Roman" w:cs="Times New Roman"/>
          <w:sz w:val="24"/>
          <w:szCs w:val="24"/>
        </w:rPr>
        <w:t>Агентство Республики Казахстан по регулированию и развитию финансового рынка (</w:t>
      </w:r>
      <w:r w:rsidRPr="005C53F5">
        <w:rPr>
          <w:rFonts w:ascii="Times New Roman" w:eastAsia="Calibri" w:hAnsi="Times New Roman" w:cs="Times New Roman"/>
          <w:sz w:val="24"/>
          <w:szCs w:val="24"/>
        </w:rPr>
        <w:t>новый независимый регулирующий орган</w:t>
      </w:r>
      <w:r w:rsidR="00640D43"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созданный в результате реорганизации НБК) </w:t>
      </w:r>
      <w:r w:rsidR="00640D43" w:rsidRPr="005C53F5">
        <w:rPr>
          <w:rFonts w:ascii="Times New Roman" w:eastAsia="Calibri" w:hAnsi="Times New Roman" w:cs="Times New Roman"/>
          <w:sz w:val="24"/>
          <w:szCs w:val="24"/>
        </w:rPr>
        <w:t>отвечает</w:t>
      </w:r>
      <w:r w:rsidRPr="005C53F5">
        <w:rPr>
          <w:rFonts w:ascii="Times New Roman" w:eastAsia="Calibri" w:hAnsi="Times New Roman" w:cs="Times New Roman"/>
          <w:sz w:val="24"/>
          <w:szCs w:val="24"/>
        </w:rPr>
        <w:t xml:space="preserve"> за контроль и развитие финансовых рынков, а также защиту прав потребителей. Новый регулятор </w:t>
      </w:r>
      <w:r w:rsidR="00640D43" w:rsidRPr="005C53F5">
        <w:rPr>
          <w:rFonts w:ascii="Times New Roman" w:eastAsia="Calibri" w:hAnsi="Times New Roman" w:cs="Times New Roman"/>
          <w:sz w:val="24"/>
          <w:szCs w:val="24"/>
        </w:rPr>
        <w:t>получил полномочия в сфере</w:t>
      </w:r>
      <w:r w:rsidRPr="005C53F5">
        <w:rPr>
          <w:rFonts w:ascii="Times New Roman" w:eastAsia="Calibri" w:hAnsi="Times New Roman" w:cs="Times New Roman"/>
          <w:sz w:val="24"/>
          <w:szCs w:val="24"/>
        </w:rPr>
        <w:t xml:space="preserve"> регулирования и развития финансового сектора (банков, участников страхового рынка, рынка ценных бумаг, микрофинансовых и ипотечных организаций, кредитных товариществ, ломбардов, онлайн-кредиторов, коллекторских агентств и кредитных бюро), контроля и надзора, процедур разрешения споров, ликвидации финансовых организаций и кибербезопасности финансового сектора.</w:t>
      </w:r>
    </w:p>
    <w:p w14:paraId="416B6812" w14:textId="378D3588"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НБК </w:t>
      </w:r>
      <w:r w:rsidR="00FC0F4A" w:rsidRPr="005C53F5">
        <w:rPr>
          <w:rFonts w:ascii="Times New Roman" w:eastAsia="Calibri" w:hAnsi="Times New Roman" w:cs="Times New Roman"/>
          <w:sz w:val="24"/>
          <w:szCs w:val="24"/>
        </w:rPr>
        <w:t xml:space="preserve">сохранил </w:t>
      </w:r>
      <w:r w:rsidRPr="005C53F5">
        <w:rPr>
          <w:rFonts w:ascii="Times New Roman" w:eastAsia="Calibri" w:hAnsi="Times New Roman" w:cs="Times New Roman"/>
          <w:sz w:val="24"/>
          <w:szCs w:val="24"/>
        </w:rPr>
        <w:t xml:space="preserve">за собой функции, связанные со сбором и обработкой финансовой отчетности организаций финансового сектора, контролем и </w:t>
      </w:r>
      <w:r w:rsidR="00640D43"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или</w:t>
      </w:r>
      <w:r w:rsidR="00640D43"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надзором и разрешительными процедурами в отношении платежных организаций, </w:t>
      </w:r>
      <w:r w:rsidR="00640D43" w:rsidRPr="005C53F5">
        <w:rPr>
          <w:rFonts w:ascii="Times New Roman" w:eastAsia="Calibri" w:hAnsi="Times New Roman" w:cs="Times New Roman"/>
          <w:sz w:val="24"/>
          <w:szCs w:val="24"/>
        </w:rPr>
        <w:t xml:space="preserve">небанковских обменных пунктов </w:t>
      </w:r>
      <w:r w:rsidRPr="005C53F5">
        <w:rPr>
          <w:rFonts w:ascii="Times New Roman" w:eastAsia="Calibri" w:hAnsi="Times New Roman" w:cs="Times New Roman"/>
          <w:sz w:val="24"/>
          <w:szCs w:val="24"/>
        </w:rPr>
        <w:t xml:space="preserve">и </w:t>
      </w:r>
      <w:r w:rsidR="00640D43" w:rsidRPr="005C53F5">
        <w:rPr>
          <w:rFonts w:ascii="Times New Roman" w:eastAsia="Calibri" w:hAnsi="Times New Roman" w:cs="Times New Roman"/>
          <w:sz w:val="24"/>
          <w:szCs w:val="24"/>
        </w:rPr>
        <w:t>коллекторских организаций</w:t>
      </w:r>
      <w:r w:rsidRPr="005C53F5">
        <w:rPr>
          <w:rFonts w:ascii="Times New Roman" w:eastAsia="Calibri" w:hAnsi="Times New Roman" w:cs="Times New Roman"/>
          <w:sz w:val="24"/>
          <w:szCs w:val="24"/>
        </w:rPr>
        <w:t>. НБК также продолжит осуществлять денежно-кредитн</w:t>
      </w:r>
      <w:r w:rsidR="004F3B60" w:rsidRPr="005C53F5">
        <w:rPr>
          <w:rFonts w:ascii="Times New Roman" w:eastAsia="Calibri" w:hAnsi="Times New Roman" w:cs="Times New Roman"/>
          <w:sz w:val="24"/>
          <w:szCs w:val="24"/>
        </w:rPr>
        <w:t>ую</w:t>
      </w:r>
      <w:r w:rsidRPr="005C53F5">
        <w:rPr>
          <w:rFonts w:ascii="Times New Roman" w:eastAsia="Calibri" w:hAnsi="Times New Roman" w:cs="Times New Roman"/>
          <w:sz w:val="24"/>
          <w:szCs w:val="24"/>
        </w:rPr>
        <w:t xml:space="preserve"> политик</w:t>
      </w:r>
      <w:r w:rsidR="004F3B60" w:rsidRPr="005C53F5">
        <w:rPr>
          <w:rFonts w:ascii="Times New Roman" w:eastAsia="Calibri" w:hAnsi="Times New Roman" w:cs="Times New Roman"/>
          <w:sz w:val="24"/>
          <w:szCs w:val="24"/>
        </w:rPr>
        <w:t>у</w:t>
      </w:r>
      <w:r w:rsidRPr="005C53F5">
        <w:rPr>
          <w:rFonts w:ascii="Times New Roman" w:eastAsia="Calibri" w:hAnsi="Times New Roman" w:cs="Times New Roman"/>
          <w:sz w:val="24"/>
          <w:szCs w:val="24"/>
        </w:rPr>
        <w:t xml:space="preserve"> и контрол</w:t>
      </w:r>
      <w:r w:rsidR="004F3B60" w:rsidRPr="005C53F5">
        <w:rPr>
          <w:rFonts w:ascii="Times New Roman" w:eastAsia="Calibri" w:hAnsi="Times New Roman" w:cs="Times New Roman"/>
          <w:sz w:val="24"/>
          <w:szCs w:val="24"/>
        </w:rPr>
        <w:t>ь</w:t>
      </w:r>
      <w:r w:rsidRPr="005C53F5">
        <w:rPr>
          <w:rFonts w:ascii="Times New Roman" w:eastAsia="Calibri" w:hAnsi="Times New Roman" w:cs="Times New Roman"/>
          <w:sz w:val="24"/>
          <w:szCs w:val="24"/>
        </w:rPr>
        <w:t xml:space="preserve"> инфляции.</w:t>
      </w:r>
    </w:p>
    <w:p w14:paraId="50846490" w14:textId="3F4B7BA5"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Для повышения финансовой стабильности НБК и новый регулятор финансовых рынков будут координировать свою деятельность и иметь взаимное представительство в своих руководящих органах. Они также будут обмениваться друг с другом ключевой информацией, связанной с финансовыми рынками. Будет создана единая база статистической и нормативной информации с равным доступом со стороны НБК и нового регулятора финансовых рынков</w:t>
      </w:r>
    </w:p>
    <w:p w14:paraId="0212C2FB" w14:textId="77777777"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5C53F5">
        <w:rPr>
          <w:rFonts w:ascii="Times New Roman" w:eastAsia="Calibri" w:hAnsi="Times New Roman" w:cs="Times New Roman"/>
          <w:i/>
          <w:sz w:val="24"/>
          <w:szCs w:val="24"/>
        </w:rPr>
        <w:t>Монетарная политика</w:t>
      </w:r>
    </w:p>
    <w:p w14:paraId="3102F3D0" w14:textId="77777777" w:rsidR="001629A3" w:rsidRPr="005C53F5" w:rsidRDefault="001629A3"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НБК является ответственным органом за разработку и проведение денежно-кредитной политики, и за обеспечение стабильности цен в стране. По итогам 2014 года инфляция в стране составила 7,4%, что соответствовало установленному целевому коридору. Однако, с учетом неблагоприятных внешних факторов на тот момент, включая волатильность на мировых финансовых и товарных рынках, в августе 2015 года были внесены изменения в денежно-кредитную политику страны для обеспечения устойчивого долгосрочного роста экономики. Таким образом, НБК было принято решение приступить к реализации новой политики, основанной на режиме инфляционного таргетирования, отменить валютный коридор и перейти к свободно плавающему обменному курсу. С 2015 года обменный курс тенге формируется на основе рыночного спроса и предложения с учетом фундаментальных внутренних и внешних макроэкономических факторов. Изменения обменного курса определяются ситуацией в мировой экономике и на внутреннем валютном рынке. </w:t>
      </w:r>
    </w:p>
    <w:p w14:paraId="2B05554C" w14:textId="75090303"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феврале 2016 года Национальный банк возобновил практику установления базовой ставки.</w:t>
      </w:r>
    </w:p>
    <w:p w14:paraId="06A60799" w14:textId="77777777"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2017 году меры НБК, в том числе политика процентных ставок, были направлены на достижение целевого уровня инфляции на конец 2017 года, который был установлен в целевом диапазоне от 6,0% до 8,0%. В результате умеренно жесткой денежно-кредитной политики инфляция к концу 2017 года оказалась в середине целевого диапазона.</w:t>
      </w:r>
    </w:p>
    <w:p w14:paraId="2A7E3AE5" w14:textId="77777777"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Денежно-кредитная политика НБК на 2018 год была направлена на обеспечение ценовой стабильности для обеспечения устойчивого долгосрочного экономического роста и развития казахстанской экономики. Ключевая цель состояла в том, чтобы сохранить годовой уровень инфляции в диапазоне от 5,0% до 7,0% в конце 2018 года.</w:t>
      </w:r>
    </w:p>
    <w:p w14:paraId="47A63384" w14:textId="173A592A"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2019 году денежно-кредитная политика </w:t>
      </w:r>
      <w:r w:rsidR="004F3B60" w:rsidRPr="005C53F5">
        <w:rPr>
          <w:rFonts w:ascii="Times New Roman" w:eastAsia="Calibri" w:hAnsi="Times New Roman" w:cs="Times New Roman"/>
          <w:sz w:val="24"/>
          <w:szCs w:val="24"/>
        </w:rPr>
        <w:t>осуществлялась</w:t>
      </w:r>
      <w:r w:rsidRPr="005C53F5">
        <w:rPr>
          <w:rFonts w:ascii="Times New Roman" w:eastAsia="Calibri" w:hAnsi="Times New Roman" w:cs="Times New Roman"/>
          <w:sz w:val="24"/>
          <w:szCs w:val="24"/>
        </w:rPr>
        <w:t xml:space="preserve"> в соответствии с принципами инфляционного таргетирования. В соответствии с Соглашением о координации мер макроэкономической политики на 2019 год между </w:t>
      </w:r>
      <w:r w:rsidR="00640D43" w:rsidRPr="005C53F5">
        <w:rPr>
          <w:rFonts w:ascii="Times New Roman" w:eastAsia="Calibri" w:hAnsi="Times New Roman" w:cs="Times New Roman"/>
          <w:sz w:val="24"/>
          <w:szCs w:val="24"/>
        </w:rPr>
        <w:t xml:space="preserve">Правительством Республики Казахстан </w:t>
      </w:r>
      <w:r w:rsidRPr="005C53F5">
        <w:rPr>
          <w:rFonts w:ascii="Times New Roman" w:eastAsia="Calibri" w:hAnsi="Times New Roman" w:cs="Times New Roman"/>
          <w:sz w:val="24"/>
          <w:szCs w:val="24"/>
        </w:rPr>
        <w:t>и НБК целевой уровень инфляции установлен в диапазоне от 4,0% до 6,0% до конца 2021 года.</w:t>
      </w:r>
    </w:p>
    <w:p w14:paraId="19A976B6" w14:textId="1EBFBAA9" w:rsidR="004F3B60"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При принятии решений относительно денежно-кредитной политики НБК проводи</w:t>
      </w:r>
      <w:r w:rsidR="004F3B60" w:rsidRPr="005C53F5">
        <w:rPr>
          <w:rFonts w:ascii="Times New Roman" w:eastAsia="Calibri" w:hAnsi="Times New Roman" w:cs="Times New Roman"/>
          <w:sz w:val="24"/>
          <w:szCs w:val="24"/>
        </w:rPr>
        <w:t>л</w:t>
      </w:r>
      <w:r w:rsidRPr="005C53F5">
        <w:rPr>
          <w:rFonts w:ascii="Times New Roman" w:eastAsia="Calibri" w:hAnsi="Times New Roman" w:cs="Times New Roman"/>
          <w:sz w:val="24"/>
          <w:szCs w:val="24"/>
        </w:rPr>
        <w:t xml:space="preserve"> оценку рисков, как для существующей, так и для будущей инфляции, а также осуществля</w:t>
      </w:r>
      <w:r w:rsidR="004F3B60" w:rsidRPr="005C53F5">
        <w:rPr>
          <w:rFonts w:ascii="Times New Roman" w:eastAsia="Calibri" w:hAnsi="Times New Roman" w:cs="Times New Roman"/>
          <w:sz w:val="24"/>
          <w:szCs w:val="24"/>
        </w:rPr>
        <w:t>л</w:t>
      </w:r>
      <w:r w:rsidRPr="005C53F5">
        <w:rPr>
          <w:rFonts w:ascii="Times New Roman" w:eastAsia="Calibri" w:hAnsi="Times New Roman" w:cs="Times New Roman"/>
          <w:sz w:val="24"/>
          <w:szCs w:val="24"/>
        </w:rPr>
        <w:t xml:space="preserve"> мониторинг динамики широкого спектра внешних и внутренних факторов.</w:t>
      </w:r>
    </w:p>
    <w:p w14:paraId="36E6F011" w14:textId="6DC4BAE1" w:rsidR="004F3B60" w:rsidRPr="005C53F5" w:rsidRDefault="004F3B60"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2020 году НБК продолжает проводить денежно-кредитную политику в режиме инфляционного таргетирования. Ключевым инструментом денежно-кредитной политики остается установление уровня базовой ставки и ее коридора.</w:t>
      </w:r>
    </w:p>
    <w:p w14:paraId="54949EEE" w14:textId="4DCDA62F" w:rsidR="004F3B60" w:rsidRPr="005C53F5" w:rsidRDefault="004F3B60"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10 марта 2020 года НБК принял внеочередное решение по базовой ставке и повысил ее до 12,00% с расширением процентного коридора до +/-1,5 п.п. Решение было обусловлено резким изменением ситуации в мировой экономике. Расширение географии распространения коронавируса COVID-19 стало главным фактором ухудшения перспектив экономического развития стран, включая основных потребителей казахстанского экспорта, таких как Китай и Европейский союз. Ситуация усугубилась в результате недостижения договоренностей ОПЕК+ по сокращению добычи нефти, что привело к значительному снижению цены на нефть (до 30% в течение одного дня). В таких условиях повышение базовой ставки и расширение процентного коридора было направлено на предупреждение распространения последствий внешнего шока на экономику страны, защиту тенговых активов и снижение давления, в том числе спекулятивного, на курс, тем самым предотвращая рост инфляционных ожиданий и эффект переноса обменного курса на цены. </w:t>
      </w:r>
    </w:p>
    <w:p w14:paraId="64A1F9BC" w14:textId="77777777" w:rsidR="004F3B60" w:rsidRPr="005C53F5" w:rsidRDefault="004F3B60"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16 марта 2020 года было принято очередное решение о сохранении базовой ставки и ее процентного коридора, а также был осуществлен поэтапный переход к формированию равновесного курса. Сформировавшийся равновесный курс абсорбировал внешние шоки и исключил накапливание дисбаланса в экономике.</w:t>
      </w:r>
    </w:p>
    <w:p w14:paraId="34F68301" w14:textId="372FAD65" w:rsidR="004F3B60" w:rsidRPr="005C53F5" w:rsidRDefault="004F3B60"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3 апреля 2020 года Национальный Банк принял внеочередное решение о снижении базовой ставки до 9,5% годовых и расширении процентного коридора до +/- 2 п.п.</w:t>
      </w:r>
    </w:p>
    <w:p w14:paraId="3B1BC473" w14:textId="48CF59B7" w:rsidR="001E7E45" w:rsidRPr="005C53F5" w:rsidRDefault="001E7E45"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27 апреля 2020 года Национальный Банк</w:t>
      </w:r>
      <w:r w:rsidRPr="005C53F5">
        <w:t xml:space="preserve"> п</w:t>
      </w:r>
      <w:r w:rsidRPr="005C53F5">
        <w:rPr>
          <w:rFonts w:ascii="Times New Roman" w:eastAsia="Calibri" w:hAnsi="Times New Roman" w:cs="Times New Roman"/>
          <w:sz w:val="24"/>
          <w:szCs w:val="24"/>
        </w:rPr>
        <w:t>ринял решение сохранить базовую ставку на уровне 9,5% годовых с процентным коридором +/- 2 п.п.</w:t>
      </w:r>
    </w:p>
    <w:p w14:paraId="4E131E00" w14:textId="7998DB45" w:rsidR="00A36FAF" w:rsidRPr="005C53F5" w:rsidRDefault="004F3B60"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Решение является одной из ряда мер Национального Банка, направленных на обеспечение финансовой стабильности, ограничение рисков для нашей экономики и ее адаптацию к изменившимся условиям внешней и внутренней среды. Снижение базовой ставки в комплексе с другими мерами Национального Банка позволят сгладить влияние последствий коронавируса на казахстанскую экономику и поддержат экономическую активность.</w:t>
      </w:r>
    </w:p>
    <w:p w14:paraId="0B1CFE18" w14:textId="6102E4BB" w:rsidR="004F3B60" w:rsidRPr="005C53F5" w:rsidRDefault="004F3B60"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Обменный курс формируется участниками рынка на основе спроса и предложения иностранной валюты под воздействием фундаментальных факторов. Однако в целях обеспечения стабильности финансового рынка НБК оставляет за собой право осуществлять интервенции на валютном рынке для смягчения резких дестабилизирующих колебаний обменного курса (в том числе вызванных воздействием нефундаментальных факторов), не вмешиваясь при этом в процесс курсообразования. Интервенции НБК не противоречат принципам режима инфляционного таргетирования.</w:t>
      </w:r>
    </w:p>
    <w:p w14:paraId="26D6E302" w14:textId="52EAF2F2"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мае 2015 года исключительно в отношении деноминированных в тенге срочных вкладов физических лиц и текущих счетов гарантийное </w:t>
      </w:r>
      <w:r w:rsidR="00640D43" w:rsidRPr="005C53F5">
        <w:rPr>
          <w:rFonts w:ascii="Times New Roman" w:eastAsia="Calibri" w:hAnsi="Times New Roman" w:cs="Times New Roman"/>
          <w:sz w:val="24"/>
          <w:szCs w:val="24"/>
        </w:rPr>
        <w:t>возмещение</w:t>
      </w:r>
      <w:r w:rsidRPr="005C53F5">
        <w:rPr>
          <w:rFonts w:ascii="Times New Roman" w:eastAsia="Calibri" w:hAnsi="Times New Roman" w:cs="Times New Roman"/>
          <w:sz w:val="24"/>
          <w:szCs w:val="24"/>
        </w:rPr>
        <w:t xml:space="preserve">, предоставляемое </w:t>
      </w:r>
      <w:r w:rsidR="00640D43" w:rsidRPr="005C53F5">
        <w:rPr>
          <w:rFonts w:ascii="Times New Roman" w:eastAsia="Calibri" w:hAnsi="Times New Roman" w:cs="Times New Roman"/>
          <w:sz w:val="24"/>
          <w:szCs w:val="24"/>
        </w:rPr>
        <w:t>в рамках системы гарантирования депозитов</w:t>
      </w:r>
      <w:r w:rsidRPr="005C53F5">
        <w:rPr>
          <w:rFonts w:ascii="Times New Roman" w:eastAsia="Calibri" w:hAnsi="Times New Roman" w:cs="Times New Roman"/>
          <w:sz w:val="24"/>
          <w:szCs w:val="24"/>
        </w:rPr>
        <w:t xml:space="preserve">, было увеличено до максимальной суммы в размере 10 млн тенге на одного клиента в каждом банке, участвующем в системе гарантирования </w:t>
      </w:r>
      <w:r w:rsidR="00640D43" w:rsidRPr="005C53F5">
        <w:rPr>
          <w:rFonts w:ascii="Times New Roman" w:eastAsia="Calibri" w:hAnsi="Times New Roman" w:cs="Times New Roman"/>
          <w:sz w:val="24"/>
          <w:szCs w:val="24"/>
        </w:rPr>
        <w:t>депозитов</w:t>
      </w:r>
      <w:r w:rsidRPr="005C53F5">
        <w:rPr>
          <w:rFonts w:ascii="Times New Roman" w:eastAsia="Calibri" w:hAnsi="Times New Roman" w:cs="Times New Roman"/>
          <w:sz w:val="24"/>
          <w:szCs w:val="24"/>
        </w:rPr>
        <w:t xml:space="preserve">. </w:t>
      </w:r>
      <w:r w:rsidR="00640D43" w:rsidRPr="005C53F5">
        <w:rPr>
          <w:rFonts w:ascii="Times New Roman" w:eastAsia="Calibri" w:hAnsi="Times New Roman" w:cs="Times New Roman"/>
          <w:sz w:val="24"/>
          <w:szCs w:val="24"/>
        </w:rPr>
        <w:t>Гарантийное возмещение</w:t>
      </w:r>
      <w:r w:rsidRPr="005C53F5">
        <w:rPr>
          <w:rFonts w:ascii="Times New Roman" w:eastAsia="Calibri" w:hAnsi="Times New Roman" w:cs="Times New Roman"/>
          <w:sz w:val="24"/>
          <w:szCs w:val="24"/>
        </w:rPr>
        <w:t xml:space="preserve"> по вкладам в иностранной валюте </w:t>
      </w:r>
      <w:r w:rsidR="00640D43" w:rsidRPr="005C53F5">
        <w:rPr>
          <w:rFonts w:ascii="Times New Roman" w:eastAsia="Calibri" w:hAnsi="Times New Roman" w:cs="Times New Roman"/>
          <w:sz w:val="24"/>
          <w:szCs w:val="24"/>
        </w:rPr>
        <w:t xml:space="preserve">было сохранено </w:t>
      </w:r>
      <w:r w:rsidRPr="005C53F5">
        <w:rPr>
          <w:rFonts w:ascii="Times New Roman" w:eastAsia="Calibri" w:hAnsi="Times New Roman" w:cs="Times New Roman"/>
          <w:sz w:val="24"/>
          <w:szCs w:val="24"/>
        </w:rPr>
        <w:t>на прежнем уровне – 5 млн тенге. Рекомендуемые максимальные процентные ставки по депозитам в иностранной валюте</w:t>
      </w:r>
      <w:r w:rsidR="004F3B60" w:rsidRPr="005C53F5">
        <w:rPr>
          <w:rFonts w:ascii="Times New Roman" w:eastAsia="Calibri" w:hAnsi="Times New Roman" w:cs="Times New Roman"/>
          <w:sz w:val="24"/>
          <w:szCs w:val="24"/>
        </w:rPr>
        <w:t xml:space="preserve"> составляют 1%</w:t>
      </w:r>
      <w:r w:rsidRPr="005C53F5">
        <w:rPr>
          <w:rFonts w:ascii="Times New Roman" w:eastAsia="Calibri" w:hAnsi="Times New Roman" w:cs="Times New Roman"/>
          <w:sz w:val="24"/>
          <w:szCs w:val="24"/>
        </w:rPr>
        <w:t>. С октября 2018 года введен новый инструмент</w:t>
      </w:r>
      <w:r w:rsidR="00640D43" w:rsidRPr="005C53F5">
        <w:rPr>
          <w:rFonts w:ascii="Times New Roman" w:eastAsia="Calibri" w:hAnsi="Times New Roman" w:cs="Times New Roman"/>
          <w:sz w:val="24"/>
          <w:szCs w:val="24"/>
        </w:rPr>
        <w:t xml:space="preserve"> – </w:t>
      </w:r>
      <w:r w:rsidRPr="005C53F5">
        <w:rPr>
          <w:rFonts w:ascii="Times New Roman" w:eastAsia="Calibri" w:hAnsi="Times New Roman" w:cs="Times New Roman"/>
          <w:sz w:val="24"/>
          <w:szCs w:val="24"/>
        </w:rPr>
        <w:t xml:space="preserve">сберегательный депозит с высоким уровнем доходности и гарантиями до 15 млн тенге. Эти меры были частью планов </w:t>
      </w:r>
      <w:r w:rsidR="00640D43" w:rsidRPr="005C53F5">
        <w:rPr>
          <w:rFonts w:ascii="Times New Roman" w:eastAsia="Calibri" w:hAnsi="Times New Roman" w:cs="Times New Roman"/>
          <w:sz w:val="24"/>
          <w:szCs w:val="24"/>
        </w:rPr>
        <w:t xml:space="preserve">Правительства Республики Казахстан </w:t>
      </w:r>
      <w:r w:rsidRPr="005C53F5">
        <w:rPr>
          <w:rFonts w:ascii="Times New Roman" w:eastAsia="Calibri" w:hAnsi="Times New Roman" w:cs="Times New Roman"/>
          <w:sz w:val="24"/>
          <w:szCs w:val="24"/>
        </w:rPr>
        <w:t>и НБК по снижению уровня долларизации экономики.</w:t>
      </w:r>
    </w:p>
    <w:p w14:paraId="1CCF825E" w14:textId="77777777" w:rsidR="00A36FAF" w:rsidRPr="005C53F5" w:rsidRDefault="00A36FAF" w:rsidP="00057BE5">
      <w:pPr>
        <w:keepNext/>
        <w:autoSpaceDE w:val="0"/>
        <w:autoSpaceDN w:val="0"/>
        <w:adjustRightInd w:val="0"/>
        <w:spacing w:after="0" w:line="240" w:lineRule="auto"/>
        <w:ind w:firstLine="709"/>
        <w:rPr>
          <w:rFonts w:ascii="Times New Roman" w:eastAsia="Calibri" w:hAnsi="Times New Roman" w:cs="Times New Roman"/>
          <w:i/>
          <w:sz w:val="24"/>
          <w:szCs w:val="24"/>
        </w:rPr>
      </w:pPr>
      <w:r w:rsidRPr="005C53F5">
        <w:rPr>
          <w:rFonts w:ascii="Times New Roman" w:eastAsia="Calibri" w:hAnsi="Times New Roman" w:cs="Times New Roman"/>
          <w:i/>
          <w:sz w:val="24"/>
          <w:szCs w:val="24"/>
        </w:rPr>
        <w:t>Инструменты денежно-кредитной политики</w:t>
      </w:r>
    </w:p>
    <w:p w14:paraId="64B033CA" w14:textId="75C58532" w:rsidR="000F19B7" w:rsidRPr="005C53F5" w:rsidRDefault="000F19B7"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 2016 года в финансовой системе </w:t>
      </w:r>
      <w:r w:rsidR="00AB752F" w:rsidRPr="005C53F5">
        <w:rPr>
          <w:rFonts w:ascii="Times New Roman" w:eastAsia="Calibri" w:hAnsi="Times New Roman" w:cs="Times New Roman"/>
          <w:sz w:val="24"/>
          <w:szCs w:val="24"/>
        </w:rPr>
        <w:t xml:space="preserve">Республики Казахстан </w:t>
      </w:r>
      <w:r w:rsidRPr="005C53F5">
        <w:rPr>
          <w:rFonts w:ascii="Times New Roman" w:eastAsia="Calibri" w:hAnsi="Times New Roman" w:cs="Times New Roman"/>
          <w:sz w:val="24"/>
          <w:szCs w:val="24"/>
        </w:rPr>
        <w:t>сохраняется избыток тенговых средств, обусловленный процессом конвертации вкладов из иностранной валюты в тенге, а также расходами государственного и квазигосударственного секторов. В этих условиях НБК осуществляет изъятие избыточной ликвидности для предотвращения давления на инфляцию. Основной объем ликвидности абсорбируется посредством выпуска краткосрочных нот НБК.</w:t>
      </w:r>
    </w:p>
    <w:p w14:paraId="56BFAF5D" w14:textId="6779B6B4" w:rsidR="000F19B7" w:rsidRPr="005C53F5" w:rsidRDefault="000F19B7"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настоящее время НБК осуществляет реализацию денежно-кредитной политики посредством ряда инструментов, включая установление базовой ставки, проведения операций открытого рынка и постоянного доступа, установления минимальных резервных требований.</w:t>
      </w:r>
    </w:p>
    <w:p w14:paraId="12B75A9B" w14:textId="0C3715E0" w:rsidR="000F19B7" w:rsidRPr="005C53F5" w:rsidRDefault="000F19B7"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 сравнению с 2015 годом в инструментарий денежно-кредитной политики значительно расширен и изменен. В рамках перехода к режиму инфляционного таргетирования и в целях усиления процентного канала была введена базовая ставка в качестве ключевого инструмента денежно-кредитной политики. Процентные ставки по остальным инструментам денежно - кредитной политики привязаны к базовой ставке. При этом, процентные ставки по операциям постоянного доступа формируют верхний и  нижний пределы колебаний ставок денежного рынка.</w:t>
      </w:r>
    </w:p>
    <w:p w14:paraId="1F1B9B4A" w14:textId="77777777" w:rsidR="000F19B7" w:rsidRPr="005C53F5" w:rsidRDefault="000F19B7"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целях повышения эффективности денежно-кредитной политики Национальный Банк выстраивал соответствующую систему инструментов. Был сформирован базовый набор инструментов, который позволил Национальному Банку удерживать целевую ставку (межбанковскую краткосрочную ставку денежного рынка TONIA) внутри установленного процентного коридора базовой ставки.</w:t>
      </w:r>
    </w:p>
    <w:p w14:paraId="01213B75" w14:textId="4363145F" w:rsidR="000F19B7" w:rsidRPr="005C53F5" w:rsidRDefault="000F19B7"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К операциям открытого рынка относятся аукционы краткосрочных нот и депозитные аукционы для изъятия ликвидности, аукцион по покупке ценных бумаг с обратной продажей для предоставления ликвидности участникам рынка.</w:t>
      </w:r>
    </w:p>
    <w:p w14:paraId="72F2953F" w14:textId="64B48CFF" w:rsidR="000F19B7" w:rsidRPr="005C53F5" w:rsidRDefault="000F19B7"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качестве операций постоянного доступа используются операции репо и своп на площадке Казахстанской фондовой биржи (KASE) и депозиты овернайт. </w:t>
      </w:r>
    </w:p>
    <w:p w14:paraId="384EDDD6" w14:textId="77777777" w:rsidR="000F19B7" w:rsidRPr="005C53F5" w:rsidRDefault="000F19B7" w:rsidP="00057BE5">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Развитие системы инструментов денежно-кредитной политики направлено, главным образом, на повышение эффективности функционирования процентного канала. </w:t>
      </w:r>
    </w:p>
    <w:p w14:paraId="42822A69" w14:textId="77777777"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i/>
          <w:iCs/>
          <w:sz w:val="24"/>
          <w:szCs w:val="24"/>
        </w:rPr>
      </w:pPr>
      <w:r w:rsidRPr="005C53F5">
        <w:rPr>
          <w:rFonts w:ascii="Times New Roman" w:eastAsia="Calibri" w:hAnsi="Times New Roman" w:cs="Times New Roman"/>
          <w:i/>
          <w:iCs/>
          <w:sz w:val="24"/>
          <w:szCs w:val="24"/>
        </w:rPr>
        <w:t>Инфляция</w:t>
      </w:r>
    </w:p>
    <w:p w14:paraId="36F6DFA3" w14:textId="65547E50" w:rsidR="00FF0C7D" w:rsidRPr="005C53F5" w:rsidRDefault="00FF0C7D" w:rsidP="00057BE5">
      <w:pPr>
        <w:autoSpaceDE w:val="0"/>
        <w:autoSpaceDN w:val="0"/>
        <w:adjustRightInd w:val="0"/>
        <w:spacing w:after="0" w:line="240" w:lineRule="auto"/>
        <w:ind w:firstLine="709"/>
        <w:jc w:val="both"/>
        <w:rPr>
          <w:rFonts w:ascii="Times New Roman" w:eastAsia="Calibri" w:hAnsi="Times New Roman" w:cs="Times New Roman"/>
          <w:iCs/>
          <w:sz w:val="24"/>
          <w:szCs w:val="24"/>
        </w:rPr>
      </w:pPr>
      <w:r w:rsidRPr="005C53F5">
        <w:rPr>
          <w:rFonts w:ascii="Times New Roman" w:eastAsia="Calibri" w:hAnsi="Times New Roman" w:cs="Times New Roman"/>
          <w:iCs/>
          <w:sz w:val="24"/>
          <w:szCs w:val="24"/>
        </w:rPr>
        <w:t xml:space="preserve">Целевые ориентиры по инфляции были установлены с 2015 по 2017 год в диапазоне </w:t>
      </w:r>
      <w:r w:rsidRPr="005C53F5">
        <w:rPr>
          <w:rFonts w:ascii="Times New Roman" w:eastAsia="Calibri" w:hAnsi="Times New Roman" w:cs="Times New Roman"/>
          <w:iCs/>
          <w:sz w:val="24"/>
          <w:szCs w:val="24"/>
        </w:rPr>
        <w:br/>
        <w:t>6-8%. С 2018 года НБК приступил к поэтапному снижению целевых ориентиров, установив в 2018 году целевой коридор 5-7%, в 2019 году – 4-6%.</w:t>
      </w:r>
    </w:p>
    <w:p w14:paraId="5AC7E621" w14:textId="1AA89E4B"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iCs/>
          <w:sz w:val="24"/>
          <w:szCs w:val="24"/>
        </w:rPr>
      </w:pPr>
      <w:r w:rsidRPr="005C53F5">
        <w:rPr>
          <w:rFonts w:ascii="Times New Roman" w:eastAsia="Calibri" w:hAnsi="Times New Roman" w:cs="Times New Roman"/>
          <w:iCs/>
          <w:sz w:val="24"/>
          <w:szCs w:val="24"/>
        </w:rPr>
        <w:t xml:space="preserve">В нижеследующей таблице приведены темпы инфляции </w:t>
      </w:r>
      <w:r w:rsidR="008A0328" w:rsidRPr="005C53F5">
        <w:rPr>
          <w:rFonts w:ascii="Times New Roman" w:eastAsia="Calibri" w:hAnsi="Times New Roman" w:cs="Times New Roman"/>
          <w:iCs/>
          <w:sz w:val="24"/>
          <w:szCs w:val="24"/>
        </w:rPr>
        <w:t>на потребительском рынке и в промышленности</w:t>
      </w:r>
      <w:r w:rsidRPr="005C53F5">
        <w:rPr>
          <w:rFonts w:ascii="Times New Roman" w:eastAsia="Calibri" w:hAnsi="Times New Roman" w:cs="Times New Roman"/>
          <w:iCs/>
          <w:sz w:val="24"/>
          <w:szCs w:val="24"/>
        </w:rPr>
        <w:t>:</w:t>
      </w:r>
    </w:p>
    <w:tbl>
      <w:tblPr>
        <w:tblStyle w:val="60"/>
        <w:tblW w:w="9679" w:type="dxa"/>
        <w:tblLayout w:type="fixed"/>
        <w:tblLook w:val="04A0" w:firstRow="1" w:lastRow="0" w:firstColumn="1" w:lastColumn="0" w:noHBand="0" w:noVBand="1"/>
      </w:tblPr>
      <w:tblGrid>
        <w:gridCol w:w="4216"/>
        <w:gridCol w:w="910"/>
        <w:gridCol w:w="911"/>
        <w:gridCol w:w="910"/>
        <w:gridCol w:w="911"/>
        <w:gridCol w:w="910"/>
        <w:gridCol w:w="911"/>
      </w:tblGrid>
      <w:tr w:rsidR="00A36FAF" w:rsidRPr="005C53F5" w14:paraId="212EB7CF" w14:textId="77777777" w:rsidTr="001D6E4D">
        <w:trPr>
          <w:trHeight w:val="300"/>
        </w:trPr>
        <w:tc>
          <w:tcPr>
            <w:tcW w:w="4216" w:type="dxa"/>
            <w:noWrap/>
            <w:hideMark/>
          </w:tcPr>
          <w:p w14:paraId="41D47135" w14:textId="73731FE1" w:rsidR="00A36FAF" w:rsidRPr="005C53F5" w:rsidRDefault="007128B6" w:rsidP="00057BE5">
            <w:pPr>
              <w:autoSpaceDE w:val="0"/>
              <w:autoSpaceDN w:val="0"/>
              <w:adjustRightInd w:val="0"/>
              <w:jc w:val="both"/>
              <w:rPr>
                <w:rFonts w:ascii="Times New Roman" w:eastAsia="Calibri" w:hAnsi="Times New Roman" w:cs="Times New Roman"/>
                <w:b/>
                <w:bCs/>
                <w:iCs/>
              </w:rPr>
            </w:pPr>
            <w:r w:rsidRPr="005C53F5">
              <w:rPr>
                <w:rFonts w:ascii="Times New Roman" w:eastAsia="Calibri" w:hAnsi="Times New Roman" w:cs="Times New Roman"/>
                <w:b/>
                <w:bCs/>
                <w:iCs/>
              </w:rPr>
              <w:t>Показатель</w:t>
            </w:r>
          </w:p>
        </w:tc>
        <w:tc>
          <w:tcPr>
            <w:tcW w:w="910" w:type="dxa"/>
            <w:noWrap/>
            <w:hideMark/>
          </w:tcPr>
          <w:p w14:paraId="0E07C357" w14:textId="77777777" w:rsidR="00A36FAF" w:rsidRPr="005C53F5" w:rsidRDefault="00A36FAF" w:rsidP="00057BE5">
            <w:pPr>
              <w:autoSpaceDE w:val="0"/>
              <w:autoSpaceDN w:val="0"/>
              <w:adjustRightInd w:val="0"/>
              <w:jc w:val="both"/>
              <w:rPr>
                <w:rFonts w:ascii="Times New Roman" w:eastAsia="Calibri" w:hAnsi="Times New Roman" w:cs="Times New Roman"/>
                <w:b/>
                <w:bCs/>
                <w:iCs/>
              </w:rPr>
            </w:pPr>
            <w:r w:rsidRPr="005C53F5">
              <w:rPr>
                <w:rFonts w:ascii="Times New Roman" w:eastAsia="Calibri" w:hAnsi="Times New Roman" w:cs="Times New Roman"/>
                <w:b/>
                <w:bCs/>
                <w:iCs/>
              </w:rPr>
              <w:t>2014</w:t>
            </w:r>
          </w:p>
        </w:tc>
        <w:tc>
          <w:tcPr>
            <w:tcW w:w="911" w:type="dxa"/>
            <w:noWrap/>
            <w:hideMark/>
          </w:tcPr>
          <w:p w14:paraId="5ADDA636" w14:textId="77777777" w:rsidR="00A36FAF" w:rsidRPr="005C53F5" w:rsidRDefault="00A36FAF" w:rsidP="00057BE5">
            <w:pPr>
              <w:autoSpaceDE w:val="0"/>
              <w:autoSpaceDN w:val="0"/>
              <w:adjustRightInd w:val="0"/>
              <w:jc w:val="both"/>
              <w:rPr>
                <w:rFonts w:ascii="Times New Roman" w:eastAsia="Calibri" w:hAnsi="Times New Roman" w:cs="Times New Roman"/>
                <w:b/>
                <w:bCs/>
                <w:iCs/>
              </w:rPr>
            </w:pPr>
            <w:r w:rsidRPr="005C53F5">
              <w:rPr>
                <w:rFonts w:ascii="Times New Roman" w:eastAsia="Calibri" w:hAnsi="Times New Roman" w:cs="Times New Roman"/>
                <w:b/>
                <w:bCs/>
                <w:iCs/>
              </w:rPr>
              <w:t>2015</w:t>
            </w:r>
          </w:p>
        </w:tc>
        <w:tc>
          <w:tcPr>
            <w:tcW w:w="910" w:type="dxa"/>
            <w:noWrap/>
            <w:hideMark/>
          </w:tcPr>
          <w:p w14:paraId="043E5C02" w14:textId="77777777" w:rsidR="00A36FAF" w:rsidRPr="005C53F5" w:rsidRDefault="00A36FAF" w:rsidP="00057BE5">
            <w:pPr>
              <w:autoSpaceDE w:val="0"/>
              <w:autoSpaceDN w:val="0"/>
              <w:adjustRightInd w:val="0"/>
              <w:jc w:val="both"/>
              <w:rPr>
                <w:rFonts w:ascii="Times New Roman" w:eastAsia="Calibri" w:hAnsi="Times New Roman" w:cs="Times New Roman"/>
                <w:b/>
                <w:bCs/>
                <w:iCs/>
              </w:rPr>
            </w:pPr>
            <w:r w:rsidRPr="005C53F5">
              <w:rPr>
                <w:rFonts w:ascii="Times New Roman" w:eastAsia="Calibri" w:hAnsi="Times New Roman" w:cs="Times New Roman"/>
                <w:b/>
                <w:bCs/>
                <w:iCs/>
              </w:rPr>
              <w:t>2016</w:t>
            </w:r>
          </w:p>
        </w:tc>
        <w:tc>
          <w:tcPr>
            <w:tcW w:w="911" w:type="dxa"/>
            <w:noWrap/>
            <w:hideMark/>
          </w:tcPr>
          <w:p w14:paraId="675C6BE7" w14:textId="77777777" w:rsidR="00A36FAF" w:rsidRPr="005C53F5" w:rsidRDefault="00A36FAF" w:rsidP="00057BE5">
            <w:pPr>
              <w:autoSpaceDE w:val="0"/>
              <w:autoSpaceDN w:val="0"/>
              <w:adjustRightInd w:val="0"/>
              <w:jc w:val="both"/>
              <w:rPr>
                <w:rFonts w:ascii="Times New Roman" w:eastAsia="Calibri" w:hAnsi="Times New Roman" w:cs="Times New Roman"/>
                <w:b/>
                <w:bCs/>
                <w:iCs/>
              </w:rPr>
            </w:pPr>
            <w:r w:rsidRPr="005C53F5">
              <w:rPr>
                <w:rFonts w:ascii="Times New Roman" w:eastAsia="Calibri" w:hAnsi="Times New Roman" w:cs="Times New Roman"/>
                <w:b/>
                <w:bCs/>
                <w:iCs/>
              </w:rPr>
              <w:t>2017</w:t>
            </w:r>
          </w:p>
        </w:tc>
        <w:tc>
          <w:tcPr>
            <w:tcW w:w="910" w:type="dxa"/>
            <w:noWrap/>
            <w:hideMark/>
          </w:tcPr>
          <w:p w14:paraId="5FA45914" w14:textId="77777777" w:rsidR="00A36FAF" w:rsidRPr="005C53F5" w:rsidRDefault="00A36FAF" w:rsidP="00057BE5">
            <w:pPr>
              <w:autoSpaceDE w:val="0"/>
              <w:autoSpaceDN w:val="0"/>
              <w:adjustRightInd w:val="0"/>
              <w:jc w:val="both"/>
              <w:rPr>
                <w:rFonts w:ascii="Times New Roman" w:eastAsia="Calibri" w:hAnsi="Times New Roman" w:cs="Times New Roman"/>
                <w:b/>
                <w:bCs/>
                <w:iCs/>
              </w:rPr>
            </w:pPr>
            <w:r w:rsidRPr="005C53F5">
              <w:rPr>
                <w:rFonts w:ascii="Times New Roman" w:eastAsia="Calibri" w:hAnsi="Times New Roman" w:cs="Times New Roman"/>
                <w:b/>
                <w:bCs/>
                <w:iCs/>
              </w:rPr>
              <w:t>2018</w:t>
            </w:r>
          </w:p>
        </w:tc>
        <w:tc>
          <w:tcPr>
            <w:tcW w:w="911" w:type="dxa"/>
            <w:noWrap/>
            <w:hideMark/>
          </w:tcPr>
          <w:p w14:paraId="3EFA3E24" w14:textId="77777777" w:rsidR="00A36FAF" w:rsidRPr="005C53F5" w:rsidRDefault="00A36FAF" w:rsidP="00057BE5">
            <w:pPr>
              <w:autoSpaceDE w:val="0"/>
              <w:autoSpaceDN w:val="0"/>
              <w:adjustRightInd w:val="0"/>
              <w:jc w:val="both"/>
              <w:rPr>
                <w:rFonts w:ascii="Times New Roman" w:eastAsia="Calibri" w:hAnsi="Times New Roman" w:cs="Times New Roman"/>
                <w:b/>
                <w:bCs/>
                <w:iCs/>
              </w:rPr>
            </w:pPr>
            <w:r w:rsidRPr="005C53F5">
              <w:rPr>
                <w:rFonts w:ascii="Times New Roman" w:eastAsia="Calibri" w:hAnsi="Times New Roman" w:cs="Times New Roman"/>
                <w:b/>
                <w:bCs/>
                <w:iCs/>
              </w:rPr>
              <w:t>2019</w:t>
            </w:r>
          </w:p>
        </w:tc>
      </w:tr>
      <w:tr w:rsidR="00A36FAF" w:rsidRPr="005C53F5" w14:paraId="05D28D58" w14:textId="77777777" w:rsidTr="001D6E4D">
        <w:trPr>
          <w:trHeight w:val="300"/>
        </w:trPr>
        <w:tc>
          <w:tcPr>
            <w:tcW w:w="4216" w:type="dxa"/>
            <w:noWrap/>
            <w:hideMark/>
          </w:tcPr>
          <w:p w14:paraId="184E33AD" w14:textId="77777777"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Инфляция</w:t>
            </w:r>
          </w:p>
        </w:tc>
        <w:tc>
          <w:tcPr>
            <w:tcW w:w="910" w:type="dxa"/>
            <w:noWrap/>
            <w:hideMark/>
          </w:tcPr>
          <w:p w14:paraId="0B214586" w14:textId="51CD596B"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7,4%</w:t>
            </w:r>
          </w:p>
        </w:tc>
        <w:tc>
          <w:tcPr>
            <w:tcW w:w="911" w:type="dxa"/>
            <w:noWrap/>
            <w:hideMark/>
          </w:tcPr>
          <w:p w14:paraId="1674D8B5" w14:textId="4DEC4439"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13,6%</w:t>
            </w:r>
          </w:p>
        </w:tc>
        <w:tc>
          <w:tcPr>
            <w:tcW w:w="910" w:type="dxa"/>
            <w:noWrap/>
            <w:hideMark/>
          </w:tcPr>
          <w:p w14:paraId="1BAA65FB" w14:textId="7C021D30"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8,5%</w:t>
            </w:r>
          </w:p>
        </w:tc>
        <w:tc>
          <w:tcPr>
            <w:tcW w:w="911" w:type="dxa"/>
            <w:noWrap/>
            <w:hideMark/>
          </w:tcPr>
          <w:p w14:paraId="731719EF" w14:textId="7826BC83"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7,1%</w:t>
            </w:r>
          </w:p>
        </w:tc>
        <w:tc>
          <w:tcPr>
            <w:tcW w:w="910" w:type="dxa"/>
            <w:noWrap/>
            <w:hideMark/>
          </w:tcPr>
          <w:p w14:paraId="584AD82A" w14:textId="011AD405"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5,3%</w:t>
            </w:r>
          </w:p>
        </w:tc>
        <w:tc>
          <w:tcPr>
            <w:tcW w:w="911" w:type="dxa"/>
            <w:noWrap/>
            <w:hideMark/>
          </w:tcPr>
          <w:p w14:paraId="4A53A44A" w14:textId="7D4482FA"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5,</w:t>
            </w:r>
            <w:r w:rsidR="006A5A0C" w:rsidRPr="005C53F5">
              <w:rPr>
                <w:rFonts w:ascii="Times New Roman" w:eastAsia="Calibri" w:hAnsi="Times New Roman" w:cs="Times New Roman"/>
                <w:iCs/>
              </w:rPr>
              <w:t>4</w:t>
            </w:r>
            <w:r w:rsidRPr="005C53F5">
              <w:rPr>
                <w:rFonts w:ascii="Times New Roman" w:eastAsia="Calibri" w:hAnsi="Times New Roman" w:cs="Times New Roman"/>
                <w:iCs/>
              </w:rPr>
              <w:t>%</w:t>
            </w:r>
          </w:p>
        </w:tc>
      </w:tr>
      <w:tr w:rsidR="00A36FAF" w:rsidRPr="005C53F5" w14:paraId="3060CED3" w14:textId="77777777" w:rsidTr="001D6E4D">
        <w:trPr>
          <w:trHeight w:val="300"/>
        </w:trPr>
        <w:tc>
          <w:tcPr>
            <w:tcW w:w="4216" w:type="dxa"/>
            <w:noWrap/>
            <w:hideMark/>
          </w:tcPr>
          <w:p w14:paraId="79851001" w14:textId="77777777"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Индекс потребительских цен (на конец периода, в процентах к декабрю предыдущего года)</w:t>
            </w:r>
          </w:p>
        </w:tc>
        <w:tc>
          <w:tcPr>
            <w:tcW w:w="910" w:type="dxa"/>
            <w:noWrap/>
            <w:hideMark/>
          </w:tcPr>
          <w:p w14:paraId="00C3E88F" w14:textId="77777777"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107,4</w:t>
            </w:r>
          </w:p>
        </w:tc>
        <w:tc>
          <w:tcPr>
            <w:tcW w:w="911" w:type="dxa"/>
            <w:noWrap/>
            <w:hideMark/>
          </w:tcPr>
          <w:p w14:paraId="76BD6287" w14:textId="77777777"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113,6</w:t>
            </w:r>
          </w:p>
        </w:tc>
        <w:tc>
          <w:tcPr>
            <w:tcW w:w="910" w:type="dxa"/>
            <w:noWrap/>
            <w:hideMark/>
          </w:tcPr>
          <w:p w14:paraId="5A79D82B" w14:textId="77777777"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108,5</w:t>
            </w:r>
          </w:p>
        </w:tc>
        <w:tc>
          <w:tcPr>
            <w:tcW w:w="911" w:type="dxa"/>
            <w:noWrap/>
            <w:hideMark/>
          </w:tcPr>
          <w:p w14:paraId="0F66CA0F" w14:textId="77777777"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107,1</w:t>
            </w:r>
          </w:p>
        </w:tc>
        <w:tc>
          <w:tcPr>
            <w:tcW w:w="910" w:type="dxa"/>
            <w:noWrap/>
            <w:hideMark/>
          </w:tcPr>
          <w:p w14:paraId="75624C28" w14:textId="77777777"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105,3</w:t>
            </w:r>
          </w:p>
        </w:tc>
        <w:tc>
          <w:tcPr>
            <w:tcW w:w="911" w:type="dxa"/>
            <w:noWrap/>
            <w:hideMark/>
          </w:tcPr>
          <w:p w14:paraId="571088E6" w14:textId="77777777" w:rsidR="00A36FAF" w:rsidRPr="005C53F5" w:rsidRDefault="00A36FAF"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105,4</w:t>
            </w:r>
          </w:p>
        </w:tc>
      </w:tr>
      <w:tr w:rsidR="006A5A0C" w:rsidRPr="005C53F5" w14:paraId="037F57D5" w14:textId="77777777" w:rsidTr="006A5A0C">
        <w:trPr>
          <w:trHeight w:val="300"/>
        </w:trPr>
        <w:tc>
          <w:tcPr>
            <w:tcW w:w="4216" w:type="dxa"/>
            <w:noWrap/>
          </w:tcPr>
          <w:p w14:paraId="730A1808" w14:textId="7A794043" w:rsidR="006A5A0C" w:rsidRPr="005C53F5" w:rsidRDefault="006A5A0C"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rPr>
              <w:t>Индекс цен производителей (на конец периода, в процентах к декабрю предыдущего года)</w:t>
            </w:r>
          </w:p>
        </w:tc>
        <w:tc>
          <w:tcPr>
            <w:tcW w:w="910" w:type="dxa"/>
            <w:noWrap/>
          </w:tcPr>
          <w:p w14:paraId="6548D899" w14:textId="485ECBA0" w:rsidR="006A5A0C" w:rsidRPr="005C53F5" w:rsidRDefault="006A5A0C"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lang w:val="en-US"/>
              </w:rPr>
              <w:t>98</w:t>
            </w:r>
            <w:r w:rsidRPr="005C53F5">
              <w:rPr>
                <w:rFonts w:ascii="Times New Roman" w:eastAsia="Calibri" w:hAnsi="Times New Roman" w:cs="Times New Roman"/>
                <w:iCs/>
              </w:rPr>
              <w:t>,</w:t>
            </w:r>
            <w:r w:rsidRPr="005C53F5">
              <w:rPr>
                <w:rFonts w:ascii="Times New Roman" w:eastAsia="Calibri" w:hAnsi="Times New Roman" w:cs="Times New Roman"/>
                <w:iCs/>
                <w:lang w:val="en-US"/>
              </w:rPr>
              <w:t>4</w:t>
            </w:r>
          </w:p>
        </w:tc>
        <w:tc>
          <w:tcPr>
            <w:tcW w:w="911" w:type="dxa"/>
            <w:noWrap/>
          </w:tcPr>
          <w:p w14:paraId="36AA62CA" w14:textId="77B68699" w:rsidR="006A5A0C" w:rsidRPr="005C53F5" w:rsidRDefault="006A5A0C"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lang w:val="en-US"/>
              </w:rPr>
              <w:t>95</w:t>
            </w:r>
            <w:r w:rsidRPr="005C53F5">
              <w:rPr>
                <w:rFonts w:ascii="Times New Roman" w:eastAsia="Calibri" w:hAnsi="Times New Roman" w:cs="Times New Roman"/>
                <w:iCs/>
              </w:rPr>
              <w:t>,</w:t>
            </w:r>
            <w:r w:rsidRPr="005C53F5">
              <w:rPr>
                <w:rFonts w:ascii="Times New Roman" w:eastAsia="Calibri" w:hAnsi="Times New Roman" w:cs="Times New Roman"/>
                <w:iCs/>
                <w:lang w:val="en-US"/>
              </w:rPr>
              <w:t>2</w:t>
            </w:r>
          </w:p>
        </w:tc>
        <w:tc>
          <w:tcPr>
            <w:tcW w:w="910" w:type="dxa"/>
            <w:noWrap/>
          </w:tcPr>
          <w:p w14:paraId="419CA6DD" w14:textId="305694BE" w:rsidR="006A5A0C" w:rsidRPr="005C53F5" w:rsidRDefault="006A5A0C"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lang w:val="en-US"/>
              </w:rPr>
              <w:t>115</w:t>
            </w:r>
            <w:r w:rsidRPr="005C53F5">
              <w:rPr>
                <w:rFonts w:ascii="Times New Roman" w:eastAsia="Calibri" w:hAnsi="Times New Roman" w:cs="Times New Roman"/>
                <w:iCs/>
              </w:rPr>
              <w:t>,</w:t>
            </w:r>
            <w:r w:rsidRPr="005C53F5">
              <w:rPr>
                <w:rFonts w:ascii="Times New Roman" w:eastAsia="Calibri" w:hAnsi="Times New Roman" w:cs="Times New Roman"/>
                <w:iCs/>
                <w:lang w:val="en-US"/>
              </w:rPr>
              <w:t>5</w:t>
            </w:r>
          </w:p>
        </w:tc>
        <w:tc>
          <w:tcPr>
            <w:tcW w:w="911" w:type="dxa"/>
            <w:noWrap/>
          </w:tcPr>
          <w:p w14:paraId="31BA5111" w14:textId="04950BED" w:rsidR="006A5A0C" w:rsidRPr="005C53F5" w:rsidRDefault="006A5A0C"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lang w:val="en-US"/>
              </w:rPr>
              <w:t>117</w:t>
            </w:r>
            <w:r w:rsidRPr="005C53F5">
              <w:rPr>
                <w:rFonts w:ascii="Times New Roman" w:eastAsia="Calibri" w:hAnsi="Times New Roman" w:cs="Times New Roman"/>
                <w:iCs/>
              </w:rPr>
              <w:t>,</w:t>
            </w:r>
            <w:r w:rsidRPr="005C53F5">
              <w:rPr>
                <w:rFonts w:ascii="Times New Roman" w:eastAsia="Calibri" w:hAnsi="Times New Roman" w:cs="Times New Roman"/>
                <w:iCs/>
                <w:lang w:val="en-US"/>
              </w:rPr>
              <w:t>6</w:t>
            </w:r>
          </w:p>
        </w:tc>
        <w:tc>
          <w:tcPr>
            <w:tcW w:w="910" w:type="dxa"/>
            <w:noWrap/>
          </w:tcPr>
          <w:p w14:paraId="53C4B86A" w14:textId="64F740D6" w:rsidR="006A5A0C" w:rsidRPr="005C53F5" w:rsidRDefault="006A5A0C"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lang w:val="en-US"/>
              </w:rPr>
              <w:t>112</w:t>
            </w:r>
            <w:r w:rsidRPr="005C53F5">
              <w:rPr>
                <w:rFonts w:ascii="Times New Roman" w:eastAsia="Calibri" w:hAnsi="Times New Roman" w:cs="Times New Roman"/>
                <w:iCs/>
              </w:rPr>
              <w:t>,</w:t>
            </w:r>
            <w:r w:rsidRPr="005C53F5">
              <w:rPr>
                <w:rFonts w:ascii="Times New Roman" w:eastAsia="Calibri" w:hAnsi="Times New Roman" w:cs="Times New Roman"/>
                <w:iCs/>
                <w:lang w:val="en-US"/>
              </w:rPr>
              <w:t>4</w:t>
            </w:r>
          </w:p>
        </w:tc>
        <w:tc>
          <w:tcPr>
            <w:tcW w:w="911" w:type="dxa"/>
            <w:noWrap/>
          </w:tcPr>
          <w:p w14:paraId="3CE3A009" w14:textId="7C7F455A" w:rsidR="006A5A0C" w:rsidRPr="005C53F5" w:rsidRDefault="006A5A0C" w:rsidP="00057BE5">
            <w:pPr>
              <w:autoSpaceDE w:val="0"/>
              <w:autoSpaceDN w:val="0"/>
              <w:adjustRightInd w:val="0"/>
              <w:jc w:val="both"/>
              <w:rPr>
                <w:rFonts w:ascii="Times New Roman" w:eastAsia="Calibri" w:hAnsi="Times New Roman" w:cs="Times New Roman"/>
                <w:iCs/>
              </w:rPr>
            </w:pPr>
            <w:r w:rsidRPr="005C53F5">
              <w:rPr>
                <w:rFonts w:ascii="Times New Roman" w:eastAsia="Calibri" w:hAnsi="Times New Roman" w:cs="Times New Roman"/>
                <w:iCs/>
                <w:lang w:val="en-US"/>
              </w:rPr>
              <w:t>101</w:t>
            </w:r>
            <w:r w:rsidRPr="005C53F5">
              <w:rPr>
                <w:rFonts w:ascii="Times New Roman" w:eastAsia="Calibri" w:hAnsi="Times New Roman" w:cs="Times New Roman"/>
                <w:iCs/>
              </w:rPr>
              <w:t>,</w:t>
            </w:r>
            <w:r w:rsidRPr="005C53F5">
              <w:rPr>
                <w:rFonts w:ascii="Times New Roman" w:eastAsia="Calibri" w:hAnsi="Times New Roman" w:cs="Times New Roman"/>
                <w:iCs/>
                <w:lang w:val="en-US"/>
              </w:rPr>
              <w:t>4</w:t>
            </w:r>
          </w:p>
        </w:tc>
      </w:tr>
    </w:tbl>
    <w:p w14:paraId="0CEB4461" w14:textId="1A771611" w:rsidR="00A36FAF" w:rsidRPr="005C53F5" w:rsidRDefault="00A36FAF" w:rsidP="00057BE5">
      <w:pPr>
        <w:autoSpaceDE w:val="0"/>
        <w:autoSpaceDN w:val="0"/>
        <w:adjustRightInd w:val="0"/>
        <w:spacing w:after="0" w:line="240" w:lineRule="auto"/>
        <w:ind w:firstLine="709"/>
        <w:jc w:val="both"/>
        <w:rPr>
          <w:rFonts w:ascii="Times New Roman" w:eastAsia="Calibri" w:hAnsi="Times New Roman" w:cs="Times New Roman"/>
          <w:iCs/>
          <w:sz w:val="24"/>
          <w:szCs w:val="24"/>
        </w:rPr>
      </w:pPr>
      <w:r w:rsidRPr="005C53F5">
        <w:rPr>
          <w:rFonts w:ascii="Times New Roman" w:eastAsia="Calibri" w:hAnsi="Times New Roman" w:cs="Times New Roman"/>
          <w:iCs/>
          <w:sz w:val="24"/>
          <w:szCs w:val="24"/>
        </w:rPr>
        <w:t xml:space="preserve">В 2014 году годовая инфляция составила 7,4%, в основном за счет корректировки обменного курса и повышения цен на бензин и дизельное топливо в августе 2014 года. Кроме того, повышение тарифов на услуги стало еще одним существенным фактором, способствующим росту уровня инфляции. </w:t>
      </w:r>
      <w:r w:rsidR="00BC3A82" w:rsidRPr="005C53F5">
        <w:rPr>
          <w:rFonts w:ascii="Times New Roman" w:eastAsia="Calibri" w:hAnsi="Times New Roman" w:cs="Times New Roman"/>
          <w:iCs/>
          <w:sz w:val="24"/>
          <w:szCs w:val="24"/>
        </w:rPr>
        <w:t>Ц</w:t>
      </w:r>
      <w:r w:rsidRPr="005C53F5">
        <w:rPr>
          <w:rFonts w:ascii="Times New Roman" w:eastAsia="Calibri" w:hAnsi="Times New Roman" w:cs="Times New Roman"/>
          <w:iCs/>
          <w:sz w:val="24"/>
          <w:szCs w:val="24"/>
        </w:rPr>
        <w:t xml:space="preserve">ены производителей в 2014 году </w:t>
      </w:r>
      <w:r w:rsidR="00BC3A82" w:rsidRPr="005C53F5">
        <w:rPr>
          <w:rFonts w:ascii="Times New Roman" w:eastAsia="Calibri" w:hAnsi="Times New Roman" w:cs="Times New Roman"/>
          <w:iCs/>
          <w:sz w:val="24"/>
          <w:szCs w:val="24"/>
        </w:rPr>
        <w:t>снизились</w:t>
      </w:r>
      <w:r w:rsidRPr="005C53F5">
        <w:rPr>
          <w:rFonts w:ascii="Times New Roman" w:eastAsia="Calibri" w:hAnsi="Times New Roman" w:cs="Times New Roman"/>
          <w:iCs/>
          <w:sz w:val="24"/>
          <w:szCs w:val="24"/>
        </w:rPr>
        <w:t xml:space="preserve"> на 1,6% из-за снижения цен на энергоносители.</w:t>
      </w:r>
    </w:p>
    <w:p w14:paraId="38AAFAE8" w14:textId="77777777"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iCs/>
          <w:sz w:val="24"/>
          <w:szCs w:val="24"/>
        </w:rPr>
      </w:pPr>
      <w:r w:rsidRPr="005C53F5">
        <w:rPr>
          <w:rFonts w:ascii="Times New Roman" w:eastAsia="Calibri" w:hAnsi="Times New Roman" w:cs="Times New Roman"/>
          <w:iCs/>
          <w:sz w:val="24"/>
          <w:szCs w:val="24"/>
        </w:rPr>
        <w:t xml:space="preserve">В 2015 году годовой уровень инфляции составил 13,6%, в основном за счет значительной корректировки обменного курса в августе-сентябре 2015 года. </w:t>
      </w:r>
    </w:p>
    <w:p w14:paraId="12685C91" w14:textId="578C7E11"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iCs/>
          <w:sz w:val="24"/>
          <w:szCs w:val="24"/>
        </w:rPr>
      </w:pPr>
      <w:r w:rsidRPr="005C53F5">
        <w:rPr>
          <w:rFonts w:ascii="Times New Roman" w:eastAsia="Calibri" w:hAnsi="Times New Roman" w:cs="Times New Roman"/>
          <w:iCs/>
          <w:sz w:val="24"/>
          <w:szCs w:val="24"/>
        </w:rPr>
        <w:t xml:space="preserve">В 2016 году годовой уровень инфляции составил 8,5%, превысив целевой показатель НБК в 6-8%, в основном из-за шоков в совокупном предложении овощей, горюче-смазочных материалов в четвертом квартале 2016 года. В целом в 2016 году наблюдалось замедление темпов инфляции и постепенное нивелирование эффекта от перевода курса тенге на уровень цен в Казахстане, а также снижение инфляционных ожиданий. Основными факторами замедления инфляции стали слабые потребительские настроения, снижение реальных доходов населения и медленное восстановление кредитования. </w:t>
      </w:r>
      <w:r w:rsidR="00BC3A82" w:rsidRPr="005C53F5">
        <w:rPr>
          <w:rFonts w:ascii="Times New Roman" w:eastAsia="Calibri" w:hAnsi="Times New Roman" w:cs="Times New Roman"/>
          <w:iCs/>
          <w:sz w:val="24"/>
          <w:szCs w:val="24"/>
        </w:rPr>
        <w:t>Ц</w:t>
      </w:r>
      <w:r w:rsidRPr="005C53F5">
        <w:rPr>
          <w:rFonts w:ascii="Times New Roman" w:eastAsia="Calibri" w:hAnsi="Times New Roman" w:cs="Times New Roman"/>
          <w:iCs/>
          <w:sz w:val="24"/>
          <w:szCs w:val="24"/>
        </w:rPr>
        <w:t xml:space="preserve">ены производителей </w:t>
      </w:r>
      <w:r w:rsidR="00BC3A82" w:rsidRPr="005C53F5">
        <w:rPr>
          <w:rFonts w:ascii="Times New Roman" w:eastAsia="Calibri" w:hAnsi="Times New Roman" w:cs="Times New Roman"/>
          <w:iCs/>
          <w:sz w:val="24"/>
          <w:szCs w:val="24"/>
        </w:rPr>
        <w:t xml:space="preserve">выросли на </w:t>
      </w:r>
      <w:r w:rsidRPr="005C53F5">
        <w:rPr>
          <w:rFonts w:ascii="Times New Roman" w:eastAsia="Calibri" w:hAnsi="Times New Roman" w:cs="Times New Roman"/>
          <w:iCs/>
          <w:sz w:val="24"/>
          <w:szCs w:val="24"/>
        </w:rPr>
        <w:t>15,5% из-за возросшей стоимости закупаемых ресурсов и возросших мировых цен на сырье.</w:t>
      </w:r>
    </w:p>
    <w:p w14:paraId="48B3E8B0" w14:textId="34EFBB28"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iCs/>
          <w:sz w:val="24"/>
          <w:szCs w:val="24"/>
        </w:rPr>
      </w:pPr>
      <w:r w:rsidRPr="005C53F5">
        <w:rPr>
          <w:rFonts w:ascii="Times New Roman" w:eastAsia="Calibri" w:hAnsi="Times New Roman" w:cs="Times New Roman"/>
          <w:iCs/>
          <w:sz w:val="24"/>
          <w:szCs w:val="24"/>
        </w:rPr>
        <w:t xml:space="preserve">В 2017 году годовой уровень инфляции составил 7,1%, что соответствовало целевому показателю НБК. Замедление темпов инфляции было обусловлено ослаблением внешнего инфляционного фона, стабильностью на мировых сырьевых и продовольственных рынках и рыночной конъюнктурой на внутренних сельскохозяйственных рынках. Кроме того, сдерживающим фактором инфляционных процессов стало ограниченное расширение совокупного спроса из-за негативной динамики реальных доходов населения. </w:t>
      </w:r>
      <w:r w:rsidR="00BC3A82" w:rsidRPr="005C53F5">
        <w:rPr>
          <w:rFonts w:ascii="Times New Roman" w:eastAsia="Calibri" w:hAnsi="Times New Roman" w:cs="Times New Roman"/>
          <w:iCs/>
          <w:sz w:val="24"/>
          <w:szCs w:val="24"/>
        </w:rPr>
        <w:t>Ц</w:t>
      </w:r>
      <w:r w:rsidRPr="005C53F5">
        <w:rPr>
          <w:rFonts w:ascii="Times New Roman" w:eastAsia="Calibri" w:hAnsi="Times New Roman" w:cs="Times New Roman"/>
          <w:iCs/>
          <w:sz w:val="24"/>
          <w:szCs w:val="24"/>
        </w:rPr>
        <w:t xml:space="preserve">ены производителей </w:t>
      </w:r>
      <w:r w:rsidR="00BC3A82" w:rsidRPr="005C53F5">
        <w:rPr>
          <w:rFonts w:ascii="Times New Roman" w:eastAsia="Calibri" w:hAnsi="Times New Roman" w:cs="Times New Roman"/>
          <w:iCs/>
          <w:sz w:val="24"/>
          <w:szCs w:val="24"/>
        </w:rPr>
        <w:t xml:space="preserve">выросли на </w:t>
      </w:r>
      <w:r w:rsidRPr="005C53F5">
        <w:rPr>
          <w:rFonts w:ascii="Times New Roman" w:eastAsia="Calibri" w:hAnsi="Times New Roman" w:cs="Times New Roman"/>
          <w:iCs/>
          <w:sz w:val="24"/>
          <w:szCs w:val="24"/>
        </w:rPr>
        <w:t>17,6% в связи с ростом стоимости инвестиционных товаров и восстановлением мировых цен на нефть.</w:t>
      </w:r>
    </w:p>
    <w:p w14:paraId="38F282C0" w14:textId="77777777"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iCs/>
          <w:sz w:val="24"/>
          <w:szCs w:val="24"/>
        </w:rPr>
      </w:pPr>
      <w:r w:rsidRPr="005C53F5">
        <w:rPr>
          <w:rFonts w:ascii="Times New Roman" w:eastAsia="Calibri" w:hAnsi="Times New Roman" w:cs="Times New Roman"/>
          <w:iCs/>
          <w:sz w:val="24"/>
          <w:szCs w:val="24"/>
        </w:rPr>
        <w:t>В 2018 году годовой уровень инфляции составил 5,3%, что соответствовало целевому показателю НБК от 5,0% до 7,0%. Снижение инфляции было обусловлено факторами предложения, которые способствовали снижению цен на овощи и энергоносители, а также значительному снижению тарифов на регулируемые услуги.</w:t>
      </w:r>
    </w:p>
    <w:p w14:paraId="11CFB98F" w14:textId="4C38BC9E" w:rsidR="00111579"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iCs/>
          <w:sz w:val="24"/>
          <w:szCs w:val="24"/>
        </w:rPr>
      </w:pPr>
      <w:r w:rsidRPr="005C53F5">
        <w:rPr>
          <w:rFonts w:ascii="Times New Roman" w:eastAsia="Calibri" w:hAnsi="Times New Roman" w:cs="Times New Roman"/>
          <w:iCs/>
          <w:sz w:val="24"/>
          <w:szCs w:val="24"/>
        </w:rPr>
        <w:t xml:space="preserve">В 2019 </w:t>
      </w:r>
      <w:r w:rsidR="00966A1D" w:rsidRPr="005C53F5">
        <w:rPr>
          <w:rFonts w:ascii="Times New Roman" w:eastAsia="Calibri" w:hAnsi="Times New Roman" w:cs="Times New Roman"/>
          <w:iCs/>
          <w:sz w:val="24"/>
          <w:szCs w:val="24"/>
        </w:rPr>
        <w:t xml:space="preserve">году </w:t>
      </w:r>
      <w:r w:rsidRPr="005C53F5">
        <w:rPr>
          <w:rFonts w:ascii="Times New Roman" w:eastAsia="Calibri" w:hAnsi="Times New Roman" w:cs="Times New Roman"/>
          <w:iCs/>
          <w:sz w:val="24"/>
          <w:szCs w:val="24"/>
        </w:rPr>
        <w:t>инфляция в годовом исчислении составила 5,</w:t>
      </w:r>
      <w:r w:rsidR="00BC3A82" w:rsidRPr="005C53F5">
        <w:rPr>
          <w:rFonts w:ascii="Times New Roman" w:eastAsia="Calibri" w:hAnsi="Times New Roman" w:cs="Times New Roman"/>
          <w:iCs/>
          <w:sz w:val="24"/>
          <w:szCs w:val="24"/>
        </w:rPr>
        <w:t>4</w:t>
      </w:r>
      <w:r w:rsidRPr="005C53F5">
        <w:rPr>
          <w:rFonts w:ascii="Times New Roman" w:eastAsia="Calibri" w:hAnsi="Times New Roman" w:cs="Times New Roman"/>
          <w:iCs/>
          <w:sz w:val="24"/>
          <w:szCs w:val="24"/>
        </w:rPr>
        <w:t xml:space="preserve">%, </w:t>
      </w:r>
      <w:r w:rsidR="00111579" w:rsidRPr="005C53F5">
        <w:rPr>
          <w:rFonts w:ascii="Times New Roman" w:eastAsia="Calibri" w:hAnsi="Times New Roman" w:cs="Times New Roman"/>
          <w:iCs/>
          <w:sz w:val="24"/>
          <w:szCs w:val="24"/>
        </w:rPr>
        <w:t>это связано с замедлением непродовольственной компоненты на фоне более слабого</w:t>
      </w:r>
      <w:r w:rsidR="00FF0C7D" w:rsidRPr="005C53F5">
        <w:rPr>
          <w:rFonts w:ascii="Times New Roman" w:eastAsia="Calibri" w:hAnsi="Times New Roman" w:cs="Times New Roman"/>
          <w:iCs/>
          <w:sz w:val="24"/>
          <w:szCs w:val="24"/>
        </w:rPr>
        <w:t xml:space="preserve"> </w:t>
      </w:r>
      <w:r w:rsidR="00111579" w:rsidRPr="005C53F5">
        <w:rPr>
          <w:rFonts w:ascii="Times New Roman" w:eastAsia="Calibri" w:hAnsi="Times New Roman" w:cs="Times New Roman"/>
          <w:iCs/>
          <w:sz w:val="24"/>
          <w:szCs w:val="24"/>
        </w:rPr>
        <w:t>роста цен на большую часть товаров длительного пользования и снижения цен на бензин. Как и ожидалось, основной вклад в рост потребительских цен продолжает вносить удорожание продовольственных товаров. Сдерживающее влияние оказывал умеренный рост цен и тарифов на регулируемые услуги.</w:t>
      </w:r>
    </w:p>
    <w:p w14:paraId="69BC0968" w14:textId="52E13292" w:rsidR="00FF0C7D" w:rsidRPr="005C53F5" w:rsidRDefault="00FF0C7D" w:rsidP="00057BE5">
      <w:pPr>
        <w:autoSpaceDE w:val="0"/>
        <w:autoSpaceDN w:val="0"/>
        <w:adjustRightInd w:val="0"/>
        <w:spacing w:after="0" w:line="240" w:lineRule="auto"/>
        <w:ind w:firstLine="708"/>
        <w:jc w:val="both"/>
        <w:rPr>
          <w:rFonts w:ascii="Times New Roman" w:eastAsia="Calibri" w:hAnsi="Times New Roman" w:cs="Times New Roman"/>
          <w:iCs/>
          <w:sz w:val="24"/>
          <w:szCs w:val="24"/>
        </w:rPr>
      </w:pPr>
      <w:r w:rsidRPr="005C53F5">
        <w:rPr>
          <w:rFonts w:ascii="Times New Roman" w:eastAsia="Calibri" w:hAnsi="Times New Roman" w:cs="Times New Roman"/>
          <w:sz w:val="24"/>
          <w:szCs w:val="24"/>
        </w:rPr>
        <w:t>В начале 2020 года одновременные шоки спроса и предложения со стороны внешнего сектора, обусловленные расширением пандемии коронавируса COVID-19 и резким снижением цены на нефть до многолетних минимумов, а также ограничения внутреннего предложения привели к повышению уровня инфляции. По итогам марта 2020 года инфляция в годовом выражении составила 6,4%, превысив установленный целевой коридор 4-6%.</w:t>
      </w:r>
    </w:p>
    <w:p w14:paraId="6618BDB2" w14:textId="77777777"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bCs/>
          <w:i/>
          <w:iCs/>
          <w:sz w:val="24"/>
          <w:szCs w:val="24"/>
          <w:u w:val="single"/>
        </w:rPr>
      </w:pPr>
      <w:r w:rsidRPr="005C53F5">
        <w:rPr>
          <w:rFonts w:ascii="Times New Roman" w:eastAsia="Calibri" w:hAnsi="Times New Roman" w:cs="Times New Roman"/>
          <w:b/>
          <w:bCs/>
          <w:i/>
          <w:iCs/>
          <w:sz w:val="24"/>
          <w:szCs w:val="24"/>
          <w:u w:val="single"/>
        </w:rPr>
        <w:t xml:space="preserve">Общий объем доходов и расходов государственного бюджета Республики Казахстан. Размер профицита и дефицита государственного бюджета Республики Казахстан </w:t>
      </w:r>
    </w:p>
    <w:p w14:paraId="5E324F1F" w14:textId="2F743778"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Государственный бюджет Казахстана (далее – «</w:t>
      </w:r>
      <w:r w:rsidRPr="005C53F5">
        <w:rPr>
          <w:rFonts w:ascii="Times New Roman" w:eastAsia="Calibri" w:hAnsi="Times New Roman" w:cs="Times New Roman"/>
          <w:b/>
          <w:bCs/>
          <w:sz w:val="24"/>
          <w:szCs w:val="24"/>
        </w:rPr>
        <w:t>государственный бюджет</w:t>
      </w:r>
      <w:r w:rsidRPr="005C53F5">
        <w:rPr>
          <w:rFonts w:ascii="Times New Roman" w:eastAsia="Calibri" w:hAnsi="Times New Roman" w:cs="Times New Roman"/>
          <w:sz w:val="24"/>
          <w:szCs w:val="24"/>
        </w:rPr>
        <w:t xml:space="preserve">») </w:t>
      </w:r>
      <w:r w:rsidR="007128B6"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это консолидированный бюджет, включающий в себя бюджет центрального правительства (далее</w:t>
      </w:r>
      <w:r w:rsidR="00626AD0" w:rsidRPr="005C53F5">
        <w:rPr>
          <w:rFonts w:ascii="Times New Roman" w:eastAsia="Calibri" w:hAnsi="Times New Roman" w:cs="Times New Roman"/>
          <w:sz w:val="24"/>
          <w:szCs w:val="24"/>
        </w:rPr>
        <w:t> </w:t>
      </w:r>
      <w:r w:rsidRPr="005C53F5">
        <w:rPr>
          <w:rFonts w:ascii="Times New Roman" w:eastAsia="Calibri" w:hAnsi="Times New Roman" w:cs="Times New Roman"/>
          <w:sz w:val="24"/>
          <w:szCs w:val="24"/>
        </w:rPr>
        <w:t>– «</w:t>
      </w:r>
      <w:r w:rsidRPr="005C53F5">
        <w:rPr>
          <w:rFonts w:ascii="Times New Roman" w:eastAsia="Calibri" w:hAnsi="Times New Roman" w:cs="Times New Roman"/>
          <w:b/>
          <w:bCs/>
          <w:sz w:val="24"/>
          <w:szCs w:val="24"/>
        </w:rPr>
        <w:t>республиканский бюджет</w:t>
      </w:r>
      <w:r w:rsidRPr="005C53F5">
        <w:rPr>
          <w:rFonts w:ascii="Times New Roman" w:eastAsia="Calibri" w:hAnsi="Times New Roman" w:cs="Times New Roman"/>
          <w:sz w:val="24"/>
          <w:szCs w:val="24"/>
        </w:rPr>
        <w:t>») и бюджеты местных органов власти, после исключения межбюджетных трансфертов.</w:t>
      </w:r>
    </w:p>
    <w:p w14:paraId="4B1242F6" w14:textId="1880D0A9"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5C53F5">
        <w:rPr>
          <w:rFonts w:ascii="Times New Roman" w:eastAsia="Calibri" w:hAnsi="Times New Roman" w:cs="Times New Roman"/>
          <w:sz w:val="24"/>
          <w:szCs w:val="24"/>
        </w:rPr>
        <w:t>Консолидированный бюджет Республики Казахстан (далее – «</w:t>
      </w:r>
      <w:r w:rsidRPr="005C53F5">
        <w:rPr>
          <w:rFonts w:ascii="Times New Roman" w:eastAsia="Calibri" w:hAnsi="Times New Roman" w:cs="Times New Roman"/>
          <w:b/>
          <w:bCs/>
          <w:sz w:val="24"/>
          <w:szCs w:val="24"/>
        </w:rPr>
        <w:t>консолидированный бюджет</w:t>
      </w:r>
      <w:r w:rsidRPr="005C53F5">
        <w:rPr>
          <w:rFonts w:ascii="Times New Roman" w:eastAsia="Calibri" w:hAnsi="Times New Roman" w:cs="Times New Roman"/>
          <w:sz w:val="24"/>
          <w:szCs w:val="24"/>
        </w:rPr>
        <w:t>») включает в себя как государственный бюджет, так и доходы и расходы Национального фонда</w:t>
      </w:r>
      <w:r w:rsidR="00626AD0" w:rsidRPr="005C53F5">
        <w:rPr>
          <w:rFonts w:ascii="Times New Roman" w:eastAsia="Calibri" w:hAnsi="Times New Roman" w:cs="Times New Roman"/>
          <w:sz w:val="24"/>
          <w:szCs w:val="24"/>
        </w:rPr>
        <w:t xml:space="preserve"> Республики Казахстан</w:t>
      </w:r>
      <w:r w:rsidRPr="005C53F5">
        <w:rPr>
          <w:rFonts w:ascii="Times New Roman" w:eastAsia="Calibri" w:hAnsi="Times New Roman" w:cs="Times New Roman"/>
          <w:sz w:val="24"/>
          <w:szCs w:val="24"/>
        </w:rPr>
        <w:t xml:space="preserve">, за исключением трансфертов между </w:t>
      </w:r>
      <w:r w:rsidR="00626AD0" w:rsidRPr="005C53F5">
        <w:rPr>
          <w:rFonts w:ascii="Times New Roman" w:eastAsia="Calibri" w:hAnsi="Times New Roman" w:cs="Times New Roman"/>
          <w:sz w:val="24"/>
          <w:szCs w:val="24"/>
        </w:rPr>
        <w:t xml:space="preserve">государственным </w:t>
      </w:r>
      <w:r w:rsidRPr="005C53F5">
        <w:rPr>
          <w:rFonts w:ascii="Times New Roman" w:eastAsia="Calibri" w:hAnsi="Times New Roman" w:cs="Times New Roman"/>
          <w:sz w:val="24"/>
          <w:szCs w:val="24"/>
        </w:rPr>
        <w:t>бюджетом и Национальным фондом</w:t>
      </w:r>
      <w:r w:rsidR="00626AD0" w:rsidRPr="005C53F5">
        <w:rPr>
          <w:rFonts w:ascii="Times New Roman" w:eastAsia="Calibri" w:hAnsi="Times New Roman" w:cs="Times New Roman"/>
          <w:sz w:val="24"/>
          <w:szCs w:val="24"/>
        </w:rPr>
        <w:t xml:space="preserve"> Республики Казахстан</w:t>
      </w:r>
      <w:r w:rsidRPr="005C53F5">
        <w:rPr>
          <w:rFonts w:ascii="Times New Roman" w:eastAsia="Calibri" w:hAnsi="Times New Roman" w:cs="Times New Roman"/>
          <w:sz w:val="24"/>
          <w:szCs w:val="24"/>
        </w:rPr>
        <w:t xml:space="preserve">. </w:t>
      </w:r>
    </w:p>
    <w:p w14:paraId="169FA406" w14:textId="65965015" w:rsidR="00A36FAF" w:rsidRPr="005C53F5" w:rsidRDefault="00A36FAF" w:rsidP="00057BE5">
      <w:pPr>
        <w:keepNext/>
        <w:autoSpaceDE w:val="0"/>
        <w:autoSpaceDN w:val="0"/>
        <w:adjustRightInd w:val="0"/>
        <w:spacing w:after="0" w:line="240" w:lineRule="auto"/>
        <w:ind w:firstLine="709"/>
        <w:jc w:val="both"/>
        <w:rPr>
          <w:rFonts w:ascii="Times New Roman" w:eastAsia="Calibri" w:hAnsi="Times New Roman" w:cs="Times New Roman"/>
          <w:b/>
          <w:bCs/>
          <w:i/>
          <w:iCs/>
          <w:sz w:val="24"/>
          <w:szCs w:val="24"/>
        </w:rPr>
      </w:pPr>
      <w:r w:rsidRPr="005C53F5">
        <w:rPr>
          <w:rFonts w:ascii="Times New Roman" w:eastAsia="Calibri" w:hAnsi="Times New Roman" w:cs="Times New Roman"/>
          <w:i/>
          <w:sz w:val="24"/>
          <w:szCs w:val="24"/>
        </w:rPr>
        <w:t xml:space="preserve">Отчет об исполнении консолидированного бюджета Республики Казахстан </w:t>
      </w:r>
      <w:r w:rsidR="00403D28" w:rsidRPr="005C53F5">
        <w:rPr>
          <w:rFonts w:ascii="Times New Roman" w:eastAsia="Calibri" w:hAnsi="Times New Roman" w:cs="Times New Roman"/>
          <w:i/>
          <w:sz w:val="24"/>
          <w:szCs w:val="24"/>
        </w:rPr>
        <w:t>(</w:t>
      </w:r>
      <w:r w:rsidRPr="005C53F5">
        <w:rPr>
          <w:rFonts w:ascii="Times New Roman" w:eastAsia="Calibri" w:hAnsi="Times New Roman" w:cs="Times New Roman"/>
          <w:i/>
          <w:sz w:val="24"/>
          <w:szCs w:val="24"/>
        </w:rPr>
        <w:t>в млн тенге</w:t>
      </w:r>
      <w:r w:rsidR="00403D28" w:rsidRPr="005C53F5">
        <w:rPr>
          <w:rFonts w:ascii="Times New Roman" w:eastAsia="Calibri" w:hAnsi="Times New Roman" w:cs="Times New Roman"/>
          <w:i/>
          <w:sz w:val="24"/>
          <w:szCs w:val="24"/>
        </w:rPr>
        <w:t>) за 2015-2019 годы</w:t>
      </w:r>
      <w:r w:rsidR="00F961A8" w:rsidRPr="005C53F5">
        <w:rPr>
          <w:rStyle w:val="af5"/>
          <w:rFonts w:ascii="Times New Roman" w:eastAsia="Calibri" w:hAnsi="Times New Roman" w:cs="Times New Roman"/>
          <w:i/>
          <w:sz w:val="24"/>
          <w:szCs w:val="24"/>
        </w:rPr>
        <w:footnoteReference w:id="2"/>
      </w:r>
    </w:p>
    <w:tbl>
      <w:tblPr>
        <w:tblW w:w="9639" w:type="dxa"/>
        <w:tblInd w:w="-5" w:type="dxa"/>
        <w:tblLook w:val="04A0" w:firstRow="1" w:lastRow="0" w:firstColumn="1" w:lastColumn="0" w:noHBand="0" w:noVBand="1"/>
      </w:tblPr>
      <w:tblGrid>
        <w:gridCol w:w="3402"/>
        <w:gridCol w:w="1417"/>
        <w:gridCol w:w="1107"/>
        <w:gridCol w:w="1246"/>
        <w:gridCol w:w="1191"/>
        <w:gridCol w:w="1276"/>
      </w:tblGrid>
      <w:tr w:rsidR="0032420D" w:rsidRPr="005C53F5" w14:paraId="51C2790B" w14:textId="77777777" w:rsidTr="0032420D">
        <w:trPr>
          <w:trHeight w:val="2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E0EC1" w14:textId="77777777" w:rsidR="00F24250" w:rsidRPr="005C53F5" w:rsidRDefault="00F24250" w:rsidP="00057BE5">
            <w:pPr>
              <w:spacing w:after="0" w:line="240" w:lineRule="auto"/>
              <w:jc w:val="center"/>
              <w:rPr>
                <w:rFonts w:ascii="Times New Roman" w:hAnsi="Times New Roman"/>
                <w:b/>
                <w:sz w:val="20"/>
              </w:rPr>
            </w:pPr>
            <w:r w:rsidRPr="005C53F5">
              <w:rPr>
                <w:rFonts w:ascii="Times New Roman" w:eastAsia="Times New Roman" w:hAnsi="Times New Roman" w:cs="Times New Roman"/>
                <w:b/>
                <w:bCs/>
                <w:sz w:val="20"/>
                <w:szCs w:val="20"/>
                <w:lang w:eastAsia="ru-RU"/>
              </w:rPr>
              <w:t xml:space="preserve">Наименование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68FE46" w14:textId="77777777" w:rsidR="00F24250" w:rsidRPr="005C53F5" w:rsidRDefault="00F24250" w:rsidP="00057BE5">
            <w:pPr>
              <w:spacing w:after="0" w:line="240" w:lineRule="auto"/>
              <w:jc w:val="center"/>
              <w:rPr>
                <w:rFonts w:ascii="Times New Roman" w:hAnsi="Times New Roman"/>
                <w:b/>
                <w:sz w:val="20"/>
              </w:rPr>
            </w:pPr>
            <w:r w:rsidRPr="005C53F5">
              <w:rPr>
                <w:rFonts w:ascii="Times New Roman" w:hAnsi="Times New Roman"/>
                <w:b/>
                <w:sz w:val="20"/>
              </w:rPr>
              <w:t>2015</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3DEF7615" w14:textId="77777777" w:rsidR="00F24250" w:rsidRPr="005C53F5" w:rsidRDefault="00F24250" w:rsidP="00057BE5">
            <w:pPr>
              <w:spacing w:after="0" w:line="240" w:lineRule="auto"/>
              <w:jc w:val="center"/>
              <w:rPr>
                <w:rFonts w:ascii="Times New Roman" w:hAnsi="Times New Roman"/>
                <w:b/>
                <w:sz w:val="20"/>
              </w:rPr>
            </w:pPr>
            <w:r w:rsidRPr="005C53F5">
              <w:rPr>
                <w:rFonts w:ascii="Times New Roman" w:hAnsi="Times New Roman"/>
                <w:b/>
                <w:sz w:val="20"/>
              </w:rPr>
              <w:t>2016</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2691D561" w14:textId="77777777" w:rsidR="00F24250" w:rsidRPr="005C53F5" w:rsidRDefault="00F24250" w:rsidP="00057BE5">
            <w:pPr>
              <w:spacing w:after="0" w:line="240" w:lineRule="auto"/>
              <w:jc w:val="center"/>
              <w:rPr>
                <w:rFonts w:ascii="Times New Roman" w:hAnsi="Times New Roman"/>
                <w:b/>
                <w:sz w:val="20"/>
              </w:rPr>
            </w:pPr>
            <w:r w:rsidRPr="005C53F5">
              <w:rPr>
                <w:rFonts w:ascii="Times New Roman" w:hAnsi="Times New Roman"/>
                <w:b/>
                <w:sz w:val="20"/>
              </w:rPr>
              <w:t>2017</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14:paraId="43B3A43C" w14:textId="77777777" w:rsidR="00F24250" w:rsidRPr="005C53F5" w:rsidRDefault="00F24250" w:rsidP="00057BE5">
            <w:pPr>
              <w:spacing w:after="0" w:line="240" w:lineRule="auto"/>
              <w:jc w:val="center"/>
              <w:rPr>
                <w:rFonts w:ascii="Times New Roman" w:hAnsi="Times New Roman"/>
                <w:b/>
                <w:sz w:val="20"/>
              </w:rPr>
            </w:pPr>
            <w:r w:rsidRPr="005C53F5">
              <w:rPr>
                <w:rFonts w:ascii="Times New Roman" w:hAnsi="Times New Roman"/>
                <w:b/>
                <w:sz w:val="20"/>
              </w:rPr>
              <w:t>2018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DB05BE6" w14:textId="57EEDADC" w:rsidR="00F24250" w:rsidRPr="005C53F5" w:rsidRDefault="00F24250" w:rsidP="00057BE5">
            <w:pPr>
              <w:spacing w:after="0" w:line="240" w:lineRule="auto"/>
              <w:jc w:val="center"/>
              <w:rPr>
                <w:rFonts w:ascii="Times New Roman" w:hAnsi="Times New Roman"/>
                <w:b/>
                <w:sz w:val="20"/>
              </w:rPr>
            </w:pPr>
            <w:r w:rsidRPr="005C53F5">
              <w:rPr>
                <w:rFonts w:ascii="Times New Roman" w:hAnsi="Times New Roman"/>
                <w:b/>
                <w:sz w:val="20"/>
              </w:rPr>
              <w:t>2019</w:t>
            </w:r>
          </w:p>
        </w:tc>
      </w:tr>
      <w:tr w:rsidR="0032420D" w:rsidRPr="005C53F5" w14:paraId="61467C65" w14:textId="77777777" w:rsidTr="0032420D">
        <w:trPr>
          <w:trHeight w:val="255"/>
        </w:trPr>
        <w:tc>
          <w:tcPr>
            <w:tcW w:w="3402" w:type="dxa"/>
            <w:tcBorders>
              <w:top w:val="nil"/>
              <w:left w:val="nil"/>
              <w:bottom w:val="nil"/>
              <w:right w:val="nil"/>
            </w:tcBorders>
            <w:shd w:val="clear" w:color="auto" w:fill="auto"/>
            <w:vAlign w:val="center"/>
            <w:hideMark/>
          </w:tcPr>
          <w:p w14:paraId="2CAA89D1"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I. ДОХОДЫ</w:t>
            </w:r>
          </w:p>
        </w:tc>
        <w:tc>
          <w:tcPr>
            <w:tcW w:w="1417" w:type="dxa"/>
            <w:tcBorders>
              <w:top w:val="nil"/>
              <w:left w:val="nil"/>
              <w:bottom w:val="nil"/>
              <w:right w:val="nil"/>
            </w:tcBorders>
            <w:shd w:val="clear" w:color="auto" w:fill="auto"/>
            <w:noWrap/>
            <w:vAlign w:val="center"/>
            <w:hideMark/>
          </w:tcPr>
          <w:p w14:paraId="2575E334" w14:textId="37A8E36C" w:rsidR="00F24250" w:rsidRPr="005C53F5" w:rsidRDefault="00F24250" w:rsidP="00057BE5">
            <w:pPr>
              <w:spacing w:after="0" w:line="240" w:lineRule="auto"/>
              <w:jc w:val="right"/>
              <w:rPr>
                <w:rFonts w:ascii="Times New Roman" w:hAnsi="Times New Roman"/>
                <w:b/>
                <w:sz w:val="18"/>
              </w:rPr>
            </w:pPr>
            <w:r w:rsidRPr="005C53F5">
              <w:rPr>
                <w:rFonts w:ascii="Times New Roman" w:eastAsia="Times New Roman" w:hAnsi="Times New Roman" w:cs="Times New Roman"/>
                <w:b/>
                <w:bCs/>
                <w:sz w:val="18"/>
                <w:szCs w:val="18"/>
                <w:lang w:eastAsia="ru-RU"/>
              </w:rPr>
              <w:t>16 972 018,5</w:t>
            </w:r>
          </w:p>
        </w:tc>
        <w:tc>
          <w:tcPr>
            <w:tcW w:w="1107" w:type="dxa"/>
            <w:tcBorders>
              <w:top w:val="nil"/>
              <w:left w:val="nil"/>
              <w:bottom w:val="nil"/>
              <w:right w:val="nil"/>
            </w:tcBorders>
            <w:shd w:val="clear" w:color="auto" w:fill="auto"/>
            <w:noWrap/>
            <w:vAlign w:val="center"/>
            <w:hideMark/>
          </w:tcPr>
          <w:p w14:paraId="369A1849" w14:textId="652980E5" w:rsidR="00F24250" w:rsidRPr="005C53F5" w:rsidRDefault="00F24250" w:rsidP="00057BE5">
            <w:pPr>
              <w:spacing w:after="0" w:line="240" w:lineRule="auto"/>
              <w:jc w:val="right"/>
              <w:rPr>
                <w:rFonts w:ascii="Times New Roman" w:hAnsi="Times New Roman"/>
                <w:b/>
                <w:sz w:val="18"/>
              </w:rPr>
            </w:pPr>
            <w:r w:rsidRPr="005C53F5">
              <w:rPr>
                <w:rFonts w:ascii="Times New Roman" w:eastAsia="Times New Roman" w:hAnsi="Times New Roman" w:cs="Times New Roman"/>
                <w:b/>
                <w:bCs/>
                <w:sz w:val="18"/>
                <w:szCs w:val="18"/>
                <w:lang w:eastAsia="ru-RU"/>
              </w:rPr>
              <w:t>7 438 558,6</w:t>
            </w:r>
          </w:p>
        </w:tc>
        <w:tc>
          <w:tcPr>
            <w:tcW w:w="1246" w:type="dxa"/>
            <w:tcBorders>
              <w:top w:val="nil"/>
              <w:left w:val="nil"/>
              <w:bottom w:val="nil"/>
              <w:right w:val="nil"/>
            </w:tcBorders>
            <w:shd w:val="clear" w:color="auto" w:fill="auto"/>
            <w:noWrap/>
            <w:vAlign w:val="center"/>
            <w:hideMark/>
          </w:tcPr>
          <w:p w14:paraId="50A26C8E" w14:textId="53FC0633"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10</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625</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759,</w:t>
            </w:r>
            <w:r w:rsidRPr="005C53F5">
              <w:rPr>
                <w:rFonts w:ascii="Times New Roman" w:eastAsia="Times New Roman" w:hAnsi="Times New Roman" w:cs="Times New Roman"/>
                <w:b/>
                <w:bCs/>
                <w:sz w:val="18"/>
                <w:szCs w:val="18"/>
                <w:lang w:eastAsia="ru-RU"/>
              </w:rPr>
              <w:t>2</w:t>
            </w:r>
          </w:p>
        </w:tc>
        <w:tc>
          <w:tcPr>
            <w:tcW w:w="1191" w:type="dxa"/>
            <w:tcBorders>
              <w:top w:val="nil"/>
              <w:left w:val="nil"/>
              <w:bottom w:val="nil"/>
              <w:right w:val="nil"/>
            </w:tcBorders>
            <w:shd w:val="clear" w:color="auto" w:fill="auto"/>
            <w:noWrap/>
            <w:vAlign w:val="center"/>
            <w:hideMark/>
          </w:tcPr>
          <w:p w14:paraId="022B5ABB" w14:textId="3CB33BCD"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13</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951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251,4</w:t>
            </w:r>
          </w:p>
        </w:tc>
        <w:tc>
          <w:tcPr>
            <w:tcW w:w="1276" w:type="dxa"/>
            <w:tcBorders>
              <w:top w:val="nil"/>
              <w:left w:val="nil"/>
              <w:bottom w:val="nil"/>
              <w:right w:val="nil"/>
            </w:tcBorders>
            <w:shd w:val="clear" w:color="auto" w:fill="auto"/>
            <w:noWrap/>
            <w:vAlign w:val="center"/>
            <w:hideMark/>
          </w:tcPr>
          <w:p w14:paraId="544474ED" w14:textId="0BEFEF30"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554</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425,</w:t>
            </w:r>
            <w:r w:rsidRPr="005C53F5">
              <w:rPr>
                <w:rFonts w:ascii="Times New Roman" w:eastAsia="Times New Roman" w:hAnsi="Times New Roman" w:cs="Times New Roman"/>
                <w:b/>
                <w:bCs/>
                <w:sz w:val="18"/>
                <w:szCs w:val="18"/>
                <w:lang w:eastAsia="ru-RU"/>
              </w:rPr>
              <w:t>9</w:t>
            </w:r>
          </w:p>
        </w:tc>
      </w:tr>
      <w:tr w:rsidR="0032420D" w:rsidRPr="005C53F5" w14:paraId="662C595A" w14:textId="77777777" w:rsidTr="0032420D">
        <w:trPr>
          <w:trHeight w:val="255"/>
        </w:trPr>
        <w:tc>
          <w:tcPr>
            <w:tcW w:w="3402" w:type="dxa"/>
            <w:tcBorders>
              <w:top w:val="nil"/>
              <w:left w:val="nil"/>
              <w:bottom w:val="nil"/>
              <w:right w:val="nil"/>
            </w:tcBorders>
            <w:shd w:val="clear" w:color="auto" w:fill="auto"/>
            <w:vAlign w:val="center"/>
            <w:hideMark/>
          </w:tcPr>
          <w:p w14:paraId="681F066E"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НАЛОГОВЫЕ ПОСТУПЛЕНИЯ</w:t>
            </w:r>
          </w:p>
        </w:tc>
        <w:tc>
          <w:tcPr>
            <w:tcW w:w="1417" w:type="dxa"/>
            <w:tcBorders>
              <w:top w:val="nil"/>
              <w:left w:val="nil"/>
              <w:bottom w:val="nil"/>
              <w:right w:val="nil"/>
            </w:tcBorders>
            <w:shd w:val="clear" w:color="auto" w:fill="auto"/>
            <w:noWrap/>
            <w:vAlign w:val="center"/>
            <w:hideMark/>
          </w:tcPr>
          <w:p w14:paraId="09469EB4" w14:textId="42E33EF1"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6</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497</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065,</w:t>
            </w:r>
            <w:r w:rsidRPr="005C53F5">
              <w:rPr>
                <w:rFonts w:ascii="Times New Roman" w:eastAsia="Times New Roman" w:hAnsi="Times New Roman" w:cs="Times New Roman"/>
                <w:b/>
                <w:bCs/>
                <w:sz w:val="18"/>
                <w:szCs w:val="18"/>
                <w:lang w:eastAsia="ru-RU"/>
              </w:rPr>
              <w:t>8</w:t>
            </w:r>
          </w:p>
        </w:tc>
        <w:tc>
          <w:tcPr>
            <w:tcW w:w="1107" w:type="dxa"/>
            <w:tcBorders>
              <w:top w:val="nil"/>
              <w:left w:val="nil"/>
              <w:bottom w:val="nil"/>
              <w:right w:val="nil"/>
            </w:tcBorders>
            <w:shd w:val="clear" w:color="auto" w:fill="auto"/>
            <w:noWrap/>
            <w:vAlign w:val="center"/>
            <w:hideMark/>
          </w:tcPr>
          <w:p w14:paraId="754312B7" w14:textId="52D12E0D"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7</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153</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319,</w:t>
            </w:r>
            <w:r w:rsidRPr="005C53F5">
              <w:rPr>
                <w:rFonts w:ascii="Times New Roman" w:eastAsia="Times New Roman" w:hAnsi="Times New Roman" w:cs="Times New Roman"/>
                <w:b/>
                <w:bCs/>
                <w:sz w:val="18"/>
                <w:szCs w:val="18"/>
                <w:lang w:eastAsia="ru-RU"/>
              </w:rPr>
              <w:t>5</w:t>
            </w:r>
          </w:p>
        </w:tc>
        <w:tc>
          <w:tcPr>
            <w:tcW w:w="1246" w:type="dxa"/>
            <w:tcBorders>
              <w:top w:val="nil"/>
              <w:left w:val="nil"/>
              <w:bottom w:val="nil"/>
              <w:right w:val="nil"/>
            </w:tcBorders>
            <w:shd w:val="clear" w:color="auto" w:fill="auto"/>
            <w:noWrap/>
            <w:vAlign w:val="center"/>
            <w:hideMark/>
          </w:tcPr>
          <w:p w14:paraId="2931E095" w14:textId="5CD75B40"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8</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811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987,</w:t>
            </w:r>
            <w:r w:rsidRPr="005C53F5">
              <w:rPr>
                <w:rFonts w:ascii="Times New Roman" w:eastAsia="Times New Roman" w:hAnsi="Times New Roman" w:cs="Times New Roman"/>
                <w:b/>
                <w:bCs/>
                <w:sz w:val="18"/>
                <w:szCs w:val="18"/>
                <w:lang w:eastAsia="ru-RU"/>
              </w:rPr>
              <w:t>2</w:t>
            </w:r>
          </w:p>
        </w:tc>
        <w:tc>
          <w:tcPr>
            <w:tcW w:w="1191" w:type="dxa"/>
            <w:tcBorders>
              <w:top w:val="nil"/>
              <w:left w:val="nil"/>
              <w:bottom w:val="nil"/>
              <w:right w:val="nil"/>
            </w:tcBorders>
            <w:shd w:val="clear" w:color="auto" w:fill="auto"/>
            <w:noWrap/>
            <w:vAlign w:val="center"/>
            <w:hideMark/>
          </w:tcPr>
          <w:p w14:paraId="79816F65" w14:textId="224CE577"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090</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862,5</w:t>
            </w:r>
          </w:p>
        </w:tc>
        <w:tc>
          <w:tcPr>
            <w:tcW w:w="1276" w:type="dxa"/>
            <w:tcBorders>
              <w:top w:val="nil"/>
              <w:left w:val="nil"/>
              <w:bottom w:val="nil"/>
              <w:right w:val="nil"/>
            </w:tcBorders>
            <w:shd w:val="clear" w:color="auto" w:fill="auto"/>
            <w:noWrap/>
            <w:vAlign w:val="center"/>
            <w:hideMark/>
          </w:tcPr>
          <w:p w14:paraId="759B6987" w14:textId="248E8189"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053</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681,</w:t>
            </w:r>
            <w:r w:rsidRPr="005C53F5">
              <w:rPr>
                <w:rFonts w:ascii="Times New Roman" w:eastAsia="Times New Roman" w:hAnsi="Times New Roman" w:cs="Times New Roman"/>
                <w:b/>
                <w:bCs/>
                <w:sz w:val="18"/>
                <w:szCs w:val="18"/>
                <w:lang w:eastAsia="ru-RU"/>
              </w:rPr>
              <w:t>2</w:t>
            </w:r>
          </w:p>
        </w:tc>
      </w:tr>
      <w:tr w:rsidR="0032420D" w:rsidRPr="005C53F5" w14:paraId="253A1EF4" w14:textId="77777777" w:rsidTr="0032420D">
        <w:trPr>
          <w:trHeight w:val="255"/>
        </w:trPr>
        <w:tc>
          <w:tcPr>
            <w:tcW w:w="3402" w:type="dxa"/>
            <w:tcBorders>
              <w:top w:val="nil"/>
              <w:left w:val="nil"/>
              <w:bottom w:val="nil"/>
              <w:right w:val="nil"/>
            </w:tcBorders>
            <w:shd w:val="clear" w:color="auto" w:fill="auto"/>
            <w:vAlign w:val="center"/>
            <w:hideMark/>
          </w:tcPr>
          <w:p w14:paraId="4E6CAE88" w14:textId="0A0C3C24" w:rsidR="00F24250" w:rsidRPr="005C53F5" w:rsidRDefault="00F24250" w:rsidP="00057BE5">
            <w:pPr>
              <w:spacing w:after="0" w:line="240" w:lineRule="auto"/>
              <w:rPr>
                <w:rFonts w:ascii="Times New Roman" w:hAnsi="Times New Roman"/>
                <w:i/>
                <w:sz w:val="18"/>
              </w:rPr>
            </w:pPr>
            <w:r w:rsidRPr="005C53F5">
              <w:rPr>
                <w:rFonts w:ascii="Times New Roman" w:eastAsia="Times New Roman" w:hAnsi="Times New Roman" w:cs="Times New Roman"/>
                <w:i/>
                <w:iCs/>
                <w:sz w:val="18"/>
                <w:szCs w:val="18"/>
                <w:lang w:eastAsia="ru-RU"/>
              </w:rPr>
              <w:t>Налоговые поступления</w:t>
            </w:r>
          </w:p>
        </w:tc>
        <w:tc>
          <w:tcPr>
            <w:tcW w:w="1417" w:type="dxa"/>
            <w:tcBorders>
              <w:top w:val="nil"/>
              <w:left w:val="nil"/>
              <w:bottom w:val="nil"/>
              <w:right w:val="nil"/>
            </w:tcBorders>
            <w:shd w:val="clear" w:color="auto" w:fill="auto"/>
            <w:noWrap/>
            <w:vAlign w:val="center"/>
            <w:hideMark/>
          </w:tcPr>
          <w:p w14:paraId="3A707345" w14:textId="126BDC9D"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6 497 065,8</w:t>
            </w:r>
          </w:p>
        </w:tc>
        <w:tc>
          <w:tcPr>
            <w:tcW w:w="1107" w:type="dxa"/>
            <w:tcBorders>
              <w:top w:val="nil"/>
              <w:left w:val="nil"/>
              <w:bottom w:val="nil"/>
              <w:right w:val="nil"/>
            </w:tcBorders>
            <w:shd w:val="clear" w:color="auto" w:fill="auto"/>
            <w:noWrap/>
            <w:vAlign w:val="center"/>
            <w:hideMark/>
          </w:tcPr>
          <w:p w14:paraId="0702EC12" w14:textId="4EFB3AF7"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7 153 319,5</w:t>
            </w:r>
          </w:p>
        </w:tc>
        <w:tc>
          <w:tcPr>
            <w:tcW w:w="1246" w:type="dxa"/>
            <w:tcBorders>
              <w:top w:val="nil"/>
              <w:left w:val="nil"/>
              <w:bottom w:val="nil"/>
              <w:right w:val="nil"/>
            </w:tcBorders>
            <w:shd w:val="clear" w:color="auto" w:fill="auto"/>
            <w:noWrap/>
            <w:vAlign w:val="center"/>
            <w:hideMark/>
          </w:tcPr>
          <w:p w14:paraId="16272564" w14:textId="1711FDF5"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8 811 987,2</w:t>
            </w:r>
          </w:p>
        </w:tc>
        <w:tc>
          <w:tcPr>
            <w:tcW w:w="1191" w:type="dxa"/>
            <w:tcBorders>
              <w:top w:val="nil"/>
              <w:left w:val="nil"/>
              <w:bottom w:val="nil"/>
              <w:right w:val="nil"/>
            </w:tcBorders>
            <w:shd w:val="clear" w:color="auto" w:fill="auto"/>
            <w:noWrap/>
            <w:vAlign w:val="center"/>
            <w:hideMark/>
          </w:tcPr>
          <w:p w14:paraId="76D21F4D" w14:textId="28486CE2"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11 090 862,5</w:t>
            </w:r>
          </w:p>
        </w:tc>
        <w:tc>
          <w:tcPr>
            <w:tcW w:w="1276" w:type="dxa"/>
            <w:tcBorders>
              <w:top w:val="nil"/>
              <w:left w:val="nil"/>
              <w:bottom w:val="nil"/>
              <w:right w:val="nil"/>
            </w:tcBorders>
            <w:shd w:val="clear" w:color="auto" w:fill="auto"/>
            <w:noWrap/>
            <w:vAlign w:val="center"/>
            <w:hideMark/>
          </w:tcPr>
          <w:p w14:paraId="7607D317" w14:textId="7D85DB83"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12 053 681,2</w:t>
            </w:r>
          </w:p>
        </w:tc>
      </w:tr>
      <w:tr w:rsidR="0032420D" w:rsidRPr="005C53F5" w14:paraId="1B94C9C2" w14:textId="77777777" w:rsidTr="0032420D">
        <w:trPr>
          <w:trHeight w:val="255"/>
        </w:trPr>
        <w:tc>
          <w:tcPr>
            <w:tcW w:w="3402" w:type="dxa"/>
            <w:tcBorders>
              <w:top w:val="nil"/>
              <w:left w:val="nil"/>
              <w:bottom w:val="nil"/>
              <w:right w:val="nil"/>
            </w:tcBorders>
            <w:shd w:val="clear" w:color="auto" w:fill="auto"/>
            <w:vAlign w:val="center"/>
            <w:hideMark/>
          </w:tcPr>
          <w:p w14:paraId="41C24B62"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НЕНАЛОГОВЫЕ ПОСТУПЛЕНИЯ</w:t>
            </w:r>
          </w:p>
        </w:tc>
        <w:tc>
          <w:tcPr>
            <w:tcW w:w="1417" w:type="dxa"/>
            <w:tcBorders>
              <w:top w:val="nil"/>
              <w:left w:val="nil"/>
              <w:bottom w:val="nil"/>
              <w:right w:val="nil"/>
            </w:tcBorders>
            <w:shd w:val="clear" w:color="auto" w:fill="auto"/>
            <w:noWrap/>
            <w:vAlign w:val="center"/>
            <w:hideMark/>
          </w:tcPr>
          <w:p w14:paraId="55D2D926" w14:textId="113E29BE"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241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443,</w:t>
            </w:r>
            <w:r w:rsidRPr="005C53F5">
              <w:rPr>
                <w:rFonts w:ascii="Times New Roman" w:eastAsia="Times New Roman" w:hAnsi="Times New Roman" w:cs="Times New Roman"/>
                <w:b/>
                <w:bCs/>
                <w:sz w:val="18"/>
                <w:szCs w:val="18"/>
                <w:lang w:eastAsia="ru-RU"/>
              </w:rPr>
              <w:t>1</w:t>
            </w:r>
          </w:p>
        </w:tc>
        <w:tc>
          <w:tcPr>
            <w:tcW w:w="1107" w:type="dxa"/>
            <w:tcBorders>
              <w:top w:val="nil"/>
              <w:left w:val="nil"/>
              <w:bottom w:val="nil"/>
              <w:right w:val="nil"/>
            </w:tcBorders>
            <w:shd w:val="clear" w:color="auto" w:fill="auto"/>
            <w:noWrap/>
            <w:vAlign w:val="center"/>
            <w:hideMark/>
          </w:tcPr>
          <w:p w14:paraId="14E16BE3" w14:textId="1DA42B29"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377</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291,</w:t>
            </w:r>
            <w:r w:rsidRPr="005C53F5">
              <w:rPr>
                <w:rFonts w:ascii="Times New Roman" w:eastAsia="Times New Roman" w:hAnsi="Times New Roman" w:cs="Times New Roman"/>
                <w:b/>
                <w:bCs/>
                <w:sz w:val="18"/>
                <w:szCs w:val="18"/>
                <w:lang w:eastAsia="ru-RU"/>
              </w:rPr>
              <w:t>5</w:t>
            </w:r>
          </w:p>
        </w:tc>
        <w:tc>
          <w:tcPr>
            <w:tcW w:w="1246" w:type="dxa"/>
            <w:tcBorders>
              <w:top w:val="nil"/>
              <w:left w:val="nil"/>
              <w:bottom w:val="nil"/>
              <w:right w:val="nil"/>
            </w:tcBorders>
            <w:shd w:val="clear" w:color="auto" w:fill="auto"/>
            <w:noWrap/>
            <w:vAlign w:val="center"/>
            <w:hideMark/>
          </w:tcPr>
          <w:p w14:paraId="26F49837" w14:textId="4FE3F86D"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306</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241,</w:t>
            </w:r>
            <w:r w:rsidRPr="005C53F5">
              <w:rPr>
                <w:rFonts w:ascii="Times New Roman" w:eastAsia="Times New Roman" w:hAnsi="Times New Roman" w:cs="Times New Roman"/>
                <w:b/>
                <w:bCs/>
                <w:sz w:val="18"/>
                <w:szCs w:val="18"/>
                <w:lang w:eastAsia="ru-RU"/>
              </w:rPr>
              <w:t>3</w:t>
            </w:r>
          </w:p>
        </w:tc>
        <w:tc>
          <w:tcPr>
            <w:tcW w:w="1191" w:type="dxa"/>
            <w:tcBorders>
              <w:top w:val="nil"/>
              <w:left w:val="nil"/>
              <w:bottom w:val="nil"/>
              <w:right w:val="nil"/>
            </w:tcBorders>
            <w:shd w:val="clear" w:color="auto" w:fill="auto"/>
            <w:noWrap/>
            <w:vAlign w:val="center"/>
            <w:hideMark/>
          </w:tcPr>
          <w:p w14:paraId="10804B07" w14:textId="5C98E4E6"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236</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829,</w:t>
            </w:r>
            <w:r w:rsidRPr="005C53F5">
              <w:rPr>
                <w:rFonts w:ascii="Times New Roman" w:eastAsia="Times New Roman" w:hAnsi="Times New Roman" w:cs="Times New Roman"/>
                <w:b/>
                <w:bCs/>
                <w:sz w:val="18"/>
                <w:szCs w:val="18"/>
                <w:lang w:eastAsia="ru-RU"/>
              </w:rPr>
              <w:t>1</w:t>
            </w:r>
          </w:p>
        </w:tc>
        <w:tc>
          <w:tcPr>
            <w:tcW w:w="1276" w:type="dxa"/>
            <w:tcBorders>
              <w:top w:val="nil"/>
              <w:left w:val="nil"/>
              <w:bottom w:val="nil"/>
              <w:right w:val="nil"/>
            </w:tcBorders>
            <w:shd w:val="clear" w:color="auto" w:fill="auto"/>
            <w:noWrap/>
            <w:vAlign w:val="center"/>
            <w:hideMark/>
          </w:tcPr>
          <w:p w14:paraId="24CB053D" w14:textId="31D9A38E"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376</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838,</w:t>
            </w:r>
            <w:r w:rsidRPr="005C53F5">
              <w:rPr>
                <w:rFonts w:ascii="Times New Roman" w:eastAsia="Times New Roman" w:hAnsi="Times New Roman" w:cs="Times New Roman"/>
                <w:b/>
                <w:bCs/>
                <w:sz w:val="18"/>
                <w:szCs w:val="18"/>
                <w:lang w:eastAsia="ru-RU"/>
              </w:rPr>
              <w:t>4</w:t>
            </w:r>
          </w:p>
        </w:tc>
      </w:tr>
      <w:tr w:rsidR="0032420D" w:rsidRPr="005C53F5" w14:paraId="02BCDFCB" w14:textId="77777777" w:rsidTr="0032420D">
        <w:trPr>
          <w:trHeight w:val="255"/>
        </w:trPr>
        <w:tc>
          <w:tcPr>
            <w:tcW w:w="3402" w:type="dxa"/>
            <w:tcBorders>
              <w:top w:val="nil"/>
              <w:left w:val="nil"/>
              <w:bottom w:val="nil"/>
              <w:right w:val="nil"/>
            </w:tcBorders>
            <w:shd w:val="clear" w:color="auto" w:fill="auto"/>
            <w:vAlign w:val="center"/>
            <w:hideMark/>
          </w:tcPr>
          <w:p w14:paraId="360CCDBA" w14:textId="056444A6" w:rsidR="00F24250" w:rsidRPr="005C53F5" w:rsidRDefault="00F24250" w:rsidP="00057BE5">
            <w:pPr>
              <w:spacing w:after="0" w:line="240" w:lineRule="auto"/>
              <w:rPr>
                <w:rFonts w:ascii="Times New Roman" w:hAnsi="Times New Roman"/>
                <w:i/>
                <w:sz w:val="18"/>
              </w:rPr>
            </w:pPr>
            <w:r w:rsidRPr="005C53F5">
              <w:rPr>
                <w:rFonts w:ascii="Times New Roman" w:eastAsia="Times New Roman" w:hAnsi="Times New Roman" w:cs="Times New Roman"/>
                <w:i/>
                <w:iCs/>
                <w:sz w:val="18"/>
                <w:szCs w:val="18"/>
                <w:lang w:eastAsia="ru-RU"/>
              </w:rPr>
              <w:t>Неналоговые поступления</w:t>
            </w:r>
          </w:p>
        </w:tc>
        <w:tc>
          <w:tcPr>
            <w:tcW w:w="1417" w:type="dxa"/>
            <w:tcBorders>
              <w:top w:val="nil"/>
              <w:left w:val="nil"/>
              <w:bottom w:val="nil"/>
              <w:right w:val="nil"/>
            </w:tcBorders>
            <w:shd w:val="clear" w:color="auto" w:fill="auto"/>
            <w:noWrap/>
            <w:vAlign w:val="center"/>
            <w:hideMark/>
          </w:tcPr>
          <w:p w14:paraId="243D1F88" w14:textId="72AA4169"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241 443,1</w:t>
            </w:r>
          </w:p>
        </w:tc>
        <w:tc>
          <w:tcPr>
            <w:tcW w:w="1107" w:type="dxa"/>
            <w:tcBorders>
              <w:top w:val="nil"/>
              <w:left w:val="nil"/>
              <w:bottom w:val="nil"/>
              <w:right w:val="nil"/>
            </w:tcBorders>
            <w:shd w:val="clear" w:color="auto" w:fill="auto"/>
            <w:noWrap/>
            <w:vAlign w:val="center"/>
            <w:hideMark/>
          </w:tcPr>
          <w:p w14:paraId="57EF5868" w14:textId="089C4053"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377 291,5</w:t>
            </w:r>
          </w:p>
        </w:tc>
        <w:tc>
          <w:tcPr>
            <w:tcW w:w="1246" w:type="dxa"/>
            <w:tcBorders>
              <w:top w:val="nil"/>
              <w:left w:val="nil"/>
              <w:bottom w:val="nil"/>
              <w:right w:val="nil"/>
            </w:tcBorders>
            <w:shd w:val="clear" w:color="auto" w:fill="auto"/>
            <w:noWrap/>
            <w:vAlign w:val="center"/>
            <w:hideMark/>
          </w:tcPr>
          <w:p w14:paraId="141F69DF" w14:textId="6D5C6845"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306 241,3</w:t>
            </w:r>
          </w:p>
        </w:tc>
        <w:tc>
          <w:tcPr>
            <w:tcW w:w="1191" w:type="dxa"/>
            <w:tcBorders>
              <w:top w:val="nil"/>
              <w:left w:val="nil"/>
              <w:bottom w:val="nil"/>
              <w:right w:val="nil"/>
            </w:tcBorders>
            <w:shd w:val="clear" w:color="auto" w:fill="auto"/>
            <w:noWrap/>
            <w:vAlign w:val="center"/>
            <w:hideMark/>
          </w:tcPr>
          <w:p w14:paraId="142D4C8F" w14:textId="0D192125"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236 829,1</w:t>
            </w:r>
          </w:p>
        </w:tc>
        <w:tc>
          <w:tcPr>
            <w:tcW w:w="1276" w:type="dxa"/>
            <w:tcBorders>
              <w:top w:val="nil"/>
              <w:left w:val="nil"/>
              <w:bottom w:val="nil"/>
              <w:right w:val="nil"/>
            </w:tcBorders>
            <w:shd w:val="clear" w:color="auto" w:fill="auto"/>
            <w:noWrap/>
            <w:vAlign w:val="center"/>
            <w:hideMark/>
          </w:tcPr>
          <w:p w14:paraId="28DEB46F" w14:textId="18194882"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376 838,4</w:t>
            </w:r>
          </w:p>
        </w:tc>
      </w:tr>
      <w:tr w:rsidR="0032420D" w:rsidRPr="005C53F5" w14:paraId="272F6C98" w14:textId="77777777" w:rsidTr="0032420D">
        <w:trPr>
          <w:trHeight w:val="510"/>
        </w:trPr>
        <w:tc>
          <w:tcPr>
            <w:tcW w:w="3402" w:type="dxa"/>
            <w:tcBorders>
              <w:top w:val="nil"/>
              <w:left w:val="nil"/>
              <w:bottom w:val="nil"/>
              <w:right w:val="nil"/>
            </w:tcBorders>
            <w:shd w:val="clear" w:color="auto" w:fill="auto"/>
            <w:vAlign w:val="center"/>
            <w:hideMark/>
          </w:tcPr>
          <w:p w14:paraId="22E21D94"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ПОСТУПЛЕНИЯ ОТ ПРОДАЖИ ОСНОВНОГО КАПИТАЛА</w:t>
            </w:r>
          </w:p>
        </w:tc>
        <w:tc>
          <w:tcPr>
            <w:tcW w:w="1417" w:type="dxa"/>
            <w:tcBorders>
              <w:top w:val="nil"/>
              <w:left w:val="nil"/>
              <w:bottom w:val="nil"/>
              <w:right w:val="nil"/>
            </w:tcBorders>
            <w:shd w:val="clear" w:color="auto" w:fill="auto"/>
            <w:noWrap/>
            <w:vAlign w:val="center"/>
            <w:hideMark/>
          </w:tcPr>
          <w:p w14:paraId="57957E66" w14:textId="0C6B9505"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70</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883,</w:t>
            </w:r>
            <w:r w:rsidRPr="005C53F5">
              <w:rPr>
                <w:rFonts w:ascii="Times New Roman" w:eastAsia="Times New Roman" w:hAnsi="Times New Roman" w:cs="Times New Roman"/>
                <w:b/>
                <w:bCs/>
                <w:sz w:val="18"/>
                <w:szCs w:val="18"/>
                <w:lang w:eastAsia="ru-RU"/>
              </w:rPr>
              <w:t>6</w:t>
            </w:r>
          </w:p>
        </w:tc>
        <w:tc>
          <w:tcPr>
            <w:tcW w:w="1107" w:type="dxa"/>
            <w:tcBorders>
              <w:top w:val="nil"/>
              <w:left w:val="nil"/>
              <w:bottom w:val="nil"/>
              <w:right w:val="nil"/>
            </w:tcBorders>
            <w:shd w:val="clear" w:color="auto" w:fill="auto"/>
            <w:noWrap/>
            <w:vAlign w:val="center"/>
            <w:hideMark/>
          </w:tcPr>
          <w:p w14:paraId="1D1EF269" w14:textId="48771C8B"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61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059,</w:t>
            </w:r>
            <w:r w:rsidRPr="005C53F5">
              <w:rPr>
                <w:rFonts w:ascii="Times New Roman" w:eastAsia="Times New Roman" w:hAnsi="Times New Roman" w:cs="Times New Roman"/>
                <w:b/>
                <w:bCs/>
                <w:sz w:val="18"/>
                <w:szCs w:val="18"/>
                <w:lang w:eastAsia="ru-RU"/>
              </w:rPr>
              <w:t>6</w:t>
            </w:r>
          </w:p>
        </w:tc>
        <w:tc>
          <w:tcPr>
            <w:tcW w:w="1246" w:type="dxa"/>
            <w:tcBorders>
              <w:top w:val="nil"/>
              <w:left w:val="nil"/>
              <w:bottom w:val="nil"/>
              <w:right w:val="nil"/>
            </w:tcBorders>
            <w:shd w:val="clear" w:color="auto" w:fill="auto"/>
            <w:noWrap/>
            <w:vAlign w:val="center"/>
            <w:hideMark/>
          </w:tcPr>
          <w:p w14:paraId="47467A70" w14:textId="31ADEC25"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69</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094,</w:t>
            </w:r>
            <w:r w:rsidRPr="005C53F5">
              <w:rPr>
                <w:rFonts w:ascii="Times New Roman" w:eastAsia="Times New Roman" w:hAnsi="Times New Roman" w:cs="Times New Roman"/>
                <w:b/>
                <w:bCs/>
                <w:sz w:val="18"/>
                <w:szCs w:val="18"/>
                <w:lang w:eastAsia="ru-RU"/>
              </w:rPr>
              <w:t>7</w:t>
            </w:r>
          </w:p>
        </w:tc>
        <w:tc>
          <w:tcPr>
            <w:tcW w:w="1191" w:type="dxa"/>
            <w:tcBorders>
              <w:top w:val="nil"/>
              <w:left w:val="nil"/>
              <w:bottom w:val="nil"/>
              <w:right w:val="nil"/>
            </w:tcBorders>
            <w:shd w:val="clear" w:color="auto" w:fill="auto"/>
            <w:noWrap/>
            <w:vAlign w:val="center"/>
            <w:hideMark/>
          </w:tcPr>
          <w:p w14:paraId="75D401C9" w14:textId="27218941"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92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798,</w:t>
            </w:r>
            <w:r w:rsidRPr="005C53F5">
              <w:rPr>
                <w:rFonts w:ascii="Times New Roman" w:eastAsia="Times New Roman" w:hAnsi="Times New Roman" w:cs="Times New Roman"/>
                <w:b/>
                <w:bCs/>
                <w:sz w:val="18"/>
                <w:szCs w:val="18"/>
                <w:lang w:eastAsia="ru-RU"/>
              </w:rPr>
              <w:t>3</w:t>
            </w:r>
          </w:p>
        </w:tc>
        <w:tc>
          <w:tcPr>
            <w:tcW w:w="1276" w:type="dxa"/>
            <w:tcBorders>
              <w:top w:val="nil"/>
              <w:left w:val="nil"/>
              <w:bottom w:val="nil"/>
              <w:right w:val="nil"/>
            </w:tcBorders>
            <w:shd w:val="clear" w:color="auto" w:fill="auto"/>
            <w:noWrap/>
            <w:vAlign w:val="center"/>
            <w:hideMark/>
          </w:tcPr>
          <w:p w14:paraId="615579D3" w14:textId="7D1A381F"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117</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764,</w:t>
            </w:r>
            <w:r w:rsidRPr="005C53F5">
              <w:rPr>
                <w:rFonts w:ascii="Times New Roman" w:eastAsia="Times New Roman" w:hAnsi="Times New Roman" w:cs="Times New Roman"/>
                <w:b/>
                <w:bCs/>
                <w:sz w:val="18"/>
                <w:szCs w:val="18"/>
                <w:lang w:eastAsia="ru-RU"/>
              </w:rPr>
              <w:t>3</w:t>
            </w:r>
          </w:p>
        </w:tc>
      </w:tr>
      <w:tr w:rsidR="0032420D" w:rsidRPr="005C53F5" w14:paraId="1BE1EFBE" w14:textId="77777777" w:rsidTr="0032420D">
        <w:trPr>
          <w:trHeight w:val="510"/>
        </w:trPr>
        <w:tc>
          <w:tcPr>
            <w:tcW w:w="3402" w:type="dxa"/>
            <w:tcBorders>
              <w:top w:val="nil"/>
              <w:left w:val="nil"/>
              <w:bottom w:val="nil"/>
              <w:right w:val="nil"/>
            </w:tcBorders>
            <w:shd w:val="clear" w:color="auto" w:fill="auto"/>
            <w:vAlign w:val="center"/>
            <w:hideMark/>
          </w:tcPr>
          <w:p w14:paraId="6165CDFF" w14:textId="71E80481" w:rsidR="00F24250" w:rsidRPr="005C53F5" w:rsidRDefault="00F24250" w:rsidP="00057BE5">
            <w:pPr>
              <w:spacing w:after="0" w:line="240" w:lineRule="auto"/>
              <w:rPr>
                <w:rFonts w:ascii="Times New Roman" w:hAnsi="Times New Roman"/>
                <w:i/>
                <w:sz w:val="18"/>
              </w:rPr>
            </w:pPr>
            <w:r w:rsidRPr="005C53F5">
              <w:rPr>
                <w:rFonts w:ascii="Times New Roman" w:eastAsia="Times New Roman" w:hAnsi="Times New Roman" w:cs="Times New Roman"/>
                <w:i/>
                <w:iCs/>
                <w:sz w:val="18"/>
                <w:szCs w:val="18"/>
                <w:lang w:eastAsia="ru-RU"/>
              </w:rPr>
              <w:t>Поступления от продажи основного капитала</w:t>
            </w:r>
          </w:p>
        </w:tc>
        <w:tc>
          <w:tcPr>
            <w:tcW w:w="1417" w:type="dxa"/>
            <w:tcBorders>
              <w:top w:val="nil"/>
              <w:left w:val="nil"/>
              <w:bottom w:val="nil"/>
              <w:right w:val="nil"/>
            </w:tcBorders>
            <w:shd w:val="clear" w:color="auto" w:fill="auto"/>
            <w:noWrap/>
            <w:vAlign w:val="center"/>
            <w:hideMark/>
          </w:tcPr>
          <w:p w14:paraId="199C941E" w14:textId="6D01C3D1"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70 883,6</w:t>
            </w:r>
          </w:p>
        </w:tc>
        <w:tc>
          <w:tcPr>
            <w:tcW w:w="1107" w:type="dxa"/>
            <w:tcBorders>
              <w:top w:val="nil"/>
              <w:left w:val="nil"/>
              <w:bottom w:val="nil"/>
              <w:right w:val="nil"/>
            </w:tcBorders>
            <w:shd w:val="clear" w:color="auto" w:fill="auto"/>
            <w:noWrap/>
            <w:vAlign w:val="center"/>
            <w:hideMark/>
          </w:tcPr>
          <w:p w14:paraId="26EB0CA1" w14:textId="77C22BF9"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61 059,6</w:t>
            </w:r>
          </w:p>
        </w:tc>
        <w:tc>
          <w:tcPr>
            <w:tcW w:w="1246" w:type="dxa"/>
            <w:tcBorders>
              <w:top w:val="nil"/>
              <w:left w:val="nil"/>
              <w:bottom w:val="nil"/>
              <w:right w:val="nil"/>
            </w:tcBorders>
            <w:shd w:val="clear" w:color="auto" w:fill="auto"/>
            <w:noWrap/>
            <w:vAlign w:val="center"/>
            <w:hideMark/>
          </w:tcPr>
          <w:p w14:paraId="22504C24" w14:textId="6F1DE3D1"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69 094,7</w:t>
            </w:r>
          </w:p>
        </w:tc>
        <w:tc>
          <w:tcPr>
            <w:tcW w:w="1191" w:type="dxa"/>
            <w:tcBorders>
              <w:top w:val="nil"/>
              <w:left w:val="nil"/>
              <w:bottom w:val="nil"/>
              <w:right w:val="nil"/>
            </w:tcBorders>
            <w:shd w:val="clear" w:color="auto" w:fill="auto"/>
            <w:noWrap/>
            <w:vAlign w:val="center"/>
            <w:hideMark/>
          </w:tcPr>
          <w:p w14:paraId="7D85B7C6" w14:textId="68B9CC93"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92 798,3</w:t>
            </w:r>
          </w:p>
        </w:tc>
        <w:tc>
          <w:tcPr>
            <w:tcW w:w="1276" w:type="dxa"/>
            <w:tcBorders>
              <w:top w:val="nil"/>
              <w:left w:val="nil"/>
              <w:bottom w:val="nil"/>
              <w:right w:val="nil"/>
            </w:tcBorders>
            <w:shd w:val="clear" w:color="auto" w:fill="auto"/>
            <w:noWrap/>
            <w:vAlign w:val="center"/>
            <w:hideMark/>
          </w:tcPr>
          <w:p w14:paraId="0DE817B3" w14:textId="3AEA02C9"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117 764,3</w:t>
            </w:r>
          </w:p>
        </w:tc>
      </w:tr>
      <w:tr w:rsidR="0032420D" w:rsidRPr="005C53F5" w14:paraId="7730D360" w14:textId="77777777" w:rsidTr="0032420D">
        <w:trPr>
          <w:trHeight w:val="255"/>
        </w:trPr>
        <w:tc>
          <w:tcPr>
            <w:tcW w:w="3402" w:type="dxa"/>
            <w:tcBorders>
              <w:top w:val="nil"/>
              <w:left w:val="nil"/>
              <w:bottom w:val="nil"/>
              <w:right w:val="nil"/>
            </w:tcBorders>
            <w:shd w:val="clear" w:color="auto" w:fill="auto"/>
            <w:vAlign w:val="center"/>
            <w:hideMark/>
          </w:tcPr>
          <w:p w14:paraId="45B70AF7"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ПОСТУПЛЕНИЯ ТРАНСФЕРТОВ</w:t>
            </w:r>
          </w:p>
        </w:tc>
        <w:tc>
          <w:tcPr>
            <w:tcW w:w="1417" w:type="dxa"/>
            <w:tcBorders>
              <w:top w:val="nil"/>
              <w:left w:val="nil"/>
              <w:bottom w:val="nil"/>
              <w:right w:val="nil"/>
            </w:tcBorders>
            <w:shd w:val="clear" w:color="auto" w:fill="auto"/>
            <w:noWrap/>
            <w:vAlign w:val="center"/>
            <w:hideMark/>
          </w:tcPr>
          <w:p w14:paraId="1A2C6F63" w14:textId="3E79BBA0"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c>
          <w:tcPr>
            <w:tcW w:w="1107" w:type="dxa"/>
            <w:tcBorders>
              <w:top w:val="nil"/>
              <w:left w:val="nil"/>
              <w:bottom w:val="nil"/>
              <w:right w:val="nil"/>
            </w:tcBorders>
            <w:shd w:val="clear" w:color="auto" w:fill="auto"/>
            <w:noWrap/>
            <w:vAlign w:val="center"/>
            <w:hideMark/>
          </w:tcPr>
          <w:p w14:paraId="35B9F1A5" w14:textId="5F1FC476"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420,</w:t>
            </w:r>
            <w:r w:rsidRPr="005C53F5">
              <w:rPr>
                <w:rFonts w:ascii="Times New Roman" w:eastAsia="Times New Roman" w:hAnsi="Times New Roman" w:cs="Times New Roman"/>
                <w:b/>
                <w:bCs/>
                <w:sz w:val="18"/>
                <w:szCs w:val="18"/>
                <w:lang w:eastAsia="ru-RU"/>
              </w:rPr>
              <w:t>8</w:t>
            </w:r>
          </w:p>
        </w:tc>
        <w:tc>
          <w:tcPr>
            <w:tcW w:w="1246" w:type="dxa"/>
            <w:tcBorders>
              <w:top w:val="nil"/>
              <w:left w:val="nil"/>
              <w:bottom w:val="nil"/>
              <w:right w:val="nil"/>
            </w:tcBorders>
            <w:shd w:val="clear" w:color="auto" w:fill="auto"/>
            <w:noWrap/>
            <w:vAlign w:val="center"/>
            <w:hideMark/>
          </w:tcPr>
          <w:p w14:paraId="39782820" w14:textId="5F7E419E"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9</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435,</w:t>
            </w:r>
            <w:r w:rsidRPr="005C53F5">
              <w:rPr>
                <w:rFonts w:ascii="Times New Roman" w:eastAsia="Times New Roman" w:hAnsi="Times New Roman" w:cs="Times New Roman"/>
                <w:b/>
                <w:bCs/>
                <w:sz w:val="18"/>
                <w:szCs w:val="18"/>
                <w:lang w:eastAsia="ru-RU"/>
              </w:rPr>
              <w:t>8</w:t>
            </w:r>
          </w:p>
        </w:tc>
        <w:tc>
          <w:tcPr>
            <w:tcW w:w="1191" w:type="dxa"/>
            <w:tcBorders>
              <w:top w:val="nil"/>
              <w:left w:val="nil"/>
              <w:bottom w:val="nil"/>
              <w:right w:val="nil"/>
            </w:tcBorders>
            <w:shd w:val="clear" w:color="auto" w:fill="auto"/>
            <w:noWrap/>
            <w:vAlign w:val="center"/>
            <w:hideMark/>
          </w:tcPr>
          <w:p w14:paraId="51A81DA7" w14:textId="17A4AEBC"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8</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445,</w:t>
            </w:r>
            <w:r w:rsidRPr="005C53F5">
              <w:rPr>
                <w:rFonts w:ascii="Times New Roman" w:eastAsia="Times New Roman" w:hAnsi="Times New Roman" w:cs="Times New Roman"/>
                <w:b/>
                <w:bCs/>
                <w:sz w:val="18"/>
                <w:szCs w:val="18"/>
                <w:lang w:eastAsia="ru-RU"/>
              </w:rPr>
              <w:t>7</w:t>
            </w:r>
          </w:p>
        </w:tc>
        <w:tc>
          <w:tcPr>
            <w:tcW w:w="1276" w:type="dxa"/>
            <w:tcBorders>
              <w:top w:val="nil"/>
              <w:left w:val="nil"/>
              <w:bottom w:val="nil"/>
              <w:right w:val="nil"/>
            </w:tcBorders>
            <w:shd w:val="clear" w:color="auto" w:fill="auto"/>
            <w:noWrap/>
            <w:vAlign w:val="center"/>
            <w:hideMark/>
          </w:tcPr>
          <w:p w14:paraId="39867B31" w14:textId="23D011CE"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319,</w:t>
            </w:r>
            <w:r w:rsidRPr="005C53F5">
              <w:rPr>
                <w:rFonts w:ascii="Times New Roman" w:eastAsia="Times New Roman" w:hAnsi="Times New Roman" w:cs="Times New Roman"/>
                <w:b/>
                <w:bCs/>
                <w:sz w:val="18"/>
                <w:szCs w:val="18"/>
                <w:lang w:eastAsia="ru-RU"/>
              </w:rPr>
              <w:t>6</w:t>
            </w:r>
          </w:p>
        </w:tc>
      </w:tr>
      <w:tr w:rsidR="006C578F" w:rsidRPr="005C53F5" w14:paraId="2ED4EA61" w14:textId="77777777" w:rsidTr="006C578F">
        <w:trPr>
          <w:trHeight w:val="255"/>
        </w:trPr>
        <w:tc>
          <w:tcPr>
            <w:tcW w:w="3402" w:type="dxa"/>
            <w:tcBorders>
              <w:top w:val="nil"/>
              <w:left w:val="nil"/>
              <w:bottom w:val="nil"/>
              <w:right w:val="nil"/>
            </w:tcBorders>
            <w:shd w:val="clear" w:color="auto" w:fill="auto"/>
            <w:hideMark/>
          </w:tcPr>
          <w:p w14:paraId="2729FC24" w14:textId="440F638D" w:rsidR="00F24250" w:rsidRPr="005C53F5" w:rsidRDefault="00F24250" w:rsidP="00057BE5">
            <w:pPr>
              <w:spacing w:after="0" w:line="240" w:lineRule="auto"/>
              <w:rPr>
                <w:rFonts w:ascii="Times New Roman" w:hAnsi="Times New Roman"/>
                <w:i/>
                <w:sz w:val="18"/>
              </w:rPr>
            </w:pPr>
            <w:r w:rsidRPr="005C53F5">
              <w:rPr>
                <w:rFonts w:ascii="Times New Roman" w:eastAsia="Times New Roman" w:hAnsi="Times New Roman" w:cs="Times New Roman"/>
                <w:i/>
                <w:iCs/>
                <w:sz w:val="18"/>
                <w:szCs w:val="18"/>
                <w:lang w:eastAsia="ru-RU"/>
              </w:rPr>
              <w:t>Поступления трансфертов</w:t>
            </w:r>
          </w:p>
        </w:tc>
        <w:tc>
          <w:tcPr>
            <w:tcW w:w="1417" w:type="dxa"/>
            <w:tcBorders>
              <w:top w:val="nil"/>
              <w:left w:val="nil"/>
              <w:bottom w:val="nil"/>
              <w:right w:val="nil"/>
            </w:tcBorders>
            <w:shd w:val="clear" w:color="auto" w:fill="auto"/>
            <w:noWrap/>
            <w:vAlign w:val="center"/>
            <w:hideMark/>
          </w:tcPr>
          <w:p w14:paraId="10BACB12" w14:textId="1D6AFAE8"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c>
          <w:tcPr>
            <w:tcW w:w="1107" w:type="dxa"/>
            <w:tcBorders>
              <w:top w:val="nil"/>
              <w:left w:val="nil"/>
              <w:bottom w:val="nil"/>
              <w:right w:val="nil"/>
            </w:tcBorders>
            <w:shd w:val="clear" w:color="auto" w:fill="auto"/>
            <w:noWrap/>
            <w:vAlign w:val="center"/>
            <w:hideMark/>
          </w:tcPr>
          <w:p w14:paraId="690D2AC8" w14:textId="2C28523A"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420,8</w:t>
            </w:r>
          </w:p>
        </w:tc>
        <w:tc>
          <w:tcPr>
            <w:tcW w:w="1246" w:type="dxa"/>
            <w:tcBorders>
              <w:top w:val="nil"/>
              <w:left w:val="nil"/>
              <w:bottom w:val="nil"/>
              <w:right w:val="nil"/>
            </w:tcBorders>
            <w:shd w:val="clear" w:color="auto" w:fill="auto"/>
            <w:noWrap/>
            <w:vAlign w:val="center"/>
            <w:hideMark/>
          </w:tcPr>
          <w:p w14:paraId="392F322B" w14:textId="21E73A89"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9 435,8</w:t>
            </w:r>
          </w:p>
        </w:tc>
        <w:tc>
          <w:tcPr>
            <w:tcW w:w="1191" w:type="dxa"/>
            <w:tcBorders>
              <w:top w:val="nil"/>
              <w:left w:val="nil"/>
              <w:bottom w:val="nil"/>
              <w:right w:val="nil"/>
            </w:tcBorders>
            <w:shd w:val="clear" w:color="auto" w:fill="auto"/>
            <w:noWrap/>
            <w:vAlign w:val="center"/>
            <w:hideMark/>
          </w:tcPr>
          <w:p w14:paraId="62A46A98" w14:textId="3EBD6DD7"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8 445,7</w:t>
            </w:r>
          </w:p>
        </w:tc>
        <w:tc>
          <w:tcPr>
            <w:tcW w:w="1276" w:type="dxa"/>
            <w:tcBorders>
              <w:top w:val="nil"/>
              <w:left w:val="nil"/>
              <w:bottom w:val="nil"/>
              <w:right w:val="nil"/>
            </w:tcBorders>
            <w:shd w:val="clear" w:color="auto" w:fill="auto"/>
            <w:noWrap/>
            <w:vAlign w:val="center"/>
            <w:hideMark/>
          </w:tcPr>
          <w:p w14:paraId="589A344A" w14:textId="042BA34E"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319,6</w:t>
            </w:r>
          </w:p>
        </w:tc>
      </w:tr>
      <w:tr w:rsidR="006C578F" w:rsidRPr="005C53F5" w14:paraId="193CEE5C" w14:textId="77777777" w:rsidTr="006C578F">
        <w:trPr>
          <w:trHeight w:val="480"/>
        </w:trPr>
        <w:tc>
          <w:tcPr>
            <w:tcW w:w="3402" w:type="dxa"/>
            <w:tcBorders>
              <w:top w:val="nil"/>
              <w:left w:val="nil"/>
              <w:bottom w:val="nil"/>
              <w:right w:val="nil"/>
            </w:tcBorders>
            <w:shd w:val="clear" w:color="000000" w:fill="FFFFFF"/>
            <w:vAlign w:val="center"/>
            <w:hideMark/>
          </w:tcPr>
          <w:p w14:paraId="39304981"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Иные поступления и доходы, не запрещенные законодательством Республики Казахстан</w:t>
            </w:r>
          </w:p>
        </w:tc>
        <w:tc>
          <w:tcPr>
            <w:tcW w:w="1417" w:type="dxa"/>
            <w:tcBorders>
              <w:top w:val="nil"/>
              <w:left w:val="nil"/>
              <w:bottom w:val="nil"/>
              <w:right w:val="nil"/>
            </w:tcBorders>
            <w:shd w:val="clear" w:color="auto" w:fill="auto"/>
            <w:noWrap/>
            <w:vAlign w:val="center"/>
            <w:hideMark/>
          </w:tcPr>
          <w:p w14:paraId="0C80B188" w14:textId="1924A4C8" w:rsidR="00F24250" w:rsidRPr="005C53F5" w:rsidRDefault="00F24250" w:rsidP="00057BE5">
            <w:pPr>
              <w:spacing w:after="0" w:line="240" w:lineRule="auto"/>
              <w:jc w:val="right"/>
              <w:rPr>
                <w:rFonts w:ascii="Times New Roman" w:hAnsi="Times New Roman"/>
                <w:b/>
                <w:sz w:val="18"/>
              </w:rPr>
            </w:pPr>
            <w:r w:rsidRPr="005C53F5">
              <w:rPr>
                <w:rFonts w:ascii="Times New Roman" w:eastAsia="Times New Roman" w:hAnsi="Times New Roman" w:cs="Times New Roman"/>
                <w:b/>
                <w:bCs/>
                <w:sz w:val="18"/>
                <w:szCs w:val="18"/>
                <w:lang w:eastAsia="ru-RU"/>
              </w:rPr>
              <w:t>0,0</w:t>
            </w:r>
          </w:p>
        </w:tc>
        <w:tc>
          <w:tcPr>
            <w:tcW w:w="1107" w:type="dxa"/>
            <w:tcBorders>
              <w:top w:val="nil"/>
              <w:left w:val="nil"/>
              <w:bottom w:val="nil"/>
              <w:right w:val="nil"/>
            </w:tcBorders>
            <w:shd w:val="clear" w:color="auto" w:fill="auto"/>
            <w:noWrap/>
            <w:vAlign w:val="center"/>
            <w:hideMark/>
          </w:tcPr>
          <w:p w14:paraId="402775D0" w14:textId="75A2ADA4"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537,</w:t>
            </w:r>
            <w:r w:rsidRPr="005C53F5">
              <w:rPr>
                <w:rFonts w:ascii="Times New Roman" w:eastAsia="Times New Roman" w:hAnsi="Times New Roman" w:cs="Times New Roman"/>
                <w:b/>
                <w:bCs/>
                <w:sz w:val="18"/>
                <w:szCs w:val="18"/>
                <w:lang w:eastAsia="ru-RU"/>
              </w:rPr>
              <w:t>8</w:t>
            </w:r>
          </w:p>
        </w:tc>
        <w:tc>
          <w:tcPr>
            <w:tcW w:w="1246" w:type="dxa"/>
            <w:tcBorders>
              <w:top w:val="nil"/>
              <w:left w:val="nil"/>
              <w:bottom w:val="nil"/>
              <w:right w:val="nil"/>
            </w:tcBorders>
            <w:shd w:val="clear" w:color="auto" w:fill="auto"/>
            <w:noWrap/>
            <w:vAlign w:val="center"/>
            <w:hideMark/>
          </w:tcPr>
          <w:p w14:paraId="44DF8A5F" w14:textId="7CEC6CA1" w:rsidR="00F24250" w:rsidRPr="005C53F5" w:rsidRDefault="00F24250" w:rsidP="00057BE5">
            <w:pPr>
              <w:spacing w:after="0" w:line="240" w:lineRule="auto"/>
              <w:jc w:val="right"/>
              <w:rPr>
                <w:rFonts w:ascii="Times New Roman" w:hAnsi="Times New Roman"/>
                <w:b/>
                <w:sz w:val="18"/>
              </w:rPr>
            </w:pPr>
            <w:r w:rsidRPr="005C53F5">
              <w:rPr>
                <w:rFonts w:ascii="Times New Roman" w:eastAsia="Times New Roman" w:hAnsi="Times New Roman" w:cs="Times New Roman"/>
                <w:b/>
                <w:bCs/>
                <w:sz w:val="18"/>
                <w:szCs w:val="18"/>
                <w:lang w:eastAsia="ru-RU"/>
              </w:rPr>
              <w:t>0,0</w:t>
            </w:r>
          </w:p>
        </w:tc>
        <w:tc>
          <w:tcPr>
            <w:tcW w:w="1191" w:type="dxa"/>
            <w:tcBorders>
              <w:top w:val="nil"/>
              <w:left w:val="nil"/>
              <w:bottom w:val="nil"/>
              <w:right w:val="nil"/>
            </w:tcBorders>
            <w:shd w:val="clear" w:color="auto" w:fill="auto"/>
            <w:noWrap/>
            <w:vAlign w:val="center"/>
            <w:hideMark/>
          </w:tcPr>
          <w:p w14:paraId="4ECC483C" w14:textId="151046AA" w:rsidR="00F24250" w:rsidRPr="005C53F5" w:rsidRDefault="00F24250" w:rsidP="00057BE5">
            <w:pPr>
              <w:spacing w:after="0" w:line="240" w:lineRule="auto"/>
              <w:jc w:val="right"/>
              <w:rPr>
                <w:rFonts w:ascii="Times New Roman" w:hAnsi="Times New Roman"/>
                <w:b/>
                <w:sz w:val="18"/>
              </w:rPr>
            </w:pPr>
            <w:r w:rsidRPr="005C53F5">
              <w:rPr>
                <w:rFonts w:ascii="Times New Roman" w:eastAsia="Times New Roman" w:hAnsi="Times New Roman" w:cs="Times New Roman"/>
                <w:b/>
                <w:bCs/>
                <w:sz w:val="18"/>
                <w:szCs w:val="18"/>
                <w:lang w:eastAsia="ru-RU"/>
              </w:rPr>
              <w:t>0,0</w:t>
            </w:r>
          </w:p>
        </w:tc>
        <w:tc>
          <w:tcPr>
            <w:tcW w:w="1276" w:type="dxa"/>
            <w:tcBorders>
              <w:top w:val="nil"/>
              <w:left w:val="nil"/>
              <w:bottom w:val="nil"/>
              <w:right w:val="nil"/>
            </w:tcBorders>
            <w:shd w:val="clear" w:color="auto" w:fill="auto"/>
            <w:noWrap/>
            <w:vAlign w:val="center"/>
            <w:hideMark/>
          </w:tcPr>
          <w:p w14:paraId="0DFC0AF4" w14:textId="6C5044DC"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5</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822,</w:t>
            </w:r>
            <w:r w:rsidRPr="005C53F5">
              <w:rPr>
                <w:rFonts w:ascii="Times New Roman" w:eastAsia="Times New Roman" w:hAnsi="Times New Roman" w:cs="Times New Roman"/>
                <w:b/>
                <w:bCs/>
                <w:sz w:val="18"/>
                <w:szCs w:val="18"/>
                <w:lang w:eastAsia="ru-RU"/>
              </w:rPr>
              <w:t>5</w:t>
            </w:r>
          </w:p>
        </w:tc>
      </w:tr>
      <w:tr w:rsidR="00F24250" w:rsidRPr="005C53F5" w14:paraId="54AE9D68" w14:textId="77777777" w:rsidTr="005C04E2">
        <w:trPr>
          <w:trHeight w:val="510"/>
        </w:trPr>
        <w:tc>
          <w:tcPr>
            <w:tcW w:w="3402" w:type="dxa"/>
            <w:tcBorders>
              <w:top w:val="nil"/>
              <w:left w:val="nil"/>
              <w:bottom w:val="nil"/>
              <w:right w:val="nil"/>
            </w:tcBorders>
            <w:shd w:val="clear" w:color="000000" w:fill="FFFFFF"/>
            <w:vAlign w:val="center"/>
            <w:hideMark/>
          </w:tcPr>
          <w:p w14:paraId="51911058" w14:textId="77777777" w:rsidR="00F24250" w:rsidRPr="005C53F5" w:rsidRDefault="00F24250" w:rsidP="00057BE5">
            <w:pPr>
              <w:spacing w:after="0" w:line="240" w:lineRule="auto"/>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 xml:space="preserve">Инвестиционные доходы от управления Национальным фондом </w:t>
            </w:r>
          </w:p>
        </w:tc>
        <w:tc>
          <w:tcPr>
            <w:tcW w:w="1417" w:type="dxa"/>
            <w:tcBorders>
              <w:top w:val="nil"/>
              <w:left w:val="nil"/>
              <w:bottom w:val="nil"/>
              <w:right w:val="nil"/>
            </w:tcBorders>
            <w:shd w:val="clear" w:color="auto" w:fill="auto"/>
            <w:noWrap/>
            <w:vAlign w:val="center"/>
            <w:hideMark/>
          </w:tcPr>
          <w:p w14:paraId="452CE067" w14:textId="77777777" w:rsidR="00F24250" w:rsidRPr="005C53F5" w:rsidRDefault="00F24250"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10 162 625,9</w:t>
            </w:r>
          </w:p>
        </w:tc>
        <w:tc>
          <w:tcPr>
            <w:tcW w:w="1107" w:type="dxa"/>
            <w:tcBorders>
              <w:top w:val="nil"/>
              <w:left w:val="nil"/>
              <w:bottom w:val="nil"/>
              <w:right w:val="nil"/>
            </w:tcBorders>
            <w:shd w:val="clear" w:color="auto" w:fill="auto"/>
            <w:noWrap/>
            <w:vAlign w:val="center"/>
            <w:hideMark/>
          </w:tcPr>
          <w:p w14:paraId="65A9A07D" w14:textId="77777777" w:rsidR="00F24250" w:rsidRPr="005C53F5" w:rsidRDefault="00F24250"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-155 070,6</w:t>
            </w:r>
          </w:p>
        </w:tc>
        <w:tc>
          <w:tcPr>
            <w:tcW w:w="1246" w:type="dxa"/>
            <w:tcBorders>
              <w:top w:val="nil"/>
              <w:left w:val="nil"/>
              <w:bottom w:val="nil"/>
              <w:right w:val="nil"/>
            </w:tcBorders>
            <w:shd w:val="clear" w:color="auto" w:fill="auto"/>
            <w:noWrap/>
            <w:vAlign w:val="center"/>
            <w:hideMark/>
          </w:tcPr>
          <w:p w14:paraId="377EC9C8" w14:textId="77777777" w:rsidR="00F24250" w:rsidRPr="005C53F5" w:rsidRDefault="00F24250"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1 429 000,2</w:t>
            </w:r>
          </w:p>
        </w:tc>
        <w:tc>
          <w:tcPr>
            <w:tcW w:w="1191" w:type="dxa"/>
            <w:tcBorders>
              <w:top w:val="nil"/>
              <w:left w:val="nil"/>
              <w:bottom w:val="nil"/>
              <w:right w:val="nil"/>
            </w:tcBorders>
            <w:shd w:val="clear" w:color="auto" w:fill="auto"/>
            <w:noWrap/>
            <w:vAlign w:val="center"/>
            <w:hideMark/>
          </w:tcPr>
          <w:p w14:paraId="160FC67D" w14:textId="77777777" w:rsidR="00F24250" w:rsidRPr="005C53F5" w:rsidRDefault="00F24250"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2 522 315,7</w:t>
            </w:r>
          </w:p>
        </w:tc>
        <w:tc>
          <w:tcPr>
            <w:tcW w:w="1276" w:type="dxa"/>
            <w:tcBorders>
              <w:top w:val="nil"/>
              <w:left w:val="nil"/>
              <w:bottom w:val="nil"/>
              <w:right w:val="nil"/>
            </w:tcBorders>
            <w:shd w:val="clear" w:color="auto" w:fill="auto"/>
            <w:noWrap/>
            <w:vAlign w:val="center"/>
            <w:hideMark/>
          </w:tcPr>
          <w:p w14:paraId="763E722A" w14:textId="77777777" w:rsidR="00F24250" w:rsidRPr="005C53F5" w:rsidRDefault="00F24250"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1 179 047,5</w:t>
            </w:r>
          </w:p>
        </w:tc>
      </w:tr>
      <w:tr w:rsidR="006C578F" w:rsidRPr="005C53F5" w14:paraId="2EC62614" w14:textId="77777777" w:rsidTr="006C578F">
        <w:trPr>
          <w:trHeight w:val="255"/>
        </w:trPr>
        <w:tc>
          <w:tcPr>
            <w:tcW w:w="3402" w:type="dxa"/>
            <w:tcBorders>
              <w:top w:val="nil"/>
              <w:left w:val="nil"/>
              <w:bottom w:val="nil"/>
              <w:right w:val="nil"/>
            </w:tcBorders>
            <w:shd w:val="clear" w:color="auto" w:fill="auto"/>
            <w:vAlign w:val="center"/>
            <w:hideMark/>
          </w:tcPr>
          <w:p w14:paraId="49D98B34"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II. ЗАТРАТЫ</w:t>
            </w:r>
          </w:p>
        </w:tc>
        <w:tc>
          <w:tcPr>
            <w:tcW w:w="1417" w:type="dxa"/>
            <w:tcBorders>
              <w:top w:val="nil"/>
              <w:left w:val="nil"/>
              <w:bottom w:val="nil"/>
              <w:right w:val="nil"/>
            </w:tcBorders>
            <w:shd w:val="clear" w:color="auto" w:fill="auto"/>
            <w:noWrap/>
            <w:vAlign w:val="center"/>
            <w:hideMark/>
          </w:tcPr>
          <w:p w14:paraId="39BE1D5D" w14:textId="55302BFE"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8</w:t>
            </w:r>
            <w:r w:rsidRPr="005C53F5">
              <w:rPr>
                <w:rFonts w:ascii="Times New Roman" w:eastAsia="Times New Roman" w:hAnsi="Times New Roman" w:cs="Times New Roman"/>
                <w:b/>
                <w:bCs/>
                <w:sz w:val="18"/>
                <w:szCs w:val="18"/>
                <w:lang w:eastAsia="ru-RU"/>
              </w:rPr>
              <w:t xml:space="preserve"> 239 </w:t>
            </w:r>
            <w:r w:rsidRPr="005C53F5">
              <w:rPr>
                <w:rFonts w:ascii="Times New Roman" w:hAnsi="Times New Roman"/>
                <w:b/>
                <w:sz w:val="18"/>
              </w:rPr>
              <w:t>251,</w:t>
            </w:r>
            <w:r w:rsidRPr="005C53F5">
              <w:rPr>
                <w:rFonts w:ascii="Times New Roman" w:eastAsia="Times New Roman" w:hAnsi="Times New Roman" w:cs="Times New Roman"/>
                <w:b/>
                <w:bCs/>
                <w:sz w:val="18"/>
                <w:szCs w:val="18"/>
                <w:lang w:eastAsia="ru-RU"/>
              </w:rPr>
              <w:t>1</w:t>
            </w:r>
          </w:p>
        </w:tc>
        <w:tc>
          <w:tcPr>
            <w:tcW w:w="1107" w:type="dxa"/>
            <w:tcBorders>
              <w:top w:val="nil"/>
              <w:left w:val="nil"/>
              <w:bottom w:val="nil"/>
              <w:right w:val="nil"/>
            </w:tcBorders>
            <w:shd w:val="clear" w:color="auto" w:fill="auto"/>
            <w:noWrap/>
            <w:vAlign w:val="center"/>
            <w:hideMark/>
          </w:tcPr>
          <w:p w14:paraId="4D793999" w14:textId="1CC2DFE5"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9</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452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553,</w:t>
            </w:r>
            <w:r w:rsidRPr="005C53F5">
              <w:rPr>
                <w:rFonts w:ascii="Times New Roman" w:eastAsia="Times New Roman" w:hAnsi="Times New Roman" w:cs="Times New Roman"/>
                <w:b/>
                <w:bCs/>
                <w:sz w:val="18"/>
                <w:szCs w:val="18"/>
                <w:lang w:eastAsia="ru-RU"/>
              </w:rPr>
              <w:t>5</w:t>
            </w:r>
          </w:p>
        </w:tc>
        <w:tc>
          <w:tcPr>
            <w:tcW w:w="1246" w:type="dxa"/>
            <w:tcBorders>
              <w:top w:val="nil"/>
              <w:left w:val="nil"/>
              <w:bottom w:val="nil"/>
              <w:right w:val="nil"/>
            </w:tcBorders>
            <w:shd w:val="clear" w:color="auto" w:fill="auto"/>
            <w:noWrap/>
            <w:vAlign w:val="center"/>
            <w:hideMark/>
          </w:tcPr>
          <w:p w14:paraId="3EA380FE" w14:textId="3265A769"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491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972,</w:t>
            </w:r>
            <w:r w:rsidRPr="005C53F5">
              <w:rPr>
                <w:rFonts w:ascii="Times New Roman" w:eastAsia="Times New Roman" w:hAnsi="Times New Roman" w:cs="Times New Roman"/>
                <w:b/>
                <w:bCs/>
                <w:sz w:val="18"/>
                <w:szCs w:val="18"/>
                <w:lang w:eastAsia="ru-RU"/>
              </w:rPr>
              <w:t>2</w:t>
            </w:r>
          </w:p>
        </w:tc>
        <w:tc>
          <w:tcPr>
            <w:tcW w:w="1191" w:type="dxa"/>
            <w:tcBorders>
              <w:top w:val="nil"/>
              <w:left w:val="nil"/>
              <w:bottom w:val="nil"/>
              <w:right w:val="nil"/>
            </w:tcBorders>
            <w:shd w:val="clear" w:color="auto" w:fill="auto"/>
            <w:noWrap/>
            <w:vAlign w:val="center"/>
            <w:hideMark/>
          </w:tcPr>
          <w:p w14:paraId="21986505" w14:textId="55FC9FF5"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364</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128,8</w:t>
            </w:r>
          </w:p>
        </w:tc>
        <w:tc>
          <w:tcPr>
            <w:tcW w:w="1276" w:type="dxa"/>
            <w:tcBorders>
              <w:top w:val="nil"/>
              <w:left w:val="nil"/>
              <w:bottom w:val="nil"/>
              <w:right w:val="nil"/>
            </w:tcBorders>
            <w:shd w:val="clear" w:color="auto" w:fill="auto"/>
            <w:noWrap/>
            <w:vAlign w:val="center"/>
            <w:hideMark/>
          </w:tcPr>
          <w:p w14:paraId="6E683500" w14:textId="257B63DF"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13</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535</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581,</w:t>
            </w:r>
            <w:r w:rsidRPr="005C53F5">
              <w:rPr>
                <w:rFonts w:ascii="Times New Roman" w:eastAsia="Times New Roman" w:hAnsi="Times New Roman" w:cs="Times New Roman"/>
                <w:b/>
                <w:bCs/>
                <w:sz w:val="18"/>
                <w:szCs w:val="18"/>
                <w:lang w:eastAsia="ru-RU"/>
              </w:rPr>
              <w:t>3</w:t>
            </w:r>
          </w:p>
        </w:tc>
      </w:tr>
      <w:tr w:rsidR="006C578F" w:rsidRPr="005C53F5" w14:paraId="17C0FAFD" w14:textId="77777777" w:rsidTr="006C578F">
        <w:trPr>
          <w:trHeight w:val="255"/>
        </w:trPr>
        <w:tc>
          <w:tcPr>
            <w:tcW w:w="3402" w:type="dxa"/>
            <w:tcBorders>
              <w:top w:val="nil"/>
              <w:left w:val="nil"/>
              <w:bottom w:val="nil"/>
              <w:right w:val="nil"/>
            </w:tcBorders>
            <w:shd w:val="clear" w:color="auto" w:fill="auto"/>
            <w:vAlign w:val="center"/>
            <w:hideMark/>
          </w:tcPr>
          <w:p w14:paraId="02AFA875"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Государственные услуги общего характера</w:t>
            </w:r>
          </w:p>
        </w:tc>
        <w:tc>
          <w:tcPr>
            <w:tcW w:w="1417" w:type="dxa"/>
            <w:tcBorders>
              <w:top w:val="nil"/>
              <w:left w:val="nil"/>
              <w:bottom w:val="nil"/>
              <w:right w:val="nil"/>
            </w:tcBorders>
            <w:shd w:val="clear" w:color="auto" w:fill="auto"/>
            <w:noWrap/>
            <w:vAlign w:val="center"/>
            <w:hideMark/>
          </w:tcPr>
          <w:p w14:paraId="27DE4628" w14:textId="3948D72F"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697</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301,</w:t>
            </w:r>
            <w:r w:rsidRPr="005C53F5">
              <w:rPr>
                <w:rFonts w:ascii="Times New Roman" w:eastAsia="Times New Roman" w:hAnsi="Times New Roman" w:cs="Times New Roman"/>
                <w:i/>
                <w:iCs/>
                <w:sz w:val="18"/>
                <w:szCs w:val="18"/>
                <w:lang w:eastAsia="ru-RU"/>
              </w:rPr>
              <w:t>7</w:t>
            </w:r>
          </w:p>
        </w:tc>
        <w:tc>
          <w:tcPr>
            <w:tcW w:w="1107" w:type="dxa"/>
            <w:tcBorders>
              <w:top w:val="nil"/>
              <w:left w:val="nil"/>
              <w:bottom w:val="nil"/>
              <w:right w:val="nil"/>
            </w:tcBorders>
            <w:shd w:val="clear" w:color="auto" w:fill="auto"/>
            <w:noWrap/>
            <w:vAlign w:val="center"/>
            <w:hideMark/>
          </w:tcPr>
          <w:p w14:paraId="1536221C" w14:textId="0E01233C"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622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484,</w:t>
            </w:r>
            <w:r w:rsidRPr="005C53F5">
              <w:rPr>
                <w:rFonts w:ascii="Times New Roman" w:eastAsia="Times New Roman" w:hAnsi="Times New Roman" w:cs="Times New Roman"/>
                <w:i/>
                <w:iCs/>
                <w:sz w:val="18"/>
                <w:szCs w:val="18"/>
                <w:lang w:eastAsia="ru-RU"/>
              </w:rPr>
              <w:t>3</w:t>
            </w:r>
          </w:p>
        </w:tc>
        <w:tc>
          <w:tcPr>
            <w:tcW w:w="1246" w:type="dxa"/>
            <w:tcBorders>
              <w:top w:val="nil"/>
              <w:left w:val="nil"/>
              <w:bottom w:val="nil"/>
              <w:right w:val="nil"/>
            </w:tcBorders>
            <w:shd w:val="clear" w:color="auto" w:fill="auto"/>
            <w:noWrap/>
            <w:vAlign w:val="center"/>
            <w:hideMark/>
          </w:tcPr>
          <w:p w14:paraId="58C751C7" w14:textId="1EBA82EE"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652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254,2</w:t>
            </w:r>
          </w:p>
        </w:tc>
        <w:tc>
          <w:tcPr>
            <w:tcW w:w="1191" w:type="dxa"/>
            <w:tcBorders>
              <w:top w:val="nil"/>
              <w:left w:val="nil"/>
              <w:bottom w:val="nil"/>
              <w:right w:val="nil"/>
            </w:tcBorders>
            <w:shd w:val="clear" w:color="auto" w:fill="auto"/>
            <w:noWrap/>
            <w:vAlign w:val="center"/>
            <w:hideMark/>
          </w:tcPr>
          <w:p w14:paraId="719935AD" w14:textId="7B4DD498"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611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025,</w:t>
            </w:r>
            <w:r w:rsidRPr="005C53F5">
              <w:rPr>
                <w:rFonts w:ascii="Times New Roman" w:eastAsia="Times New Roman" w:hAnsi="Times New Roman" w:cs="Times New Roman"/>
                <w:i/>
                <w:iCs/>
                <w:sz w:val="18"/>
                <w:szCs w:val="18"/>
                <w:lang w:eastAsia="ru-RU"/>
              </w:rPr>
              <w:t>8</w:t>
            </w:r>
          </w:p>
        </w:tc>
        <w:tc>
          <w:tcPr>
            <w:tcW w:w="1276" w:type="dxa"/>
            <w:tcBorders>
              <w:top w:val="nil"/>
              <w:left w:val="nil"/>
              <w:bottom w:val="nil"/>
              <w:right w:val="nil"/>
            </w:tcBorders>
            <w:shd w:val="clear" w:color="auto" w:fill="auto"/>
            <w:noWrap/>
            <w:vAlign w:val="center"/>
            <w:hideMark/>
          </w:tcPr>
          <w:p w14:paraId="1DAD2DC1" w14:textId="3A11AB4A"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744</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128,</w:t>
            </w:r>
            <w:r w:rsidRPr="005C53F5">
              <w:rPr>
                <w:rFonts w:ascii="Times New Roman" w:eastAsia="Times New Roman" w:hAnsi="Times New Roman" w:cs="Times New Roman"/>
                <w:i/>
                <w:iCs/>
                <w:sz w:val="18"/>
                <w:szCs w:val="18"/>
                <w:lang w:eastAsia="ru-RU"/>
              </w:rPr>
              <w:t>4</w:t>
            </w:r>
          </w:p>
        </w:tc>
      </w:tr>
      <w:tr w:rsidR="006C578F" w:rsidRPr="005C53F5" w14:paraId="24373260" w14:textId="77777777" w:rsidTr="006C578F">
        <w:trPr>
          <w:trHeight w:val="255"/>
        </w:trPr>
        <w:tc>
          <w:tcPr>
            <w:tcW w:w="3402" w:type="dxa"/>
            <w:tcBorders>
              <w:top w:val="nil"/>
              <w:left w:val="nil"/>
              <w:bottom w:val="nil"/>
              <w:right w:val="nil"/>
            </w:tcBorders>
            <w:shd w:val="clear" w:color="auto" w:fill="auto"/>
            <w:vAlign w:val="center"/>
            <w:hideMark/>
          </w:tcPr>
          <w:p w14:paraId="61698663"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Оборона</w:t>
            </w:r>
          </w:p>
        </w:tc>
        <w:tc>
          <w:tcPr>
            <w:tcW w:w="1417" w:type="dxa"/>
            <w:tcBorders>
              <w:top w:val="nil"/>
              <w:left w:val="nil"/>
              <w:bottom w:val="nil"/>
              <w:right w:val="nil"/>
            </w:tcBorders>
            <w:shd w:val="clear" w:color="auto" w:fill="auto"/>
            <w:noWrap/>
            <w:vAlign w:val="center"/>
            <w:hideMark/>
          </w:tcPr>
          <w:p w14:paraId="285572EF" w14:textId="52E50F1F"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453</w:t>
            </w:r>
            <w:r w:rsidRPr="005C53F5">
              <w:rPr>
                <w:rFonts w:ascii="Times New Roman" w:eastAsia="Times New Roman" w:hAnsi="Times New Roman" w:cs="Times New Roman"/>
                <w:i/>
                <w:iCs/>
                <w:sz w:val="18"/>
                <w:szCs w:val="18"/>
                <w:lang w:eastAsia="ru-RU"/>
              </w:rPr>
              <w:t xml:space="preserve"> 682,0</w:t>
            </w:r>
          </w:p>
        </w:tc>
        <w:tc>
          <w:tcPr>
            <w:tcW w:w="1107" w:type="dxa"/>
            <w:tcBorders>
              <w:top w:val="nil"/>
              <w:left w:val="nil"/>
              <w:bottom w:val="nil"/>
              <w:right w:val="nil"/>
            </w:tcBorders>
            <w:shd w:val="clear" w:color="auto" w:fill="auto"/>
            <w:noWrap/>
            <w:vAlign w:val="center"/>
            <w:hideMark/>
          </w:tcPr>
          <w:p w14:paraId="71271509" w14:textId="6E1D2B00"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438</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499,4</w:t>
            </w:r>
          </w:p>
        </w:tc>
        <w:tc>
          <w:tcPr>
            <w:tcW w:w="1246" w:type="dxa"/>
            <w:tcBorders>
              <w:top w:val="nil"/>
              <w:left w:val="nil"/>
              <w:bottom w:val="nil"/>
              <w:right w:val="nil"/>
            </w:tcBorders>
            <w:shd w:val="clear" w:color="auto" w:fill="auto"/>
            <w:noWrap/>
            <w:vAlign w:val="center"/>
            <w:hideMark/>
          </w:tcPr>
          <w:p w14:paraId="035EEEC9" w14:textId="6D42D8C7"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452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375,</w:t>
            </w:r>
            <w:r w:rsidRPr="005C53F5">
              <w:rPr>
                <w:rFonts w:ascii="Times New Roman" w:eastAsia="Times New Roman" w:hAnsi="Times New Roman" w:cs="Times New Roman"/>
                <w:i/>
                <w:iCs/>
                <w:sz w:val="18"/>
                <w:szCs w:val="18"/>
                <w:lang w:eastAsia="ru-RU"/>
              </w:rPr>
              <w:t>2</w:t>
            </w:r>
          </w:p>
        </w:tc>
        <w:tc>
          <w:tcPr>
            <w:tcW w:w="1191" w:type="dxa"/>
            <w:tcBorders>
              <w:top w:val="nil"/>
              <w:left w:val="nil"/>
              <w:bottom w:val="nil"/>
              <w:right w:val="nil"/>
            </w:tcBorders>
            <w:shd w:val="clear" w:color="auto" w:fill="auto"/>
            <w:noWrap/>
            <w:vAlign w:val="center"/>
            <w:hideMark/>
          </w:tcPr>
          <w:p w14:paraId="6BFB59E0" w14:textId="1F71C006"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542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129,</w:t>
            </w:r>
            <w:r w:rsidRPr="005C53F5">
              <w:rPr>
                <w:rFonts w:ascii="Times New Roman" w:eastAsia="Times New Roman" w:hAnsi="Times New Roman" w:cs="Times New Roman"/>
                <w:i/>
                <w:iCs/>
                <w:sz w:val="18"/>
                <w:szCs w:val="18"/>
                <w:lang w:eastAsia="ru-RU"/>
              </w:rPr>
              <w:t>4</w:t>
            </w:r>
          </w:p>
        </w:tc>
        <w:tc>
          <w:tcPr>
            <w:tcW w:w="1276" w:type="dxa"/>
            <w:tcBorders>
              <w:top w:val="nil"/>
              <w:left w:val="nil"/>
              <w:bottom w:val="nil"/>
              <w:right w:val="nil"/>
            </w:tcBorders>
            <w:shd w:val="clear" w:color="auto" w:fill="auto"/>
            <w:noWrap/>
            <w:vAlign w:val="center"/>
            <w:hideMark/>
          </w:tcPr>
          <w:p w14:paraId="24B3E3CF" w14:textId="625A4B7B"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738</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655,</w:t>
            </w:r>
            <w:r w:rsidRPr="005C53F5">
              <w:rPr>
                <w:rFonts w:ascii="Times New Roman" w:eastAsia="Times New Roman" w:hAnsi="Times New Roman" w:cs="Times New Roman"/>
                <w:i/>
                <w:iCs/>
                <w:sz w:val="18"/>
                <w:szCs w:val="18"/>
                <w:lang w:eastAsia="ru-RU"/>
              </w:rPr>
              <w:t>3</w:t>
            </w:r>
          </w:p>
        </w:tc>
      </w:tr>
      <w:tr w:rsidR="006C578F" w:rsidRPr="005C53F5" w14:paraId="7DCEF266" w14:textId="77777777" w:rsidTr="006C578F">
        <w:trPr>
          <w:trHeight w:val="765"/>
        </w:trPr>
        <w:tc>
          <w:tcPr>
            <w:tcW w:w="3402" w:type="dxa"/>
            <w:tcBorders>
              <w:top w:val="nil"/>
              <w:left w:val="nil"/>
              <w:bottom w:val="nil"/>
              <w:right w:val="nil"/>
            </w:tcBorders>
            <w:shd w:val="clear" w:color="auto" w:fill="auto"/>
            <w:vAlign w:val="center"/>
            <w:hideMark/>
          </w:tcPr>
          <w:p w14:paraId="74944CDC"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Общественный порядок, безопасность, правовая, судебная, уголовно-исполнительная деятельность</w:t>
            </w:r>
          </w:p>
        </w:tc>
        <w:tc>
          <w:tcPr>
            <w:tcW w:w="1417" w:type="dxa"/>
            <w:tcBorders>
              <w:top w:val="nil"/>
              <w:left w:val="nil"/>
              <w:bottom w:val="nil"/>
              <w:right w:val="nil"/>
            </w:tcBorders>
            <w:shd w:val="clear" w:color="auto" w:fill="auto"/>
            <w:noWrap/>
            <w:vAlign w:val="center"/>
            <w:hideMark/>
          </w:tcPr>
          <w:p w14:paraId="785598C4" w14:textId="74C7AAF0"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557</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438,</w:t>
            </w:r>
            <w:r w:rsidRPr="005C53F5">
              <w:rPr>
                <w:rFonts w:ascii="Times New Roman" w:eastAsia="Times New Roman" w:hAnsi="Times New Roman" w:cs="Times New Roman"/>
                <w:i/>
                <w:iCs/>
                <w:sz w:val="18"/>
                <w:szCs w:val="18"/>
                <w:lang w:eastAsia="ru-RU"/>
              </w:rPr>
              <w:t>7</w:t>
            </w:r>
          </w:p>
        </w:tc>
        <w:tc>
          <w:tcPr>
            <w:tcW w:w="1107" w:type="dxa"/>
            <w:tcBorders>
              <w:top w:val="nil"/>
              <w:left w:val="nil"/>
              <w:bottom w:val="nil"/>
              <w:right w:val="nil"/>
            </w:tcBorders>
            <w:shd w:val="clear" w:color="auto" w:fill="auto"/>
            <w:noWrap/>
            <w:vAlign w:val="center"/>
            <w:hideMark/>
          </w:tcPr>
          <w:p w14:paraId="06D2995B" w14:textId="30519D97"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584</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169,</w:t>
            </w:r>
            <w:r w:rsidRPr="005C53F5">
              <w:rPr>
                <w:rFonts w:ascii="Times New Roman" w:eastAsia="Times New Roman" w:hAnsi="Times New Roman" w:cs="Times New Roman"/>
                <w:i/>
                <w:iCs/>
                <w:sz w:val="18"/>
                <w:szCs w:val="18"/>
                <w:lang w:eastAsia="ru-RU"/>
              </w:rPr>
              <w:t>5</w:t>
            </w:r>
          </w:p>
        </w:tc>
        <w:tc>
          <w:tcPr>
            <w:tcW w:w="1246" w:type="dxa"/>
            <w:tcBorders>
              <w:top w:val="nil"/>
              <w:left w:val="nil"/>
              <w:bottom w:val="nil"/>
              <w:right w:val="nil"/>
            </w:tcBorders>
            <w:shd w:val="clear" w:color="auto" w:fill="auto"/>
            <w:noWrap/>
            <w:vAlign w:val="center"/>
            <w:hideMark/>
          </w:tcPr>
          <w:p w14:paraId="5851FF2A" w14:textId="0D9A470F"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709</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711,</w:t>
            </w:r>
            <w:r w:rsidRPr="005C53F5">
              <w:rPr>
                <w:rFonts w:ascii="Times New Roman" w:eastAsia="Times New Roman" w:hAnsi="Times New Roman" w:cs="Times New Roman"/>
                <w:i/>
                <w:iCs/>
                <w:sz w:val="18"/>
                <w:szCs w:val="18"/>
                <w:lang w:eastAsia="ru-RU"/>
              </w:rPr>
              <w:t>6</w:t>
            </w:r>
          </w:p>
        </w:tc>
        <w:tc>
          <w:tcPr>
            <w:tcW w:w="1191" w:type="dxa"/>
            <w:tcBorders>
              <w:top w:val="nil"/>
              <w:left w:val="nil"/>
              <w:bottom w:val="nil"/>
              <w:right w:val="nil"/>
            </w:tcBorders>
            <w:shd w:val="clear" w:color="auto" w:fill="auto"/>
            <w:noWrap/>
            <w:vAlign w:val="center"/>
            <w:hideMark/>
          </w:tcPr>
          <w:p w14:paraId="5CB6D68E" w14:textId="3364F24C"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795</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089,</w:t>
            </w:r>
            <w:r w:rsidRPr="005C53F5">
              <w:rPr>
                <w:rFonts w:ascii="Times New Roman" w:eastAsia="Times New Roman" w:hAnsi="Times New Roman" w:cs="Times New Roman"/>
                <w:i/>
                <w:iCs/>
                <w:sz w:val="18"/>
                <w:szCs w:val="18"/>
                <w:lang w:eastAsia="ru-RU"/>
              </w:rPr>
              <w:t>6</w:t>
            </w:r>
          </w:p>
        </w:tc>
        <w:tc>
          <w:tcPr>
            <w:tcW w:w="1276" w:type="dxa"/>
            <w:tcBorders>
              <w:top w:val="nil"/>
              <w:left w:val="nil"/>
              <w:bottom w:val="nil"/>
              <w:right w:val="nil"/>
            </w:tcBorders>
            <w:shd w:val="clear" w:color="auto" w:fill="auto"/>
            <w:noWrap/>
            <w:vAlign w:val="center"/>
            <w:hideMark/>
          </w:tcPr>
          <w:p w14:paraId="6D51FFCB" w14:textId="7C1CAA7B"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833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305,</w:t>
            </w:r>
            <w:r w:rsidRPr="005C53F5">
              <w:rPr>
                <w:rFonts w:ascii="Times New Roman" w:eastAsia="Times New Roman" w:hAnsi="Times New Roman" w:cs="Times New Roman"/>
                <w:i/>
                <w:iCs/>
                <w:sz w:val="18"/>
                <w:szCs w:val="18"/>
                <w:lang w:eastAsia="ru-RU"/>
              </w:rPr>
              <w:t>5</w:t>
            </w:r>
          </w:p>
        </w:tc>
      </w:tr>
      <w:tr w:rsidR="006C578F" w:rsidRPr="005C53F5" w14:paraId="7E44CBD9" w14:textId="77777777" w:rsidTr="006C578F">
        <w:trPr>
          <w:trHeight w:val="255"/>
        </w:trPr>
        <w:tc>
          <w:tcPr>
            <w:tcW w:w="3402" w:type="dxa"/>
            <w:tcBorders>
              <w:top w:val="nil"/>
              <w:left w:val="nil"/>
              <w:bottom w:val="nil"/>
              <w:right w:val="nil"/>
            </w:tcBorders>
            <w:shd w:val="clear" w:color="auto" w:fill="auto"/>
            <w:vAlign w:val="center"/>
            <w:hideMark/>
          </w:tcPr>
          <w:p w14:paraId="07362360"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Образование</w:t>
            </w:r>
          </w:p>
        </w:tc>
        <w:tc>
          <w:tcPr>
            <w:tcW w:w="1417" w:type="dxa"/>
            <w:tcBorders>
              <w:top w:val="nil"/>
              <w:left w:val="nil"/>
              <w:bottom w:val="nil"/>
              <w:right w:val="nil"/>
            </w:tcBorders>
            <w:shd w:val="clear" w:color="auto" w:fill="auto"/>
            <w:noWrap/>
            <w:vAlign w:val="center"/>
            <w:hideMark/>
          </w:tcPr>
          <w:p w14:paraId="42F7D824" w14:textId="2DC18462"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364</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736,</w:t>
            </w:r>
            <w:r w:rsidRPr="005C53F5">
              <w:rPr>
                <w:rFonts w:ascii="Times New Roman" w:eastAsia="Times New Roman" w:hAnsi="Times New Roman" w:cs="Times New Roman"/>
                <w:i/>
                <w:iCs/>
                <w:sz w:val="18"/>
                <w:szCs w:val="18"/>
                <w:lang w:eastAsia="ru-RU"/>
              </w:rPr>
              <w:t>6</w:t>
            </w:r>
          </w:p>
        </w:tc>
        <w:tc>
          <w:tcPr>
            <w:tcW w:w="1107" w:type="dxa"/>
            <w:tcBorders>
              <w:top w:val="nil"/>
              <w:left w:val="nil"/>
              <w:bottom w:val="nil"/>
              <w:right w:val="nil"/>
            </w:tcBorders>
            <w:shd w:val="clear" w:color="auto" w:fill="auto"/>
            <w:noWrap/>
            <w:vAlign w:val="center"/>
            <w:hideMark/>
          </w:tcPr>
          <w:p w14:paraId="392BB4BF" w14:textId="079A022F"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669</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398,</w:t>
            </w:r>
            <w:r w:rsidRPr="005C53F5">
              <w:rPr>
                <w:rFonts w:ascii="Times New Roman" w:eastAsia="Times New Roman" w:hAnsi="Times New Roman" w:cs="Times New Roman"/>
                <w:i/>
                <w:iCs/>
                <w:sz w:val="18"/>
                <w:szCs w:val="18"/>
                <w:lang w:eastAsia="ru-RU"/>
              </w:rPr>
              <w:t>2</w:t>
            </w:r>
          </w:p>
        </w:tc>
        <w:tc>
          <w:tcPr>
            <w:tcW w:w="1246" w:type="dxa"/>
            <w:tcBorders>
              <w:top w:val="nil"/>
              <w:left w:val="nil"/>
              <w:bottom w:val="nil"/>
              <w:right w:val="nil"/>
            </w:tcBorders>
            <w:shd w:val="clear" w:color="auto" w:fill="auto"/>
            <w:noWrap/>
            <w:vAlign w:val="center"/>
            <w:hideMark/>
          </w:tcPr>
          <w:p w14:paraId="5CC1CACB" w14:textId="60B7EBF2"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843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242,</w:t>
            </w:r>
            <w:r w:rsidRPr="005C53F5">
              <w:rPr>
                <w:rFonts w:ascii="Times New Roman" w:eastAsia="Times New Roman" w:hAnsi="Times New Roman" w:cs="Times New Roman"/>
                <w:i/>
                <w:iCs/>
                <w:sz w:val="18"/>
                <w:szCs w:val="18"/>
                <w:lang w:eastAsia="ru-RU"/>
              </w:rPr>
              <w:t>5</w:t>
            </w:r>
          </w:p>
        </w:tc>
        <w:tc>
          <w:tcPr>
            <w:tcW w:w="1191" w:type="dxa"/>
            <w:tcBorders>
              <w:top w:val="nil"/>
              <w:left w:val="nil"/>
              <w:bottom w:val="nil"/>
              <w:right w:val="nil"/>
            </w:tcBorders>
            <w:shd w:val="clear" w:color="auto" w:fill="auto"/>
            <w:noWrap/>
            <w:vAlign w:val="center"/>
            <w:hideMark/>
          </w:tcPr>
          <w:p w14:paraId="118DAB8F" w14:textId="33C3352D"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948</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476,</w:t>
            </w:r>
            <w:r w:rsidRPr="005C53F5">
              <w:rPr>
                <w:rFonts w:ascii="Times New Roman" w:eastAsia="Times New Roman" w:hAnsi="Times New Roman" w:cs="Times New Roman"/>
                <w:i/>
                <w:iCs/>
                <w:sz w:val="18"/>
                <w:szCs w:val="18"/>
                <w:lang w:eastAsia="ru-RU"/>
              </w:rPr>
              <w:t>9</w:t>
            </w:r>
          </w:p>
        </w:tc>
        <w:tc>
          <w:tcPr>
            <w:tcW w:w="1276" w:type="dxa"/>
            <w:tcBorders>
              <w:top w:val="nil"/>
              <w:left w:val="nil"/>
              <w:bottom w:val="nil"/>
              <w:right w:val="nil"/>
            </w:tcBorders>
            <w:shd w:val="clear" w:color="auto" w:fill="auto"/>
            <w:noWrap/>
            <w:vAlign w:val="center"/>
            <w:hideMark/>
          </w:tcPr>
          <w:p w14:paraId="02FB5050" w14:textId="60C25D40"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332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035,</w:t>
            </w:r>
            <w:r w:rsidRPr="005C53F5">
              <w:rPr>
                <w:rFonts w:ascii="Times New Roman" w:eastAsia="Times New Roman" w:hAnsi="Times New Roman" w:cs="Times New Roman"/>
                <w:i/>
                <w:iCs/>
                <w:sz w:val="18"/>
                <w:szCs w:val="18"/>
                <w:lang w:eastAsia="ru-RU"/>
              </w:rPr>
              <w:t>4</w:t>
            </w:r>
          </w:p>
        </w:tc>
      </w:tr>
      <w:tr w:rsidR="006C578F" w:rsidRPr="005C53F5" w14:paraId="64DFCA64" w14:textId="77777777" w:rsidTr="006C578F">
        <w:trPr>
          <w:trHeight w:val="255"/>
        </w:trPr>
        <w:tc>
          <w:tcPr>
            <w:tcW w:w="3402" w:type="dxa"/>
            <w:tcBorders>
              <w:top w:val="nil"/>
              <w:left w:val="nil"/>
              <w:bottom w:val="nil"/>
              <w:right w:val="nil"/>
            </w:tcBorders>
            <w:shd w:val="clear" w:color="auto" w:fill="auto"/>
            <w:vAlign w:val="center"/>
            <w:hideMark/>
          </w:tcPr>
          <w:p w14:paraId="304D4C48"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Здравоохранение</w:t>
            </w:r>
          </w:p>
        </w:tc>
        <w:tc>
          <w:tcPr>
            <w:tcW w:w="1417" w:type="dxa"/>
            <w:tcBorders>
              <w:top w:val="nil"/>
              <w:left w:val="nil"/>
              <w:bottom w:val="nil"/>
              <w:right w:val="nil"/>
            </w:tcBorders>
            <w:shd w:val="clear" w:color="auto" w:fill="auto"/>
            <w:noWrap/>
            <w:vAlign w:val="center"/>
            <w:hideMark/>
          </w:tcPr>
          <w:p w14:paraId="207427B9" w14:textId="22218BF1"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863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899,</w:t>
            </w:r>
            <w:r w:rsidRPr="005C53F5">
              <w:rPr>
                <w:rFonts w:ascii="Times New Roman" w:eastAsia="Times New Roman" w:hAnsi="Times New Roman" w:cs="Times New Roman"/>
                <w:i/>
                <w:iCs/>
                <w:sz w:val="18"/>
                <w:szCs w:val="18"/>
                <w:lang w:eastAsia="ru-RU"/>
              </w:rPr>
              <w:t>1</w:t>
            </w:r>
          </w:p>
        </w:tc>
        <w:tc>
          <w:tcPr>
            <w:tcW w:w="1107" w:type="dxa"/>
            <w:tcBorders>
              <w:top w:val="nil"/>
              <w:left w:val="nil"/>
              <w:bottom w:val="nil"/>
              <w:right w:val="nil"/>
            </w:tcBorders>
            <w:shd w:val="clear" w:color="auto" w:fill="auto"/>
            <w:noWrap/>
            <w:vAlign w:val="center"/>
            <w:hideMark/>
          </w:tcPr>
          <w:p w14:paraId="23249536" w14:textId="26C49B69"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039</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575,</w:t>
            </w:r>
            <w:r w:rsidRPr="005C53F5">
              <w:rPr>
                <w:rFonts w:ascii="Times New Roman" w:eastAsia="Times New Roman" w:hAnsi="Times New Roman" w:cs="Times New Roman"/>
                <w:i/>
                <w:iCs/>
                <w:sz w:val="18"/>
                <w:szCs w:val="18"/>
                <w:lang w:eastAsia="ru-RU"/>
              </w:rPr>
              <w:t>7</w:t>
            </w:r>
          </w:p>
        </w:tc>
        <w:tc>
          <w:tcPr>
            <w:tcW w:w="1246" w:type="dxa"/>
            <w:tcBorders>
              <w:top w:val="nil"/>
              <w:left w:val="nil"/>
              <w:bottom w:val="nil"/>
              <w:right w:val="nil"/>
            </w:tcBorders>
            <w:shd w:val="clear" w:color="auto" w:fill="auto"/>
            <w:noWrap/>
            <w:vAlign w:val="center"/>
            <w:hideMark/>
          </w:tcPr>
          <w:p w14:paraId="4D7D0A83" w14:textId="50B3D2FF"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128</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316,</w:t>
            </w:r>
            <w:r w:rsidRPr="005C53F5">
              <w:rPr>
                <w:rFonts w:ascii="Times New Roman" w:eastAsia="Times New Roman" w:hAnsi="Times New Roman" w:cs="Times New Roman"/>
                <w:i/>
                <w:iCs/>
                <w:sz w:val="18"/>
                <w:szCs w:val="18"/>
                <w:lang w:eastAsia="ru-RU"/>
              </w:rPr>
              <w:t>1</w:t>
            </w:r>
          </w:p>
        </w:tc>
        <w:tc>
          <w:tcPr>
            <w:tcW w:w="1191" w:type="dxa"/>
            <w:tcBorders>
              <w:top w:val="nil"/>
              <w:left w:val="nil"/>
              <w:bottom w:val="nil"/>
              <w:right w:val="nil"/>
            </w:tcBorders>
            <w:shd w:val="clear" w:color="auto" w:fill="auto"/>
            <w:noWrap/>
            <w:vAlign w:val="center"/>
            <w:hideMark/>
          </w:tcPr>
          <w:p w14:paraId="510931E2" w14:textId="24B7D857"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173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312,</w:t>
            </w:r>
            <w:r w:rsidRPr="005C53F5">
              <w:rPr>
                <w:rFonts w:ascii="Times New Roman" w:eastAsia="Times New Roman" w:hAnsi="Times New Roman" w:cs="Times New Roman"/>
                <w:i/>
                <w:iCs/>
                <w:sz w:val="18"/>
                <w:szCs w:val="18"/>
                <w:lang w:eastAsia="ru-RU"/>
              </w:rPr>
              <w:t>6</w:t>
            </w:r>
          </w:p>
        </w:tc>
        <w:tc>
          <w:tcPr>
            <w:tcW w:w="1276" w:type="dxa"/>
            <w:tcBorders>
              <w:top w:val="nil"/>
              <w:left w:val="nil"/>
              <w:bottom w:val="nil"/>
              <w:right w:val="nil"/>
            </w:tcBorders>
            <w:shd w:val="clear" w:color="auto" w:fill="auto"/>
            <w:noWrap/>
            <w:vAlign w:val="center"/>
            <w:hideMark/>
          </w:tcPr>
          <w:p w14:paraId="68CB9353" w14:textId="5B2B8CB1"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291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789,</w:t>
            </w:r>
            <w:r w:rsidRPr="005C53F5">
              <w:rPr>
                <w:rFonts w:ascii="Times New Roman" w:eastAsia="Times New Roman" w:hAnsi="Times New Roman" w:cs="Times New Roman"/>
                <w:i/>
                <w:iCs/>
                <w:sz w:val="18"/>
                <w:szCs w:val="18"/>
                <w:lang w:eastAsia="ru-RU"/>
              </w:rPr>
              <w:t>1</w:t>
            </w:r>
          </w:p>
        </w:tc>
      </w:tr>
      <w:tr w:rsidR="006C578F" w:rsidRPr="005C53F5" w14:paraId="3AAA112D" w14:textId="77777777" w:rsidTr="006C578F">
        <w:trPr>
          <w:trHeight w:val="255"/>
        </w:trPr>
        <w:tc>
          <w:tcPr>
            <w:tcW w:w="3402" w:type="dxa"/>
            <w:tcBorders>
              <w:top w:val="nil"/>
              <w:left w:val="nil"/>
              <w:bottom w:val="nil"/>
              <w:right w:val="nil"/>
            </w:tcBorders>
            <w:shd w:val="clear" w:color="auto" w:fill="auto"/>
            <w:vAlign w:val="center"/>
            <w:hideMark/>
          </w:tcPr>
          <w:p w14:paraId="7864461A"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Социальная помощь и социальное обеспечение</w:t>
            </w:r>
          </w:p>
        </w:tc>
        <w:tc>
          <w:tcPr>
            <w:tcW w:w="1417" w:type="dxa"/>
            <w:tcBorders>
              <w:top w:val="nil"/>
              <w:left w:val="nil"/>
              <w:bottom w:val="nil"/>
              <w:right w:val="nil"/>
            </w:tcBorders>
            <w:shd w:val="clear" w:color="auto" w:fill="auto"/>
            <w:noWrap/>
            <w:vAlign w:val="center"/>
            <w:hideMark/>
          </w:tcPr>
          <w:p w14:paraId="39E2433D" w14:textId="4CF2AAF7"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713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451,</w:t>
            </w:r>
            <w:r w:rsidRPr="005C53F5">
              <w:rPr>
                <w:rFonts w:ascii="Times New Roman" w:eastAsia="Times New Roman" w:hAnsi="Times New Roman" w:cs="Times New Roman"/>
                <w:i/>
                <w:iCs/>
                <w:sz w:val="18"/>
                <w:szCs w:val="18"/>
                <w:lang w:eastAsia="ru-RU"/>
              </w:rPr>
              <w:t>2</w:t>
            </w:r>
          </w:p>
        </w:tc>
        <w:tc>
          <w:tcPr>
            <w:tcW w:w="1107" w:type="dxa"/>
            <w:tcBorders>
              <w:top w:val="nil"/>
              <w:left w:val="nil"/>
              <w:bottom w:val="nil"/>
              <w:right w:val="nil"/>
            </w:tcBorders>
            <w:shd w:val="clear" w:color="auto" w:fill="auto"/>
            <w:noWrap/>
            <w:vAlign w:val="center"/>
            <w:hideMark/>
          </w:tcPr>
          <w:p w14:paraId="383A554D" w14:textId="5E68F7D3"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977</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314,</w:t>
            </w:r>
            <w:r w:rsidRPr="005C53F5">
              <w:rPr>
                <w:rFonts w:ascii="Times New Roman" w:eastAsia="Times New Roman" w:hAnsi="Times New Roman" w:cs="Times New Roman"/>
                <w:i/>
                <w:iCs/>
                <w:sz w:val="18"/>
                <w:szCs w:val="18"/>
                <w:lang w:eastAsia="ru-RU"/>
              </w:rPr>
              <w:t>8</w:t>
            </w:r>
          </w:p>
        </w:tc>
        <w:tc>
          <w:tcPr>
            <w:tcW w:w="1246" w:type="dxa"/>
            <w:tcBorders>
              <w:top w:val="nil"/>
              <w:left w:val="nil"/>
              <w:bottom w:val="nil"/>
              <w:right w:val="nil"/>
            </w:tcBorders>
            <w:shd w:val="clear" w:color="auto" w:fill="auto"/>
            <w:noWrap/>
            <w:vAlign w:val="center"/>
            <w:hideMark/>
          </w:tcPr>
          <w:p w14:paraId="30E73228" w14:textId="2E66F06A"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302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330,</w:t>
            </w:r>
            <w:r w:rsidRPr="005C53F5">
              <w:rPr>
                <w:rFonts w:ascii="Times New Roman" w:eastAsia="Times New Roman" w:hAnsi="Times New Roman" w:cs="Times New Roman"/>
                <w:i/>
                <w:iCs/>
                <w:sz w:val="18"/>
                <w:szCs w:val="18"/>
                <w:lang w:eastAsia="ru-RU"/>
              </w:rPr>
              <w:t>5</w:t>
            </w:r>
          </w:p>
        </w:tc>
        <w:tc>
          <w:tcPr>
            <w:tcW w:w="1191" w:type="dxa"/>
            <w:tcBorders>
              <w:top w:val="nil"/>
              <w:left w:val="nil"/>
              <w:bottom w:val="nil"/>
              <w:right w:val="nil"/>
            </w:tcBorders>
            <w:shd w:val="clear" w:color="auto" w:fill="auto"/>
            <w:noWrap/>
            <w:vAlign w:val="center"/>
            <w:hideMark/>
          </w:tcPr>
          <w:p w14:paraId="307BF170" w14:textId="397F80DB"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751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353,</w:t>
            </w:r>
            <w:r w:rsidRPr="005C53F5">
              <w:rPr>
                <w:rFonts w:ascii="Times New Roman" w:eastAsia="Times New Roman" w:hAnsi="Times New Roman" w:cs="Times New Roman"/>
                <w:i/>
                <w:iCs/>
                <w:sz w:val="18"/>
                <w:szCs w:val="18"/>
                <w:lang w:eastAsia="ru-RU"/>
              </w:rPr>
              <w:t>6</w:t>
            </w:r>
          </w:p>
        </w:tc>
        <w:tc>
          <w:tcPr>
            <w:tcW w:w="1276" w:type="dxa"/>
            <w:tcBorders>
              <w:top w:val="nil"/>
              <w:left w:val="nil"/>
              <w:bottom w:val="nil"/>
              <w:right w:val="nil"/>
            </w:tcBorders>
            <w:shd w:val="clear" w:color="auto" w:fill="auto"/>
            <w:noWrap/>
            <w:vAlign w:val="center"/>
            <w:hideMark/>
          </w:tcPr>
          <w:p w14:paraId="1DEA256A" w14:textId="57CF33FA"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466</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723,</w:t>
            </w:r>
            <w:r w:rsidRPr="005C53F5">
              <w:rPr>
                <w:rFonts w:ascii="Times New Roman" w:eastAsia="Times New Roman" w:hAnsi="Times New Roman" w:cs="Times New Roman"/>
                <w:i/>
                <w:iCs/>
                <w:sz w:val="18"/>
                <w:szCs w:val="18"/>
                <w:lang w:eastAsia="ru-RU"/>
              </w:rPr>
              <w:t>7</w:t>
            </w:r>
          </w:p>
        </w:tc>
      </w:tr>
      <w:tr w:rsidR="006C578F" w:rsidRPr="005C53F5" w14:paraId="5C64215C" w14:textId="77777777" w:rsidTr="006C578F">
        <w:trPr>
          <w:trHeight w:val="255"/>
        </w:trPr>
        <w:tc>
          <w:tcPr>
            <w:tcW w:w="3402" w:type="dxa"/>
            <w:tcBorders>
              <w:top w:val="nil"/>
              <w:left w:val="nil"/>
              <w:bottom w:val="nil"/>
              <w:right w:val="nil"/>
            </w:tcBorders>
            <w:shd w:val="clear" w:color="auto" w:fill="auto"/>
            <w:vAlign w:val="center"/>
            <w:hideMark/>
          </w:tcPr>
          <w:p w14:paraId="2961B1A2"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Жилищно-коммунальное хозяйство</w:t>
            </w:r>
          </w:p>
        </w:tc>
        <w:tc>
          <w:tcPr>
            <w:tcW w:w="1417" w:type="dxa"/>
            <w:tcBorders>
              <w:top w:val="nil"/>
              <w:left w:val="nil"/>
              <w:bottom w:val="nil"/>
              <w:right w:val="nil"/>
            </w:tcBorders>
            <w:shd w:val="clear" w:color="auto" w:fill="auto"/>
            <w:noWrap/>
            <w:vAlign w:val="center"/>
            <w:hideMark/>
          </w:tcPr>
          <w:p w14:paraId="23E855DE" w14:textId="6C4158F3"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443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021,</w:t>
            </w:r>
            <w:r w:rsidRPr="005C53F5">
              <w:rPr>
                <w:rFonts w:ascii="Times New Roman" w:eastAsia="Times New Roman" w:hAnsi="Times New Roman" w:cs="Times New Roman"/>
                <w:i/>
                <w:iCs/>
                <w:sz w:val="18"/>
                <w:szCs w:val="18"/>
                <w:lang w:eastAsia="ru-RU"/>
              </w:rPr>
              <w:t>6</w:t>
            </w:r>
          </w:p>
        </w:tc>
        <w:tc>
          <w:tcPr>
            <w:tcW w:w="1107" w:type="dxa"/>
            <w:tcBorders>
              <w:top w:val="nil"/>
              <w:left w:val="nil"/>
              <w:bottom w:val="nil"/>
              <w:right w:val="nil"/>
            </w:tcBorders>
            <w:shd w:val="clear" w:color="auto" w:fill="auto"/>
            <w:noWrap/>
            <w:vAlign w:val="center"/>
            <w:hideMark/>
          </w:tcPr>
          <w:p w14:paraId="2332DA1A" w14:textId="378AB50E"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507</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184,6</w:t>
            </w:r>
          </w:p>
        </w:tc>
        <w:tc>
          <w:tcPr>
            <w:tcW w:w="1246" w:type="dxa"/>
            <w:tcBorders>
              <w:top w:val="nil"/>
              <w:left w:val="nil"/>
              <w:bottom w:val="nil"/>
              <w:right w:val="nil"/>
            </w:tcBorders>
            <w:shd w:val="clear" w:color="auto" w:fill="auto"/>
            <w:noWrap/>
            <w:vAlign w:val="center"/>
            <w:hideMark/>
          </w:tcPr>
          <w:p w14:paraId="70E5D09D" w14:textId="33AF1851"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688</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373,</w:t>
            </w:r>
            <w:r w:rsidRPr="005C53F5">
              <w:rPr>
                <w:rFonts w:ascii="Times New Roman" w:eastAsia="Times New Roman" w:hAnsi="Times New Roman" w:cs="Times New Roman"/>
                <w:i/>
                <w:iCs/>
                <w:sz w:val="18"/>
                <w:szCs w:val="18"/>
                <w:lang w:eastAsia="ru-RU"/>
              </w:rPr>
              <w:t>5</w:t>
            </w:r>
          </w:p>
        </w:tc>
        <w:tc>
          <w:tcPr>
            <w:tcW w:w="1191" w:type="dxa"/>
            <w:tcBorders>
              <w:top w:val="nil"/>
              <w:left w:val="nil"/>
              <w:bottom w:val="nil"/>
              <w:right w:val="nil"/>
            </w:tcBorders>
            <w:shd w:val="clear" w:color="auto" w:fill="auto"/>
            <w:noWrap/>
            <w:vAlign w:val="center"/>
            <w:hideMark/>
          </w:tcPr>
          <w:p w14:paraId="3B810794" w14:textId="692A2C0A"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749</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030,</w:t>
            </w:r>
            <w:r w:rsidRPr="005C53F5">
              <w:rPr>
                <w:rFonts w:ascii="Times New Roman" w:eastAsia="Times New Roman" w:hAnsi="Times New Roman" w:cs="Times New Roman"/>
                <w:i/>
                <w:iCs/>
                <w:sz w:val="18"/>
                <w:szCs w:val="18"/>
                <w:lang w:eastAsia="ru-RU"/>
              </w:rPr>
              <w:t>4</w:t>
            </w:r>
          </w:p>
        </w:tc>
        <w:tc>
          <w:tcPr>
            <w:tcW w:w="1276" w:type="dxa"/>
            <w:tcBorders>
              <w:top w:val="nil"/>
              <w:left w:val="nil"/>
              <w:bottom w:val="nil"/>
              <w:right w:val="nil"/>
            </w:tcBorders>
            <w:shd w:val="clear" w:color="auto" w:fill="auto"/>
            <w:noWrap/>
            <w:vAlign w:val="center"/>
            <w:hideMark/>
          </w:tcPr>
          <w:p w14:paraId="600C8C02" w14:textId="1A34E858"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913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650,</w:t>
            </w:r>
            <w:r w:rsidRPr="005C53F5">
              <w:rPr>
                <w:rFonts w:ascii="Times New Roman" w:eastAsia="Times New Roman" w:hAnsi="Times New Roman" w:cs="Times New Roman"/>
                <w:i/>
                <w:iCs/>
                <w:sz w:val="18"/>
                <w:szCs w:val="18"/>
                <w:lang w:eastAsia="ru-RU"/>
              </w:rPr>
              <w:t>2</w:t>
            </w:r>
          </w:p>
        </w:tc>
      </w:tr>
      <w:tr w:rsidR="006C578F" w:rsidRPr="005C53F5" w14:paraId="24F574DC" w14:textId="77777777" w:rsidTr="006C578F">
        <w:trPr>
          <w:trHeight w:val="510"/>
        </w:trPr>
        <w:tc>
          <w:tcPr>
            <w:tcW w:w="3402" w:type="dxa"/>
            <w:tcBorders>
              <w:top w:val="nil"/>
              <w:left w:val="nil"/>
              <w:bottom w:val="nil"/>
              <w:right w:val="nil"/>
            </w:tcBorders>
            <w:shd w:val="clear" w:color="auto" w:fill="auto"/>
            <w:vAlign w:val="center"/>
            <w:hideMark/>
          </w:tcPr>
          <w:p w14:paraId="0860B133"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Культура, спорт, туризм и информационное пространство</w:t>
            </w:r>
          </w:p>
        </w:tc>
        <w:tc>
          <w:tcPr>
            <w:tcW w:w="1417" w:type="dxa"/>
            <w:tcBorders>
              <w:top w:val="nil"/>
              <w:left w:val="nil"/>
              <w:bottom w:val="nil"/>
              <w:right w:val="nil"/>
            </w:tcBorders>
            <w:shd w:val="clear" w:color="auto" w:fill="auto"/>
            <w:noWrap/>
            <w:vAlign w:val="center"/>
            <w:hideMark/>
          </w:tcPr>
          <w:p w14:paraId="007A9ECA" w14:textId="0A8A323B"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293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774,5</w:t>
            </w:r>
          </w:p>
        </w:tc>
        <w:tc>
          <w:tcPr>
            <w:tcW w:w="1107" w:type="dxa"/>
            <w:tcBorders>
              <w:top w:val="nil"/>
              <w:left w:val="nil"/>
              <w:bottom w:val="nil"/>
              <w:right w:val="nil"/>
            </w:tcBorders>
            <w:shd w:val="clear" w:color="auto" w:fill="auto"/>
            <w:noWrap/>
            <w:vAlign w:val="center"/>
            <w:hideMark/>
          </w:tcPr>
          <w:p w14:paraId="7B2A53C4" w14:textId="3F6BA602"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326</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653,</w:t>
            </w:r>
            <w:r w:rsidRPr="005C53F5">
              <w:rPr>
                <w:rFonts w:ascii="Times New Roman" w:eastAsia="Times New Roman" w:hAnsi="Times New Roman" w:cs="Times New Roman"/>
                <w:i/>
                <w:iCs/>
                <w:sz w:val="18"/>
                <w:szCs w:val="18"/>
                <w:lang w:eastAsia="ru-RU"/>
              </w:rPr>
              <w:t>3</w:t>
            </w:r>
          </w:p>
        </w:tc>
        <w:tc>
          <w:tcPr>
            <w:tcW w:w="1246" w:type="dxa"/>
            <w:tcBorders>
              <w:top w:val="nil"/>
              <w:left w:val="nil"/>
              <w:bottom w:val="nil"/>
              <w:right w:val="nil"/>
            </w:tcBorders>
            <w:shd w:val="clear" w:color="auto" w:fill="auto"/>
            <w:noWrap/>
            <w:vAlign w:val="center"/>
            <w:hideMark/>
          </w:tcPr>
          <w:p w14:paraId="21DC82BD" w14:textId="0002C2FA"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398</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540,</w:t>
            </w:r>
            <w:r w:rsidRPr="005C53F5">
              <w:rPr>
                <w:rFonts w:ascii="Times New Roman" w:eastAsia="Times New Roman" w:hAnsi="Times New Roman" w:cs="Times New Roman"/>
                <w:i/>
                <w:iCs/>
                <w:sz w:val="18"/>
                <w:szCs w:val="18"/>
                <w:lang w:eastAsia="ru-RU"/>
              </w:rPr>
              <w:t>4</w:t>
            </w:r>
          </w:p>
        </w:tc>
        <w:tc>
          <w:tcPr>
            <w:tcW w:w="1191" w:type="dxa"/>
            <w:tcBorders>
              <w:top w:val="nil"/>
              <w:left w:val="nil"/>
              <w:bottom w:val="nil"/>
              <w:right w:val="nil"/>
            </w:tcBorders>
            <w:shd w:val="clear" w:color="auto" w:fill="auto"/>
            <w:noWrap/>
            <w:vAlign w:val="center"/>
            <w:hideMark/>
          </w:tcPr>
          <w:p w14:paraId="23904755" w14:textId="34D2AD3C"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449</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291,</w:t>
            </w:r>
            <w:r w:rsidRPr="005C53F5">
              <w:rPr>
                <w:rFonts w:ascii="Times New Roman" w:eastAsia="Times New Roman" w:hAnsi="Times New Roman" w:cs="Times New Roman"/>
                <w:i/>
                <w:iCs/>
                <w:sz w:val="18"/>
                <w:szCs w:val="18"/>
                <w:lang w:eastAsia="ru-RU"/>
              </w:rPr>
              <w:t>5</w:t>
            </w:r>
          </w:p>
        </w:tc>
        <w:tc>
          <w:tcPr>
            <w:tcW w:w="1276" w:type="dxa"/>
            <w:tcBorders>
              <w:top w:val="nil"/>
              <w:left w:val="nil"/>
              <w:bottom w:val="nil"/>
              <w:right w:val="nil"/>
            </w:tcBorders>
            <w:shd w:val="clear" w:color="auto" w:fill="auto"/>
            <w:noWrap/>
            <w:vAlign w:val="center"/>
            <w:hideMark/>
          </w:tcPr>
          <w:p w14:paraId="710D43F8" w14:textId="47596CD4"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456</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200,</w:t>
            </w:r>
            <w:r w:rsidRPr="005C53F5">
              <w:rPr>
                <w:rFonts w:ascii="Times New Roman" w:eastAsia="Times New Roman" w:hAnsi="Times New Roman" w:cs="Times New Roman"/>
                <w:i/>
                <w:iCs/>
                <w:sz w:val="18"/>
                <w:szCs w:val="18"/>
                <w:lang w:eastAsia="ru-RU"/>
              </w:rPr>
              <w:t>9</w:t>
            </w:r>
          </w:p>
        </w:tc>
      </w:tr>
      <w:tr w:rsidR="006C578F" w:rsidRPr="005C53F5" w14:paraId="45E4DB8F" w14:textId="77777777" w:rsidTr="006C578F">
        <w:trPr>
          <w:trHeight w:val="510"/>
        </w:trPr>
        <w:tc>
          <w:tcPr>
            <w:tcW w:w="3402" w:type="dxa"/>
            <w:tcBorders>
              <w:top w:val="nil"/>
              <w:left w:val="nil"/>
              <w:bottom w:val="nil"/>
              <w:right w:val="nil"/>
            </w:tcBorders>
            <w:shd w:val="clear" w:color="auto" w:fill="auto"/>
            <w:vAlign w:val="center"/>
            <w:hideMark/>
          </w:tcPr>
          <w:p w14:paraId="7790E7D2"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Топливно-энергетический комплекс и недропользование</w:t>
            </w:r>
          </w:p>
        </w:tc>
        <w:tc>
          <w:tcPr>
            <w:tcW w:w="1417" w:type="dxa"/>
            <w:tcBorders>
              <w:top w:val="nil"/>
              <w:left w:val="nil"/>
              <w:bottom w:val="nil"/>
              <w:right w:val="nil"/>
            </w:tcBorders>
            <w:shd w:val="clear" w:color="auto" w:fill="auto"/>
            <w:noWrap/>
            <w:vAlign w:val="center"/>
            <w:hideMark/>
          </w:tcPr>
          <w:p w14:paraId="0D1A6392" w14:textId="397DC193"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111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532,</w:t>
            </w:r>
            <w:r w:rsidRPr="005C53F5">
              <w:rPr>
                <w:rFonts w:ascii="Times New Roman" w:eastAsia="Times New Roman" w:hAnsi="Times New Roman" w:cs="Times New Roman"/>
                <w:i/>
                <w:iCs/>
                <w:sz w:val="18"/>
                <w:szCs w:val="18"/>
                <w:lang w:eastAsia="ru-RU"/>
              </w:rPr>
              <w:t>9</w:t>
            </w:r>
          </w:p>
        </w:tc>
        <w:tc>
          <w:tcPr>
            <w:tcW w:w="1107" w:type="dxa"/>
            <w:tcBorders>
              <w:top w:val="nil"/>
              <w:left w:val="nil"/>
              <w:bottom w:val="nil"/>
              <w:right w:val="nil"/>
            </w:tcBorders>
            <w:shd w:val="clear" w:color="auto" w:fill="auto"/>
            <w:noWrap/>
            <w:vAlign w:val="center"/>
            <w:hideMark/>
          </w:tcPr>
          <w:p w14:paraId="486A8A51" w14:textId="1C6D38B3"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100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423,</w:t>
            </w:r>
            <w:r w:rsidRPr="005C53F5">
              <w:rPr>
                <w:rFonts w:ascii="Times New Roman" w:eastAsia="Times New Roman" w:hAnsi="Times New Roman" w:cs="Times New Roman"/>
                <w:i/>
                <w:iCs/>
                <w:sz w:val="18"/>
                <w:szCs w:val="18"/>
                <w:lang w:eastAsia="ru-RU"/>
              </w:rPr>
              <w:t>4</w:t>
            </w:r>
          </w:p>
        </w:tc>
        <w:tc>
          <w:tcPr>
            <w:tcW w:w="1246" w:type="dxa"/>
            <w:tcBorders>
              <w:top w:val="nil"/>
              <w:left w:val="nil"/>
              <w:bottom w:val="nil"/>
              <w:right w:val="nil"/>
            </w:tcBorders>
            <w:shd w:val="clear" w:color="auto" w:fill="auto"/>
            <w:noWrap/>
            <w:vAlign w:val="center"/>
            <w:hideMark/>
          </w:tcPr>
          <w:p w14:paraId="3A491AB2" w14:textId="16611F88"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137</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939,</w:t>
            </w:r>
            <w:r w:rsidRPr="005C53F5">
              <w:rPr>
                <w:rFonts w:ascii="Times New Roman" w:eastAsia="Times New Roman" w:hAnsi="Times New Roman" w:cs="Times New Roman"/>
                <w:i/>
                <w:iCs/>
                <w:sz w:val="18"/>
                <w:szCs w:val="18"/>
                <w:lang w:eastAsia="ru-RU"/>
              </w:rPr>
              <w:t>4</w:t>
            </w:r>
          </w:p>
        </w:tc>
        <w:tc>
          <w:tcPr>
            <w:tcW w:w="1191" w:type="dxa"/>
            <w:tcBorders>
              <w:top w:val="nil"/>
              <w:left w:val="nil"/>
              <w:bottom w:val="nil"/>
              <w:right w:val="nil"/>
            </w:tcBorders>
            <w:shd w:val="clear" w:color="auto" w:fill="auto"/>
            <w:noWrap/>
            <w:vAlign w:val="center"/>
            <w:hideMark/>
          </w:tcPr>
          <w:p w14:paraId="2191ED44" w14:textId="49CA62AF"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130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489,</w:t>
            </w:r>
            <w:r w:rsidRPr="005C53F5">
              <w:rPr>
                <w:rFonts w:ascii="Times New Roman" w:eastAsia="Times New Roman" w:hAnsi="Times New Roman" w:cs="Times New Roman"/>
                <w:i/>
                <w:iCs/>
                <w:sz w:val="18"/>
                <w:szCs w:val="18"/>
                <w:lang w:eastAsia="ru-RU"/>
              </w:rPr>
              <w:t>2</w:t>
            </w:r>
          </w:p>
        </w:tc>
        <w:tc>
          <w:tcPr>
            <w:tcW w:w="1276" w:type="dxa"/>
            <w:tcBorders>
              <w:top w:val="nil"/>
              <w:left w:val="nil"/>
              <w:bottom w:val="nil"/>
              <w:right w:val="nil"/>
            </w:tcBorders>
            <w:shd w:val="clear" w:color="auto" w:fill="auto"/>
            <w:noWrap/>
            <w:vAlign w:val="center"/>
            <w:hideMark/>
          </w:tcPr>
          <w:p w14:paraId="764811EE" w14:textId="3B95A1DF"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127</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871,</w:t>
            </w:r>
            <w:r w:rsidRPr="005C53F5">
              <w:rPr>
                <w:rFonts w:ascii="Times New Roman" w:eastAsia="Times New Roman" w:hAnsi="Times New Roman" w:cs="Times New Roman"/>
                <w:i/>
                <w:iCs/>
                <w:sz w:val="18"/>
                <w:szCs w:val="18"/>
                <w:lang w:eastAsia="ru-RU"/>
              </w:rPr>
              <w:t>8</w:t>
            </w:r>
          </w:p>
        </w:tc>
      </w:tr>
      <w:tr w:rsidR="006C578F" w:rsidRPr="005C53F5" w14:paraId="0AC8E340" w14:textId="77777777" w:rsidTr="006C578F">
        <w:trPr>
          <w:trHeight w:val="1020"/>
        </w:trPr>
        <w:tc>
          <w:tcPr>
            <w:tcW w:w="3402" w:type="dxa"/>
            <w:tcBorders>
              <w:top w:val="nil"/>
              <w:left w:val="nil"/>
              <w:bottom w:val="nil"/>
              <w:right w:val="nil"/>
            </w:tcBorders>
            <w:shd w:val="clear" w:color="auto" w:fill="auto"/>
            <w:vAlign w:val="center"/>
            <w:hideMark/>
          </w:tcPr>
          <w:p w14:paraId="77C7DFC7"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417" w:type="dxa"/>
            <w:tcBorders>
              <w:top w:val="nil"/>
              <w:left w:val="nil"/>
              <w:bottom w:val="nil"/>
              <w:right w:val="nil"/>
            </w:tcBorders>
            <w:shd w:val="clear" w:color="auto" w:fill="auto"/>
            <w:noWrap/>
            <w:vAlign w:val="center"/>
            <w:hideMark/>
          </w:tcPr>
          <w:p w14:paraId="49E0C589" w14:textId="39750DF8"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376</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038,</w:t>
            </w:r>
            <w:r w:rsidRPr="005C53F5">
              <w:rPr>
                <w:rFonts w:ascii="Times New Roman" w:eastAsia="Times New Roman" w:hAnsi="Times New Roman" w:cs="Times New Roman"/>
                <w:i/>
                <w:iCs/>
                <w:sz w:val="18"/>
                <w:szCs w:val="18"/>
                <w:lang w:eastAsia="ru-RU"/>
              </w:rPr>
              <w:t>0</w:t>
            </w:r>
          </w:p>
        </w:tc>
        <w:tc>
          <w:tcPr>
            <w:tcW w:w="1107" w:type="dxa"/>
            <w:tcBorders>
              <w:top w:val="nil"/>
              <w:left w:val="nil"/>
              <w:bottom w:val="nil"/>
              <w:right w:val="nil"/>
            </w:tcBorders>
            <w:shd w:val="clear" w:color="auto" w:fill="auto"/>
            <w:noWrap/>
            <w:vAlign w:val="center"/>
            <w:hideMark/>
          </w:tcPr>
          <w:p w14:paraId="4F06F681" w14:textId="23EEE741"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414</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528,</w:t>
            </w:r>
            <w:r w:rsidRPr="005C53F5">
              <w:rPr>
                <w:rFonts w:ascii="Times New Roman" w:eastAsia="Times New Roman" w:hAnsi="Times New Roman" w:cs="Times New Roman"/>
                <w:i/>
                <w:iCs/>
                <w:sz w:val="18"/>
                <w:szCs w:val="18"/>
                <w:lang w:eastAsia="ru-RU"/>
              </w:rPr>
              <w:t>5</w:t>
            </w:r>
          </w:p>
        </w:tc>
        <w:tc>
          <w:tcPr>
            <w:tcW w:w="1246" w:type="dxa"/>
            <w:tcBorders>
              <w:top w:val="nil"/>
              <w:left w:val="nil"/>
              <w:bottom w:val="nil"/>
              <w:right w:val="nil"/>
            </w:tcBorders>
            <w:shd w:val="clear" w:color="auto" w:fill="auto"/>
            <w:noWrap/>
            <w:vAlign w:val="center"/>
            <w:hideMark/>
          </w:tcPr>
          <w:p w14:paraId="592B959E" w14:textId="3CB32FA0"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474</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307,</w:t>
            </w:r>
            <w:r w:rsidRPr="005C53F5">
              <w:rPr>
                <w:rFonts w:ascii="Times New Roman" w:eastAsia="Times New Roman" w:hAnsi="Times New Roman" w:cs="Times New Roman"/>
                <w:i/>
                <w:iCs/>
                <w:sz w:val="18"/>
                <w:szCs w:val="18"/>
                <w:lang w:eastAsia="ru-RU"/>
              </w:rPr>
              <w:t>2</w:t>
            </w:r>
          </w:p>
        </w:tc>
        <w:tc>
          <w:tcPr>
            <w:tcW w:w="1191" w:type="dxa"/>
            <w:tcBorders>
              <w:top w:val="nil"/>
              <w:left w:val="nil"/>
              <w:bottom w:val="nil"/>
              <w:right w:val="nil"/>
            </w:tcBorders>
            <w:shd w:val="clear" w:color="auto" w:fill="auto"/>
            <w:noWrap/>
            <w:vAlign w:val="center"/>
            <w:hideMark/>
          </w:tcPr>
          <w:p w14:paraId="7817B7AB" w14:textId="6F5C0506"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501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835,4</w:t>
            </w:r>
          </w:p>
        </w:tc>
        <w:tc>
          <w:tcPr>
            <w:tcW w:w="1276" w:type="dxa"/>
            <w:tcBorders>
              <w:top w:val="nil"/>
              <w:left w:val="nil"/>
              <w:bottom w:val="nil"/>
              <w:right w:val="nil"/>
            </w:tcBorders>
            <w:shd w:val="clear" w:color="auto" w:fill="auto"/>
            <w:noWrap/>
            <w:vAlign w:val="center"/>
            <w:hideMark/>
          </w:tcPr>
          <w:p w14:paraId="40EE2331" w14:textId="18C441C8"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583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409,</w:t>
            </w:r>
            <w:r w:rsidRPr="005C53F5">
              <w:rPr>
                <w:rFonts w:ascii="Times New Roman" w:eastAsia="Times New Roman" w:hAnsi="Times New Roman" w:cs="Times New Roman"/>
                <w:i/>
                <w:iCs/>
                <w:sz w:val="18"/>
                <w:szCs w:val="18"/>
                <w:lang w:eastAsia="ru-RU"/>
              </w:rPr>
              <w:t>9</w:t>
            </w:r>
          </w:p>
        </w:tc>
      </w:tr>
      <w:tr w:rsidR="006C578F" w:rsidRPr="005C53F5" w14:paraId="35CD3C65" w14:textId="77777777" w:rsidTr="006C578F">
        <w:trPr>
          <w:trHeight w:val="765"/>
        </w:trPr>
        <w:tc>
          <w:tcPr>
            <w:tcW w:w="3402" w:type="dxa"/>
            <w:tcBorders>
              <w:top w:val="nil"/>
              <w:left w:val="nil"/>
              <w:bottom w:val="nil"/>
              <w:right w:val="nil"/>
            </w:tcBorders>
            <w:shd w:val="clear" w:color="auto" w:fill="auto"/>
            <w:vAlign w:val="center"/>
            <w:hideMark/>
          </w:tcPr>
          <w:p w14:paraId="57C2B68F"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Промышленность, архитектурная, градостроительная и строительная деятельность</w:t>
            </w:r>
          </w:p>
        </w:tc>
        <w:tc>
          <w:tcPr>
            <w:tcW w:w="1417" w:type="dxa"/>
            <w:tcBorders>
              <w:top w:val="nil"/>
              <w:left w:val="nil"/>
              <w:bottom w:val="nil"/>
              <w:right w:val="nil"/>
            </w:tcBorders>
            <w:shd w:val="clear" w:color="auto" w:fill="auto"/>
            <w:noWrap/>
            <w:vAlign w:val="center"/>
            <w:hideMark/>
          </w:tcPr>
          <w:p w14:paraId="63E28183" w14:textId="2819A1E4"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61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774,</w:t>
            </w:r>
            <w:r w:rsidRPr="005C53F5">
              <w:rPr>
                <w:rFonts w:ascii="Times New Roman" w:eastAsia="Times New Roman" w:hAnsi="Times New Roman" w:cs="Times New Roman"/>
                <w:i/>
                <w:iCs/>
                <w:sz w:val="18"/>
                <w:szCs w:val="18"/>
                <w:lang w:eastAsia="ru-RU"/>
              </w:rPr>
              <w:t>9</w:t>
            </w:r>
          </w:p>
        </w:tc>
        <w:tc>
          <w:tcPr>
            <w:tcW w:w="1107" w:type="dxa"/>
            <w:tcBorders>
              <w:top w:val="nil"/>
              <w:left w:val="nil"/>
              <w:bottom w:val="nil"/>
              <w:right w:val="nil"/>
            </w:tcBorders>
            <w:shd w:val="clear" w:color="auto" w:fill="auto"/>
            <w:noWrap/>
            <w:vAlign w:val="center"/>
            <w:hideMark/>
          </w:tcPr>
          <w:p w14:paraId="038F5835" w14:textId="79EC9007"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46</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323,</w:t>
            </w:r>
            <w:r w:rsidRPr="005C53F5">
              <w:rPr>
                <w:rFonts w:ascii="Times New Roman" w:eastAsia="Times New Roman" w:hAnsi="Times New Roman" w:cs="Times New Roman"/>
                <w:i/>
                <w:iCs/>
                <w:sz w:val="18"/>
                <w:szCs w:val="18"/>
                <w:lang w:eastAsia="ru-RU"/>
              </w:rPr>
              <w:t>9</w:t>
            </w:r>
          </w:p>
        </w:tc>
        <w:tc>
          <w:tcPr>
            <w:tcW w:w="1246" w:type="dxa"/>
            <w:tcBorders>
              <w:top w:val="nil"/>
              <w:left w:val="nil"/>
              <w:bottom w:val="nil"/>
              <w:right w:val="nil"/>
            </w:tcBorders>
            <w:shd w:val="clear" w:color="auto" w:fill="auto"/>
            <w:noWrap/>
            <w:vAlign w:val="center"/>
            <w:hideMark/>
          </w:tcPr>
          <w:p w14:paraId="2D37A606" w14:textId="53C8B7C6"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29</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790,9</w:t>
            </w:r>
          </w:p>
        </w:tc>
        <w:tc>
          <w:tcPr>
            <w:tcW w:w="1191" w:type="dxa"/>
            <w:tcBorders>
              <w:top w:val="nil"/>
              <w:left w:val="nil"/>
              <w:bottom w:val="nil"/>
              <w:right w:val="nil"/>
            </w:tcBorders>
            <w:shd w:val="clear" w:color="auto" w:fill="auto"/>
            <w:noWrap/>
            <w:vAlign w:val="center"/>
            <w:hideMark/>
          </w:tcPr>
          <w:p w14:paraId="4AE8F392" w14:textId="4BC52373"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35</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860,</w:t>
            </w:r>
            <w:r w:rsidRPr="005C53F5">
              <w:rPr>
                <w:rFonts w:ascii="Times New Roman" w:eastAsia="Times New Roman" w:hAnsi="Times New Roman" w:cs="Times New Roman"/>
                <w:i/>
                <w:iCs/>
                <w:sz w:val="18"/>
                <w:szCs w:val="18"/>
                <w:lang w:eastAsia="ru-RU"/>
              </w:rPr>
              <w:t>1</w:t>
            </w:r>
          </w:p>
        </w:tc>
        <w:tc>
          <w:tcPr>
            <w:tcW w:w="1276" w:type="dxa"/>
            <w:tcBorders>
              <w:top w:val="nil"/>
              <w:left w:val="nil"/>
              <w:bottom w:val="nil"/>
              <w:right w:val="nil"/>
            </w:tcBorders>
            <w:shd w:val="clear" w:color="auto" w:fill="auto"/>
            <w:noWrap/>
            <w:vAlign w:val="center"/>
            <w:hideMark/>
          </w:tcPr>
          <w:p w14:paraId="65D4F523" w14:textId="14FD1679"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69</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566,</w:t>
            </w:r>
            <w:r w:rsidRPr="005C53F5">
              <w:rPr>
                <w:rFonts w:ascii="Times New Roman" w:eastAsia="Times New Roman" w:hAnsi="Times New Roman" w:cs="Times New Roman"/>
                <w:i/>
                <w:iCs/>
                <w:sz w:val="18"/>
                <w:szCs w:val="18"/>
                <w:lang w:eastAsia="ru-RU"/>
              </w:rPr>
              <w:t>0</w:t>
            </w:r>
          </w:p>
        </w:tc>
      </w:tr>
      <w:tr w:rsidR="006C578F" w:rsidRPr="005C53F5" w14:paraId="6B1F314C" w14:textId="77777777" w:rsidTr="006C578F">
        <w:trPr>
          <w:trHeight w:val="255"/>
        </w:trPr>
        <w:tc>
          <w:tcPr>
            <w:tcW w:w="3402" w:type="dxa"/>
            <w:tcBorders>
              <w:top w:val="nil"/>
              <w:left w:val="nil"/>
              <w:bottom w:val="nil"/>
              <w:right w:val="nil"/>
            </w:tcBorders>
            <w:shd w:val="clear" w:color="auto" w:fill="auto"/>
            <w:vAlign w:val="center"/>
            <w:hideMark/>
          </w:tcPr>
          <w:p w14:paraId="1D92D220"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Транспорт и коммуникации</w:t>
            </w:r>
          </w:p>
        </w:tc>
        <w:tc>
          <w:tcPr>
            <w:tcW w:w="1417" w:type="dxa"/>
            <w:tcBorders>
              <w:top w:val="nil"/>
              <w:left w:val="nil"/>
              <w:bottom w:val="nil"/>
              <w:right w:val="nil"/>
            </w:tcBorders>
            <w:shd w:val="clear" w:color="auto" w:fill="auto"/>
            <w:noWrap/>
            <w:vAlign w:val="center"/>
            <w:hideMark/>
          </w:tcPr>
          <w:p w14:paraId="2493CA87" w14:textId="4A445412"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 xml:space="preserve">681 </w:t>
            </w:r>
            <w:r w:rsidRPr="005C53F5">
              <w:rPr>
                <w:rFonts w:ascii="Times New Roman" w:hAnsi="Times New Roman"/>
                <w:i/>
                <w:sz w:val="18"/>
              </w:rPr>
              <w:t>697,</w:t>
            </w:r>
            <w:r w:rsidRPr="005C53F5">
              <w:rPr>
                <w:rFonts w:ascii="Times New Roman" w:eastAsia="Times New Roman" w:hAnsi="Times New Roman" w:cs="Times New Roman"/>
                <w:i/>
                <w:iCs/>
                <w:sz w:val="18"/>
                <w:szCs w:val="18"/>
                <w:lang w:eastAsia="ru-RU"/>
              </w:rPr>
              <w:t>1</w:t>
            </w:r>
          </w:p>
        </w:tc>
        <w:tc>
          <w:tcPr>
            <w:tcW w:w="1107" w:type="dxa"/>
            <w:tcBorders>
              <w:top w:val="nil"/>
              <w:left w:val="nil"/>
              <w:bottom w:val="nil"/>
              <w:right w:val="nil"/>
            </w:tcBorders>
            <w:shd w:val="clear" w:color="auto" w:fill="auto"/>
            <w:noWrap/>
            <w:vAlign w:val="center"/>
            <w:hideMark/>
          </w:tcPr>
          <w:p w14:paraId="54CD59A9" w14:textId="2A3661CD"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761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990,</w:t>
            </w:r>
            <w:r w:rsidRPr="005C53F5">
              <w:rPr>
                <w:rFonts w:ascii="Times New Roman" w:eastAsia="Times New Roman" w:hAnsi="Times New Roman" w:cs="Times New Roman"/>
                <w:i/>
                <w:iCs/>
                <w:sz w:val="18"/>
                <w:szCs w:val="18"/>
                <w:lang w:eastAsia="ru-RU"/>
              </w:rPr>
              <w:t>5</w:t>
            </w:r>
          </w:p>
        </w:tc>
        <w:tc>
          <w:tcPr>
            <w:tcW w:w="1246" w:type="dxa"/>
            <w:tcBorders>
              <w:top w:val="nil"/>
              <w:left w:val="nil"/>
              <w:bottom w:val="nil"/>
              <w:right w:val="nil"/>
            </w:tcBorders>
            <w:shd w:val="clear" w:color="auto" w:fill="auto"/>
            <w:noWrap/>
            <w:vAlign w:val="center"/>
            <w:hideMark/>
          </w:tcPr>
          <w:p w14:paraId="64F58035" w14:textId="1AEAE19C"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850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434,</w:t>
            </w:r>
            <w:r w:rsidRPr="005C53F5">
              <w:rPr>
                <w:rFonts w:ascii="Times New Roman" w:eastAsia="Times New Roman" w:hAnsi="Times New Roman" w:cs="Times New Roman"/>
                <w:i/>
                <w:iCs/>
                <w:sz w:val="18"/>
                <w:szCs w:val="18"/>
                <w:lang w:eastAsia="ru-RU"/>
              </w:rPr>
              <w:t>4</w:t>
            </w:r>
          </w:p>
        </w:tc>
        <w:tc>
          <w:tcPr>
            <w:tcW w:w="1191" w:type="dxa"/>
            <w:tcBorders>
              <w:top w:val="nil"/>
              <w:left w:val="nil"/>
              <w:bottom w:val="nil"/>
              <w:right w:val="nil"/>
            </w:tcBorders>
            <w:shd w:val="clear" w:color="auto" w:fill="auto"/>
            <w:noWrap/>
            <w:vAlign w:val="center"/>
            <w:hideMark/>
          </w:tcPr>
          <w:p w14:paraId="39446CF6" w14:textId="3AFE2F5E"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834</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187,</w:t>
            </w:r>
            <w:r w:rsidRPr="005C53F5">
              <w:rPr>
                <w:rFonts w:ascii="Times New Roman" w:eastAsia="Times New Roman" w:hAnsi="Times New Roman" w:cs="Times New Roman"/>
                <w:i/>
                <w:iCs/>
                <w:sz w:val="18"/>
                <w:szCs w:val="18"/>
                <w:lang w:eastAsia="ru-RU"/>
              </w:rPr>
              <w:t>2</w:t>
            </w:r>
          </w:p>
        </w:tc>
        <w:tc>
          <w:tcPr>
            <w:tcW w:w="1276" w:type="dxa"/>
            <w:tcBorders>
              <w:top w:val="nil"/>
              <w:left w:val="nil"/>
              <w:bottom w:val="nil"/>
              <w:right w:val="nil"/>
            </w:tcBorders>
            <w:shd w:val="clear" w:color="auto" w:fill="auto"/>
            <w:noWrap/>
            <w:vAlign w:val="center"/>
            <w:hideMark/>
          </w:tcPr>
          <w:p w14:paraId="1114EEF0" w14:textId="007BE169"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893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622,</w:t>
            </w:r>
            <w:r w:rsidRPr="005C53F5">
              <w:rPr>
                <w:rFonts w:ascii="Times New Roman" w:eastAsia="Times New Roman" w:hAnsi="Times New Roman" w:cs="Times New Roman"/>
                <w:i/>
                <w:iCs/>
                <w:sz w:val="18"/>
                <w:szCs w:val="18"/>
                <w:lang w:eastAsia="ru-RU"/>
              </w:rPr>
              <w:t>4</w:t>
            </w:r>
          </w:p>
        </w:tc>
      </w:tr>
      <w:tr w:rsidR="006C578F" w:rsidRPr="005C53F5" w14:paraId="5370B02B" w14:textId="77777777" w:rsidTr="006C578F">
        <w:trPr>
          <w:trHeight w:val="255"/>
        </w:trPr>
        <w:tc>
          <w:tcPr>
            <w:tcW w:w="3402" w:type="dxa"/>
            <w:tcBorders>
              <w:top w:val="nil"/>
              <w:left w:val="nil"/>
              <w:bottom w:val="nil"/>
              <w:right w:val="nil"/>
            </w:tcBorders>
            <w:shd w:val="clear" w:color="auto" w:fill="auto"/>
            <w:vAlign w:val="center"/>
            <w:hideMark/>
          </w:tcPr>
          <w:p w14:paraId="26B30EB9"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Прочие</w:t>
            </w:r>
          </w:p>
        </w:tc>
        <w:tc>
          <w:tcPr>
            <w:tcW w:w="1417" w:type="dxa"/>
            <w:tcBorders>
              <w:top w:val="nil"/>
              <w:left w:val="nil"/>
              <w:bottom w:val="nil"/>
              <w:right w:val="nil"/>
            </w:tcBorders>
            <w:shd w:val="clear" w:color="auto" w:fill="auto"/>
            <w:noWrap/>
            <w:vAlign w:val="center"/>
            <w:hideMark/>
          </w:tcPr>
          <w:p w14:paraId="3E488814" w14:textId="63A6D22C"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310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014,6</w:t>
            </w:r>
          </w:p>
        </w:tc>
        <w:tc>
          <w:tcPr>
            <w:tcW w:w="1107" w:type="dxa"/>
            <w:tcBorders>
              <w:top w:val="nil"/>
              <w:left w:val="nil"/>
              <w:bottom w:val="nil"/>
              <w:right w:val="nil"/>
            </w:tcBorders>
            <w:shd w:val="clear" w:color="auto" w:fill="auto"/>
            <w:noWrap/>
            <w:vAlign w:val="center"/>
            <w:hideMark/>
          </w:tcPr>
          <w:p w14:paraId="7F993BEE" w14:textId="6C8C86D1"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410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181,</w:t>
            </w:r>
            <w:r w:rsidRPr="005C53F5">
              <w:rPr>
                <w:rFonts w:ascii="Times New Roman" w:eastAsia="Times New Roman" w:hAnsi="Times New Roman" w:cs="Times New Roman"/>
                <w:i/>
                <w:iCs/>
                <w:sz w:val="18"/>
                <w:szCs w:val="18"/>
                <w:lang w:eastAsia="ru-RU"/>
              </w:rPr>
              <w:t>0</w:t>
            </w:r>
          </w:p>
        </w:tc>
        <w:tc>
          <w:tcPr>
            <w:tcW w:w="1246" w:type="dxa"/>
            <w:tcBorders>
              <w:top w:val="nil"/>
              <w:left w:val="nil"/>
              <w:bottom w:val="nil"/>
              <w:right w:val="nil"/>
            </w:tcBorders>
            <w:shd w:val="clear" w:color="auto" w:fill="auto"/>
            <w:noWrap/>
            <w:vAlign w:val="center"/>
            <w:hideMark/>
          </w:tcPr>
          <w:p w14:paraId="349D2368" w14:textId="5929511C"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334</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294,6</w:t>
            </w:r>
          </w:p>
        </w:tc>
        <w:tc>
          <w:tcPr>
            <w:tcW w:w="1191" w:type="dxa"/>
            <w:tcBorders>
              <w:top w:val="nil"/>
              <w:left w:val="nil"/>
              <w:bottom w:val="nil"/>
              <w:right w:val="nil"/>
            </w:tcBorders>
            <w:shd w:val="clear" w:color="auto" w:fill="auto"/>
            <w:noWrap/>
            <w:vAlign w:val="center"/>
            <w:hideMark/>
          </w:tcPr>
          <w:p w14:paraId="0B640FB2" w14:textId="6CB991ED"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225</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843,2</w:t>
            </w:r>
          </w:p>
        </w:tc>
        <w:tc>
          <w:tcPr>
            <w:tcW w:w="1276" w:type="dxa"/>
            <w:tcBorders>
              <w:top w:val="nil"/>
              <w:left w:val="nil"/>
              <w:bottom w:val="nil"/>
              <w:right w:val="nil"/>
            </w:tcBorders>
            <w:shd w:val="clear" w:color="auto" w:fill="auto"/>
            <w:noWrap/>
            <w:vAlign w:val="center"/>
            <w:hideMark/>
          </w:tcPr>
          <w:p w14:paraId="18BADB03" w14:textId="26202D8E"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402</w:t>
            </w:r>
            <w:r w:rsidRPr="005C53F5">
              <w:rPr>
                <w:rFonts w:ascii="Times New Roman" w:eastAsia="Times New Roman" w:hAnsi="Times New Roman" w:cs="Times New Roman"/>
                <w:i/>
                <w:iCs/>
                <w:sz w:val="18"/>
                <w:szCs w:val="18"/>
                <w:lang w:eastAsia="ru-RU"/>
              </w:rPr>
              <w:t xml:space="preserve"> 557,0</w:t>
            </w:r>
          </w:p>
        </w:tc>
      </w:tr>
      <w:tr w:rsidR="006C578F" w:rsidRPr="005C53F5" w14:paraId="5F4E2ED6" w14:textId="77777777" w:rsidTr="006C578F">
        <w:trPr>
          <w:trHeight w:val="255"/>
        </w:trPr>
        <w:tc>
          <w:tcPr>
            <w:tcW w:w="3402" w:type="dxa"/>
            <w:tcBorders>
              <w:top w:val="nil"/>
              <w:left w:val="nil"/>
              <w:bottom w:val="nil"/>
              <w:right w:val="nil"/>
            </w:tcBorders>
            <w:shd w:val="clear" w:color="auto" w:fill="auto"/>
            <w:vAlign w:val="center"/>
            <w:hideMark/>
          </w:tcPr>
          <w:p w14:paraId="252356A9"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Обслуживание долга</w:t>
            </w:r>
          </w:p>
        </w:tc>
        <w:tc>
          <w:tcPr>
            <w:tcW w:w="1417" w:type="dxa"/>
            <w:tcBorders>
              <w:top w:val="nil"/>
              <w:left w:val="nil"/>
              <w:bottom w:val="nil"/>
              <w:right w:val="nil"/>
            </w:tcBorders>
            <w:shd w:val="clear" w:color="auto" w:fill="auto"/>
            <w:noWrap/>
            <w:vAlign w:val="center"/>
            <w:hideMark/>
          </w:tcPr>
          <w:p w14:paraId="57C06098" w14:textId="49364CAB"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297</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327,</w:t>
            </w:r>
            <w:r w:rsidRPr="005C53F5">
              <w:rPr>
                <w:rFonts w:ascii="Times New Roman" w:eastAsia="Times New Roman" w:hAnsi="Times New Roman" w:cs="Times New Roman"/>
                <w:i/>
                <w:iCs/>
                <w:sz w:val="18"/>
                <w:szCs w:val="18"/>
                <w:lang w:eastAsia="ru-RU"/>
              </w:rPr>
              <w:t>4</w:t>
            </w:r>
          </w:p>
        </w:tc>
        <w:tc>
          <w:tcPr>
            <w:tcW w:w="1107" w:type="dxa"/>
            <w:tcBorders>
              <w:top w:val="nil"/>
              <w:left w:val="nil"/>
              <w:bottom w:val="nil"/>
              <w:right w:val="nil"/>
            </w:tcBorders>
            <w:shd w:val="clear" w:color="auto" w:fill="auto"/>
            <w:noWrap/>
            <w:vAlign w:val="center"/>
            <w:hideMark/>
          </w:tcPr>
          <w:p w14:paraId="0A4680D6" w14:textId="7474C950"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523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213,</w:t>
            </w:r>
            <w:r w:rsidRPr="005C53F5">
              <w:rPr>
                <w:rFonts w:ascii="Times New Roman" w:eastAsia="Times New Roman" w:hAnsi="Times New Roman" w:cs="Times New Roman"/>
                <w:i/>
                <w:iCs/>
                <w:sz w:val="18"/>
                <w:szCs w:val="18"/>
                <w:lang w:eastAsia="ru-RU"/>
              </w:rPr>
              <w:t>6</w:t>
            </w:r>
          </w:p>
        </w:tc>
        <w:tc>
          <w:tcPr>
            <w:tcW w:w="1246" w:type="dxa"/>
            <w:tcBorders>
              <w:top w:val="nil"/>
              <w:left w:val="nil"/>
              <w:bottom w:val="nil"/>
              <w:right w:val="nil"/>
            </w:tcBorders>
            <w:shd w:val="clear" w:color="auto" w:fill="auto"/>
            <w:noWrap/>
            <w:vAlign w:val="center"/>
            <w:hideMark/>
          </w:tcPr>
          <w:p w14:paraId="4DC94E82" w14:textId="44602406"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458</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873,</w:t>
            </w:r>
            <w:r w:rsidRPr="005C53F5">
              <w:rPr>
                <w:rFonts w:ascii="Times New Roman" w:eastAsia="Times New Roman" w:hAnsi="Times New Roman" w:cs="Times New Roman"/>
                <w:i/>
                <w:iCs/>
                <w:sz w:val="18"/>
                <w:szCs w:val="18"/>
                <w:lang w:eastAsia="ru-RU"/>
              </w:rPr>
              <w:t>5</w:t>
            </w:r>
          </w:p>
        </w:tc>
        <w:tc>
          <w:tcPr>
            <w:tcW w:w="1191" w:type="dxa"/>
            <w:tcBorders>
              <w:top w:val="nil"/>
              <w:left w:val="nil"/>
              <w:bottom w:val="nil"/>
              <w:right w:val="nil"/>
            </w:tcBorders>
            <w:shd w:val="clear" w:color="auto" w:fill="auto"/>
            <w:noWrap/>
            <w:vAlign w:val="center"/>
            <w:hideMark/>
          </w:tcPr>
          <w:p w14:paraId="3ED5B6FB" w14:textId="7FD8F2C5"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587</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662,</w:t>
            </w:r>
            <w:r w:rsidRPr="005C53F5">
              <w:rPr>
                <w:rFonts w:ascii="Times New Roman" w:eastAsia="Times New Roman" w:hAnsi="Times New Roman" w:cs="Times New Roman"/>
                <w:i/>
                <w:iCs/>
                <w:sz w:val="18"/>
                <w:szCs w:val="18"/>
                <w:lang w:eastAsia="ru-RU"/>
              </w:rPr>
              <w:t>7</w:t>
            </w:r>
          </w:p>
        </w:tc>
        <w:tc>
          <w:tcPr>
            <w:tcW w:w="1276" w:type="dxa"/>
            <w:tcBorders>
              <w:top w:val="nil"/>
              <w:left w:val="nil"/>
              <w:bottom w:val="nil"/>
              <w:right w:val="nil"/>
            </w:tcBorders>
            <w:shd w:val="clear" w:color="auto" w:fill="auto"/>
            <w:noWrap/>
            <w:vAlign w:val="center"/>
            <w:hideMark/>
          </w:tcPr>
          <w:p w14:paraId="27D98849" w14:textId="61D0DC1B"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679</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643,</w:t>
            </w:r>
            <w:r w:rsidRPr="005C53F5">
              <w:rPr>
                <w:rFonts w:ascii="Times New Roman" w:eastAsia="Times New Roman" w:hAnsi="Times New Roman" w:cs="Times New Roman"/>
                <w:i/>
                <w:iCs/>
                <w:sz w:val="18"/>
                <w:szCs w:val="18"/>
                <w:lang w:eastAsia="ru-RU"/>
              </w:rPr>
              <w:t>7</w:t>
            </w:r>
          </w:p>
        </w:tc>
      </w:tr>
      <w:tr w:rsidR="006C578F" w:rsidRPr="005C53F5" w14:paraId="70BBBFC7" w14:textId="77777777" w:rsidTr="006C578F">
        <w:trPr>
          <w:trHeight w:val="255"/>
        </w:trPr>
        <w:tc>
          <w:tcPr>
            <w:tcW w:w="3402" w:type="dxa"/>
            <w:tcBorders>
              <w:top w:val="nil"/>
              <w:left w:val="nil"/>
              <w:bottom w:val="nil"/>
              <w:right w:val="nil"/>
            </w:tcBorders>
            <w:shd w:val="clear" w:color="auto" w:fill="auto"/>
            <w:vAlign w:val="center"/>
            <w:hideMark/>
          </w:tcPr>
          <w:p w14:paraId="5567AB2C"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Трансферты</w:t>
            </w:r>
          </w:p>
        </w:tc>
        <w:tc>
          <w:tcPr>
            <w:tcW w:w="1417" w:type="dxa"/>
            <w:tcBorders>
              <w:top w:val="nil"/>
              <w:left w:val="nil"/>
              <w:bottom w:val="nil"/>
              <w:right w:val="nil"/>
            </w:tcBorders>
            <w:shd w:val="clear" w:color="auto" w:fill="auto"/>
            <w:noWrap/>
            <w:vAlign w:val="center"/>
            <w:hideMark/>
          </w:tcPr>
          <w:p w14:paraId="051E9240" w14:textId="16143A74"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406,</w:t>
            </w:r>
            <w:r w:rsidRPr="005C53F5">
              <w:rPr>
                <w:rFonts w:ascii="Times New Roman" w:eastAsia="Times New Roman" w:hAnsi="Times New Roman" w:cs="Times New Roman"/>
                <w:i/>
                <w:iCs/>
                <w:sz w:val="18"/>
                <w:szCs w:val="18"/>
                <w:lang w:eastAsia="ru-RU"/>
              </w:rPr>
              <w:t>7</w:t>
            </w:r>
          </w:p>
        </w:tc>
        <w:tc>
          <w:tcPr>
            <w:tcW w:w="1107" w:type="dxa"/>
            <w:tcBorders>
              <w:top w:val="nil"/>
              <w:left w:val="nil"/>
              <w:bottom w:val="nil"/>
              <w:right w:val="nil"/>
            </w:tcBorders>
            <w:shd w:val="clear" w:color="auto" w:fill="auto"/>
            <w:noWrap/>
            <w:vAlign w:val="center"/>
            <w:hideMark/>
          </w:tcPr>
          <w:p w14:paraId="00DD5DDF" w14:textId="7833FAF0"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804,</w:t>
            </w:r>
            <w:r w:rsidRPr="005C53F5">
              <w:rPr>
                <w:rFonts w:ascii="Times New Roman" w:eastAsia="Times New Roman" w:hAnsi="Times New Roman" w:cs="Times New Roman"/>
                <w:i/>
                <w:iCs/>
                <w:sz w:val="18"/>
                <w:szCs w:val="18"/>
                <w:lang w:eastAsia="ru-RU"/>
              </w:rPr>
              <w:t>2</w:t>
            </w:r>
          </w:p>
        </w:tc>
        <w:tc>
          <w:tcPr>
            <w:tcW w:w="1246" w:type="dxa"/>
            <w:tcBorders>
              <w:top w:val="nil"/>
              <w:left w:val="nil"/>
              <w:bottom w:val="nil"/>
              <w:right w:val="nil"/>
            </w:tcBorders>
            <w:shd w:val="clear" w:color="auto" w:fill="auto"/>
            <w:noWrap/>
            <w:vAlign w:val="center"/>
            <w:hideMark/>
          </w:tcPr>
          <w:p w14:paraId="4766E577" w14:textId="039B1990"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24</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594,</w:t>
            </w:r>
            <w:r w:rsidRPr="005C53F5">
              <w:rPr>
                <w:rFonts w:ascii="Times New Roman" w:eastAsia="Times New Roman" w:hAnsi="Times New Roman" w:cs="Times New Roman"/>
                <w:i/>
                <w:iCs/>
                <w:sz w:val="18"/>
                <w:szCs w:val="18"/>
                <w:lang w:eastAsia="ru-RU"/>
              </w:rPr>
              <w:t>1</w:t>
            </w:r>
          </w:p>
        </w:tc>
        <w:tc>
          <w:tcPr>
            <w:tcW w:w="1191" w:type="dxa"/>
            <w:tcBorders>
              <w:top w:val="nil"/>
              <w:left w:val="nil"/>
              <w:bottom w:val="nil"/>
              <w:right w:val="nil"/>
            </w:tcBorders>
            <w:shd w:val="clear" w:color="auto" w:fill="auto"/>
            <w:noWrap/>
            <w:vAlign w:val="center"/>
            <w:hideMark/>
          </w:tcPr>
          <w:p w14:paraId="517DDB93" w14:textId="0BDFF1FD"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466,8</w:t>
            </w:r>
          </w:p>
        </w:tc>
        <w:tc>
          <w:tcPr>
            <w:tcW w:w="1276" w:type="dxa"/>
            <w:tcBorders>
              <w:top w:val="nil"/>
              <w:left w:val="nil"/>
              <w:bottom w:val="nil"/>
              <w:right w:val="nil"/>
            </w:tcBorders>
            <w:shd w:val="clear" w:color="auto" w:fill="auto"/>
            <w:noWrap/>
            <w:vAlign w:val="center"/>
            <w:hideMark/>
          </w:tcPr>
          <w:p w14:paraId="645D776F" w14:textId="7579F60D"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422,</w:t>
            </w:r>
            <w:r w:rsidRPr="005C53F5">
              <w:rPr>
                <w:rFonts w:ascii="Times New Roman" w:eastAsia="Times New Roman" w:hAnsi="Times New Roman" w:cs="Times New Roman"/>
                <w:i/>
                <w:iCs/>
                <w:sz w:val="18"/>
                <w:szCs w:val="18"/>
                <w:lang w:eastAsia="ru-RU"/>
              </w:rPr>
              <w:t>1</w:t>
            </w:r>
          </w:p>
        </w:tc>
      </w:tr>
      <w:tr w:rsidR="006C578F" w:rsidRPr="005C53F5" w14:paraId="603A597D" w14:textId="77777777" w:rsidTr="006C578F">
        <w:trPr>
          <w:trHeight w:val="765"/>
        </w:trPr>
        <w:tc>
          <w:tcPr>
            <w:tcW w:w="3402" w:type="dxa"/>
            <w:tcBorders>
              <w:top w:val="nil"/>
              <w:left w:val="nil"/>
              <w:bottom w:val="nil"/>
              <w:right w:val="nil"/>
            </w:tcBorders>
            <w:shd w:val="clear" w:color="auto" w:fill="auto"/>
            <w:vAlign w:val="center"/>
            <w:hideMark/>
          </w:tcPr>
          <w:p w14:paraId="6DB9290E"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Покрытие расходов, связанных с управлением Нацфондом и проведением ежегодного внешнего аудита</w:t>
            </w:r>
          </w:p>
        </w:tc>
        <w:tc>
          <w:tcPr>
            <w:tcW w:w="1417" w:type="dxa"/>
            <w:tcBorders>
              <w:top w:val="nil"/>
              <w:left w:val="nil"/>
              <w:bottom w:val="nil"/>
              <w:right w:val="nil"/>
            </w:tcBorders>
            <w:shd w:val="clear" w:color="auto" w:fill="auto"/>
            <w:noWrap/>
            <w:vAlign w:val="center"/>
            <w:hideMark/>
          </w:tcPr>
          <w:p w14:paraId="7368F059" w14:textId="74E55424"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153,</w:t>
            </w:r>
            <w:r w:rsidRPr="005C53F5">
              <w:rPr>
                <w:rFonts w:ascii="Times New Roman" w:eastAsia="Times New Roman" w:hAnsi="Times New Roman" w:cs="Times New Roman"/>
                <w:b/>
                <w:bCs/>
                <w:sz w:val="18"/>
                <w:szCs w:val="18"/>
                <w:lang w:eastAsia="ru-RU"/>
              </w:rPr>
              <w:t>9</w:t>
            </w:r>
          </w:p>
        </w:tc>
        <w:tc>
          <w:tcPr>
            <w:tcW w:w="1107" w:type="dxa"/>
            <w:tcBorders>
              <w:top w:val="nil"/>
              <w:left w:val="nil"/>
              <w:bottom w:val="nil"/>
              <w:right w:val="nil"/>
            </w:tcBorders>
            <w:shd w:val="clear" w:color="auto" w:fill="auto"/>
            <w:noWrap/>
            <w:vAlign w:val="center"/>
            <w:hideMark/>
          </w:tcPr>
          <w:p w14:paraId="1BD986B0" w14:textId="6CB23987"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18</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808,</w:t>
            </w:r>
            <w:r w:rsidRPr="005C53F5">
              <w:rPr>
                <w:rFonts w:ascii="Times New Roman" w:eastAsia="Times New Roman" w:hAnsi="Times New Roman" w:cs="Times New Roman"/>
                <w:b/>
                <w:bCs/>
                <w:sz w:val="18"/>
                <w:szCs w:val="18"/>
                <w:lang w:eastAsia="ru-RU"/>
              </w:rPr>
              <w:t>7</w:t>
            </w:r>
          </w:p>
        </w:tc>
        <w:tc>
          <w:tcPr>
            <w:tcW w:w="1246" w:type="dxa"/>
            <w:tcBorders>
              <w:top w:val="nil"/>
              <w:left w:val="nil"/>
              <w:bottom w:val="nil"/>
              <w:right w:val="nil"/>
            </w:tcBorders>
            <w:shd w:val="clear" w:color="auto" w:fill="auto"/>
            <w:noWrap/>
            <w:vAlign w:val="center"/>
            <w:hideMark/>
          </w:tcPr>
          <w:p w14:paraId="0310C743" w14:textId="5517336D"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6</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594,</w:t>
            </w:r>
            <w:r w:rsidRPr="005C53F5">
              <w:rPr>
                <w:rFonts w:ascii="Times New Roman" w:eastAsia="Times New Roman" w:hAnsi="Times New Roman" w:cs="Times New Roman"/>
                <w:b/>
                <w:bCs/>
                <w:sz w:val="18"/>
                <w:szCs w:val="18"/>
                <w:lang w:eastAsia="ru-RU"/>
              </w:rPr>
              <w:t>1</w:t>
            </w:r>
          </w:p>
        </w:tc>
        <w:tc>
          <w:tcPr>
            <w:tcW w:w="1191" w:type="dxa"/>
            <w:tcBorders>
              <w:top w:val="nil"/>
              <w:left w:val="nil"/>
              <w:bottom w:val="nil"/>
              <w:right w:val="nil"/>
            </w:tcBorders>
            <w:shd w:val="clear" w:color="auto" w:fill="auto"/>
            <w:noWrap/>
            <w:vAlign w:val="center"/>
            <w:hideMark/>
          </w:tcPr>
          <w:p w14:paraId="35B90718" w14:textId="499AB550"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18</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074,</w:t>
            </w:r>
            <w:r w:rsidRPr="005C53F5">
              <w:rPr>
                <w:rFonts w:ascii="Times New Roman" w:eastAsia="Times New Roman" w:hAnsi="Times New Roman" w:cs="Times New Roman"/>
                <w:b/>
                <w:bCs/>
                <w:sz w:val="18"/>
                <w:szCs w:val="18"/>
                <w:lang w:eastAsia="ru-RU"/>
              </w:rPr>
              <w:t>4</w:t>
            </w:r>
          </w:p>
        </w:tc>
        <w:tc>
          <w:tcPr>
            <w:tcW w:w="1276" w:type="dxa"/>
            <w:tcBorders>
              <w:top w:val="nil"/>
              <w:left w:val="nil"/>
              <w:bottom w:val="nil"/>
              <w:right w:val="nil"/>
            </w:tcBorders>
            <w:shd w:val="clear" w:color="auto" w:fill="auto"/>
            <w:noWrap/>
            <w:vAlign w:val="center"/>
            <w:hideMark/>
          </w:tcPr>
          <w:p w14:paraId="1651EE94" w14:textId="2F60129C"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13</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987,</w:t>
            </w:r>
            <w:r w:rsidRPr="005C53F5">
              <w:rPr>
                <w:rFonts w:ascii="Times New Roman" w:eastAsia="Times New Roman" w:hAnsi="Times New Roman" w:cs="Times New Roman"/>
                <w:b/>
                <w:bCs/>
                <w:sz w:val="18"/>
                <w:szCs w:val="18"/>
                <w:lang w:eastAsia="ru-RU"/>
              </w:rPr>
              <w:t>3</w:t>
            </w:r>
          </w:p>
        </w:tc>
      </w:tr>
      <w:tr w:rsidR="006C578F" w:rsidRPr="005C53F5" w14:paraId="06C22514" w14:textId="77777777" w:rsidTr="006C578F">
        <w:trPr>
          <w:trHeight w:val="255"/>
        </w:trPr>
        <w:tc>
          <w:tcPr>
            <w:tcW w:w="3402" w:type="dxa"/>
            <w:tcBorders>
              <w:top w:val="nil"/>
              <w:left w:val="nil"/>
              <w:bottom w:val="nil"/>
              <w:right w:val="nil"/>
            </w:tcBorders>
            <w:shd w:val="clear" w:color="auto" w:fill="auto"/>
            <w:vAlign w:val="center"/>
            <w:hideMark/>
          </w:tcPr>
          <w:p w14:paraId="3987F351"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III. ЧИСТОЕ БЮДЖЕТНОЕ КРЕДИТОВАНИЕ</w:t>
            </w:r>
          </w:p>
        </w:tc>
        <w:tc>
          <w:tcPr>
            <w:tcW w:w="1417" w:type="dxa"/>
            <w:tcBorders>
              <w:top w:val="nil"/>
              <w:left w:val="nil"/>
              <w:bottom w:val="nil"/>
              <w:right w:val="nil"/>
            </w:tcBorders>
            <w:shd w:val="clear" w:color="auto" w:fill="auto"/>
            <w:noWrap/>
            <w:vAlign w:val="center"/>
            <w:hideMark/>
          </w:tcPr>
          <w:p w14:paraId="2F8E3B46" w14:textId="63983E8A"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84</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702,</w:t>
            </w:r>
            <w:r w:rsidRPr="005C53F5">
              <w:rPr>
                <w:rFonts w:ascii="Times New Roman" w:eastAsia="Times New Roman" w:hAnsi="Times New Roman" w:cs="Times New Roman"/>
                <w:b/>
                <w:bCs/>
                <w:sz w:val="18"/>
                <w:szCs w:val="18"/>
                <w:lang w:eastAsia="ru-RU"/>
              </w:rPr>
              <w:t>1</w:t>
            </w:r>
          </w:p>
        </w:tc>
        <w:tc>
          <w:tcPr>
            <w:tcW w:w="1107" w:type="dxa"/>
            <w:tcBorders>
              <w:top w:val="nil"/>
              <w:left w:val="nil"/>
              <w:bottom w:val="nil"/>
              <w:right w:val="nil"/>
            </w:tcBorders>
            <w:shd w:val="clear" w:color="auto" w:fill="auto"/>
            <w:noWrap/>
            <w:vAlign w:val="center"/>
            <w:hideMark/>
          </w:tcPr>
          <w:p w14:paraId="7E84C5E4" w14:textId="4C9605A9"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249</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842,</w:t>
            </w:r>
            <w:r w:rsidRPr="005C53F5">
              <w:rPr>
                <w:rFonts w:ascii="Times New Roman" w:eastAsia="Times New Roman" w:hAnsi="Times New Roman" w:cs="Times New Roman"/>
                <w:b/>
                <w:bCs/>
                <w:sz w:val="18"/>
                <w:szCs w:val="18"/>
                <w:lang w:eastAsia="ru-RU"/>
              </w:rPr>
              <w:t>2</w:t>
            </w:r>
          </w:p>
        </w:tc>
        <w:tc>
          <w:tcPr>
            <w:tcW w:w="1246" w:type="dxa"/>
            <w:tcBorders>
              <w:top w:val="nil"/>
              <w:left w:val="nil"/>
              <w:bottom w:val="nil"/>
              <w:right w:val="nil"/>
            </w:tcBorders>
            <w:shd w:val="clear" w:color="auto" w:fill="auto"/>
            <w:noWrap/>
            <w:vAlign w:val="center"/>
            <w:hideMark/>
          </w:tcPr>
          <w:p w14:paraId="46A8B763" w14:textId="42030B1F"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201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451,</w:t>
            </w:r>
            <w:r w:rsidRPr="005C53F5">
              <w:rPr>
                <w:rFonts w:ascii="Times New Roman" w:eastAsia="Times New Roman" w:hAnsi="Times New Roman" w:cs="Times New Roman"/>
                <w:b/>
                <w:bCs/>
                <w:sz w:val="18"/>
                <w:szCs w:val="18"/>
                <w:lang w:eastAsia="ru-RU"/>
              </w:rPr>
              <w:t>3</w:t>
            </w:r>
          </w:p>
        </w:tc>
        <w:tc>
          <w:tcPr>
            <w:tcW w:w="1191" w:type="dxa"/>
            <w:tcBorders>
              <w:top w:val="nil"/>
              <w:left w:val="nil"/>
              <w:bottom w:val="nil"/>
              <w:right w:val="nil"/>
            </w:tcBorders>
            <w:shd w:val="clear" w:color="auto" w:fill="auto"/>
            <w:noWrap/>
            <w:vAlign w:val="center"/>
            <w:hideMark/>
          </w:tcPr>
          <w:p w14:paraId="519018AC" w14:textId="540D22FE"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162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839,</w:t>
            </w:r>
            <w:r w:rsidRPr="005C53F5">
              <w:rPr>
                <w:rFonts w:ascii="Times New Roman" w:eastAsia="Times New Roman" w:hAnsi="Times New Roman" w:cs="Times New Roman"/>
                <w:b/>
                <w:bCs/>
                <w:sz w:val="18"/>
                <w:szCs w:val="18"/>
                <w:lang w:eastAsia="ru-RU"/>
              </w:rPr>
              <w:t>6</w:t>
            </w:r>
          </w:p>
        </w:tc>
        <w:tc>
          <w:tcPr>
            <w:tcW w:w="1276" w:type="dxa"/>
            <w:tcBorders>
              <w:top w:val="nil"/>
              <w:left w:val="nil"/>
              <w:bottom w:val="nil"/>
              <w:right w:val="nil"/>
            </w:tcBorders>
            <w:shd w:val="clear" w:color="auto" w:fill="auto"/>
            <w:noWrap/>
            <w:vAlign w:val="center"/>
            <w:hideMark/>
          </w:tcPr>
          <w:p w14:paraId="200F51CF" w14:textId="1B5F4B12"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262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880,</w:t>
            </w:r>
            <w:r w:rsidRPr="005C53F5">
              <w:rPr>
                <w:rFonts w:ascii="Times New Roman" w:eastAsia="Times New Roman" w:hAnsi="Times New Roman" w:cs="Times New Roman"/>
                <w:b/>
                <w:bCs/>
                <w:sz w:val="18"/>
                <w:szCs w:val="18"/>
                <w:lang w:eastAsia="ru-RU"/>
              </w:rPr>
              <w:t>8</w:t>
            </w:r>
          </w:p>
        </w:tc>
      </w:tr>
      <w:tr w:rsidR="006C578F" w:rsidRPr="005C53F5" w14:paraId="0480404B" w14:textId="77777777" w:rsidTr="006C578F">
        <w:trPr>
          <w:trHeight w:val="255"/>
        </w:trPr>
        <w:tc>
          <w:tcPr>
            <w:tcW w:w="3402" w:type="dxa"/>
            <w:tcBorders>
              <w:top w:val="nil"/>
              <w:left w:val="nil"/>
              <w:bottom w:val="nil"/>
              <w:right w:val="nil"/>
            </w:tcBorders>
            <w:shd w:val="clear" w:color="auto" w:fill="auto"/>
            <w:vAlign w:val="center"/>
            <w:hideMark/>
          </w:tcPr>
          <w:p w14:paraId="6115308D"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БЮДЖЕТНЫЕ КРЕДИТЫ</w:t>
            </w:r>
          </w:p>
        </w:tc>
        <w:tc>
          <w:tcPr>
            <w:tcW w:w="1417" w:type="dxa"/>
            <w:tcBorders>
              <w:top w:val="nil"/>
              <w:left w:val="nil"/>
              <w:bottom w:val="nil"/>
              <w:right w:val="nil"/>
            </w:tcBorders>
            <w:shd w:val="clear" w:color="auto" w:fill="auto"/>
            <w:noWrap/>
            <w:vAlign w:val="center"/>
            <w:hideMark/>
          </w:tcPr>
          <w:p w14:paraId="04F48B96" w14:textId="067E962E"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152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896,</w:t>
            </w:r>
            <w:r w:rsidRPr="005C53F5">
              <w:rPr>
                <w:rFonts w:ascii="Times New Roman" w:eastAsia="Times New Roman" w:hAnsi="Times New Roman" w:cs="Times New Roman"/>
                <w:b/>
                <w:bCs/>
                <w:sz w:val="18"/>
                <w:szCs w:val="18"/>
                <w:lang w:eastAsia="ru-RU"/>
              </w:rPr>
              <w:t>9</w:t>
            </w:r>
          </w:p>
        </w:tc>
        <w:tc>
          <w:tcPr>
            <w:tcW w:w="1107" w:type="dxa"/>
            <w:tcBorders>
              <w:top w:val="nil"/>
              <w:left w:val="nil"/>
              <w:bottom w:val="nil"/>
              <w:right w:val="nil"/>
            </w:tcBorders>
            <w:shd w:val="clear" w:color="auto" w:fill="auto"/>
            <w:noWrap/>
            <w:vAlign w:val="center"/>
            <w:hideMark/>
          </w:tcPr>
          <w:p w14:paraId="349B9E5C" w14:textId="5228FE01"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322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610,7</w:t>
            </w:r>
          </w:p>
        </w:tc>
        <w:tc>
          <w:tcPr>
            <w:tcW w:w="1246" w:type="dxa"/>
            <w:tcBorders>
              <w:top w:val="nil"/>
              <w:left w:val="nil"/>
              <w:bottom w:val="nil"/>
              <w:right w:val="nil"/>
            </w:tcBorders>
            <w:shd w:val="clear" w:color="auto" w:fill="auto"/>
            <w:noWrap/>
            <w:vAlign w:val="center"/>
            <w:hideMark/>
          </w:tcPr>
          <w:p w14:paraId="5116F0FC" w14:textId="26DEAF68"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304</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168,</w:t>
            </w:r>
            <w:r w:rsidRPr="005C53F5">
              <w:rPr>
                <w:rFonts w:ascii="Times New Roman" w:eastAsia="Times New Roman" w:hAnsi="Times New Roman" w:cs="Times New Roman"/>
                <w:b/>
                <w:bCs/>
                <w:sz w:val="18"/>
                <w:szCs w:val="18"/>
                <w:lang w:eastAsia="ru-RU"/>
              </w:rPr>
              <w:t>7</w:t>
            </w:r>
          </w:p>
        </w:tc>
        <w:tc>
          <w:tcPr>
            <w:tcW w:w="1191" w:type="dxa"/>
            <w:tcBorders>
              <w:top w:val="nil"/>
              <w:left w:val="nil"/>
              <w:bottom w:val="nil"/>
              <w:right w:val="nil"/>
            </w:tcBorders>
            <w:shd w:val="clear" w:color="auto" w:fill="auto"/>
            <w:noWrap/>
            <w:vAlign w:val="center"/>
            <w:hideMark/>
          </w:tcPr>
          <w:p w14:paraId="7827CAE9" w14:textId="26B60533"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272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937,</w:t>
            </w:r>
            <w:r w:rsidRPr="005C53F5">
              <w:rPr>
                <w:rFonts w:ascii="Times New Roman" w:eastAsia="Times New Roman" w:hAnsi="Times New Roman" w:cs="Times New Roman"/>
                <w:b/>
                <w:bCs/>
                <w:sz w:val="18"/>
                <w:szCs w:val="18"/>
                <w:lang w:eastAsia="ru-RU"/>
              </w:rPr>
              <w:t>1</w:t>
            </w:r>
          </w:p>
        </w:tc>
        <w:tc>
          <w:tcPr>
            <w:tcW w:w="1276" w:type="dxa"/>
            <w:tcBorders>
              <w:top w:val="nil"/>
              <w:left w:val="nil"/>
              <w:bottom w:val="nil"/>
              <w:right w:val="nil"/>
            </w:tcBorders>
            <w:shd w:val="clear" w:color="auto" w:fill="auto"/>
            <w:noWrap/>
            <w:vAlign w:val="center"/>
            <w:hideMark/>
          </w:tcPr>
          <w:p w14:paraId="29A044E8" w14:textId="7A27057F"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392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948,1</w:t>
            </w:r>
          </w:p>
        </w:tc>
      </w:tr>
      <w:tr w:rsidR="006C578F" w:rsidRPr="005C53F5" w14:paraId="165A1766" w14:textId="77777777" w:rsidTr="006C578F">
        <w:trPr>
          <w:trHeight w:val="255"/>
        </w:trPr>
        <w:tc>
          <w:tcPr>
            <w:tcW w:w="3402" w:type="dxa"/>
            <w:tcBorders>
              <w:top w:val="nil"/>
              <w:left w:val="nil"/>
              <w:bottom w:val="nil"/>
              <w:right w:val="nil"/>
            </w:tcBorders>
            <w:shd w:val="clear" w:color="auto" w:fill="auto"/>
            <w:vAlign w:val="center"/>
            <w:hideMark/>
          </w:tcPr>
          <w:p w14:paraId="472F1FB7"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Социальная помощь и социальное обеспечение</w:t>
            </w:r>
          </w:p>
        </w:tc>
        <w:tc>
          <w:tcPr>
            <w:tcW w:w="1417" w:type="dxa"/>
            <w:tcBorders>
              <w:top w:val="nil"/>
              <w:left w:val="nil"/>
              <w:bottom w:val="nil"/>
              <w:right w:val="nil"/>
            </w:tcBorders>
            <w:shd w:val="clear" w:color="auto" w:fill="auto"/>
            <w:noWrap/>
            <w:vAlign w:val="center"/>
            <w:hideMark/>
          </w:tcPr>
          <w:p w14:paraId="75E0783C" w14:textId="2604D59A"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346,0</w:t>
            </w:r>
          </w:p>
        </w:tc>
        <w:tc>
          <w:tcPr>
            <w:tcW w:w="1107" w:type="dxa"/>
            <w:tcBorders>
              <w:top w:val="nil"/>
              <w:left w:val="nil"/>
              <w:bottom w:val="nil"/>
              <w:right w:val="nil"/>
            </w:tcBorders>
            <w:shd w:val="clear" w:color="auto" w:fill="auto"/>
            <w:noWrap/>
            <w:vAlign w:val="center"/>
            <w:hideMark/>
          </w:tcPr>
          <w:p w14:paraId="3F717DF3" w14:textId="1D50A1CC"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30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823,</w:t>
            </w:r>
            <w:r w:rsidRPr="005C53F5">
              <w:rPr>
                <w:rFonts w:ascii="Times New Roman" w:eastAsia="Times New Roman" w:hAnsi="Times New Roman" w:cs="Times New Roman"/>
                <w:i/>
                <w:iCs/>
                <w:sz w:val="18"/>
                <w:szCs w:val="18"/>
                <w:lang w:eastAsia="ru-RU"/>
              </w:rPr>
              <w:t>8</w:t>
            </w:r>
          </w:p>
        </w:tc>
        <w:tc>
          <w:tcPr>
            <w:tcW w:w="1246" w:type="dxa"/>
            <w:tcBorders>
              <w:top w:val="nil"/>
              <w:left w:val="nil"/>
              <w:bottom w:val="nil"/>
              <w:right w:val="nil"/>
            </w:tcBorders>
            <w:shd w:val="clear" w:color="auto" w:fill="auto"/>
            <w:noWrap/>
            <w:vAlign w:val="center"/>
            <w:hideMark/>
          </w:tcPr>
          <w:p w14:paraId="7FF99955" w14:textId="10BAA0DD"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7</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220,</w:t>
            </w:r>
            <w:r w:rsidRPr="005C53F5">
              <w:rPr>
                <w:rFonts w:ascii="Times New Roman" w:eastAsia="Times New Roman" w:hAnsi="Times New Roman" w:cs="Times New Roman"/>
                <w:i/>
                <w:iCs/>
                <w:sz w:val="18"/>
                <w:szCs w:val="18"/>
                <w:lang w:eastAsia="ru-RU"/>
              </w:rPr>
              <w:t>6</w:t>
            </w:r>
          </w:p>
        </w:tc>
        <w:tc>
          <w:tcPr>
            <w:tcW w:w="1191" w:type="dxa"/>
            <w:tcBorders>
              <w:top w:val="nil"/>
              <w:left w:val="nil"/>
              <w:bottom w:val="nil"/>
              <w:right w:val="nil"/>
            </w:tcBorders>
            <w:shd w:val="clear" w:color="auto" w:fill="auto"/>
            <w:noWrap/>
            <w:vAlign w:val="center"/>
            <w:hideMark/>
          </w:tcPr>
          <w:p w14:paraId="257C4BB7" w14:textId="15D810D9"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693,</w:t>
            </w:r>
            <w:r w:rsidRPr="005C53F5">
              <w:rPr>
                <w:rFonts w:ascii="Times New Roman" w:eastAsia="Times New Roman" w:hAnsi="Times New Roman" w:cs="Times New Roman"/>
                <w:i/>
                <w:iCs/>
                <w:sz w:val="18"/>
                <w:szCs w:val="18"/>
                <w:lang w:eastAsia="ru-RU"/>
              </w:rPr>
              <w:t>9</w:t>
            </w:r>
          </w:p>
        </w:tc>
        <w:tc>
          <w:tcPr>
            <w:tcW w:w="1276" w:type="dxa"/>
            <w:tcBorders>
              <w:top w:val="nil"/>
              <w:left w:val="nil"/>
              <w:bottom w:val="nil"/>
              <w:right w:val="nil"/>
            </w:tcBorders>
            <w:shd w:val="clear" w:color="auto" w:fill="auto"/>
            <w:noWrap/>
            <w:vAlign w:val="center"/>
            <w:hideMark/>
          </w:tcPr>
          <w:p w14:paraId="2C716C72" w14:textId="4A89F909"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898,</w:t>
            </w:r>
            <w:r w:rsidRPr="005C53F5">
              <w:rPr>
                <w:rFonts w:ascii="Times New Roman" w:eastAsia="Times New Roman" w:hAnsi="Times New Roman" w:cs="Times New Roman"/>
                <w:i/>
                <w:iCs/>
                <w:sz w:val="18"/>
                <w:szCs w:val="18"/>
                <w:lang w:eastAsia="ru-RU"/>
              </w:rPr>
              <w:t>4</w:t>
            </w:r>
          </w:p>
        </w:tc>
      </w:tr>
      <w:tr w:rsidR="006C578F" w:rsidRPr="005C53F5" w14:paraId="5B1F8F27" w14:textId="77777777" w:rsidTr="006C578F">
        <w:trPr>
          <w:trHeight w:val="255"/>
        </w:trPr>
        <w:tc>
          <w:tcPr>
            <w:tcW w:w="3402" w:type="dxa"/>
            <w:tcBorders>
              <w:top w:val="nil"/>
              <w:left w:val="nil"/>
              <w:bottom w:val="nil"/>
              <w:right w:val="nil"/>
            </w:tcBorders>
            <w:shd w:val="clear" w:color="auto" w:fill="auto"/>
            <w:vAlign w:val="center"/>
            <w:hideMark/>
          </w:tcPr>
          <w:p w14:paraId="1940708F"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Жилищно-коммунальное хозяйство</w:t>
            </w:r>
          </w:p>
        </w:tc>
        <w:tc>
          <w:tcPr>
            <w:tcW w:w="1417" w:type="dxa"/>
            <w:tcBorders>
              <w:top w:val="nil"/>
              <w:left w:val="nil"/>
              <w:bottom w:val="nil"/>
              <w:right w:val="nil"/>
            </w:tcBorders>
            <w:shd w:val="clear" w:color="auto" w:fill="auto"/>
            <w:noWrap/>
            <w:vAlign w:val="center"/>
            <w:hideMark/>
          </w:tcPr>
          <w:p w14:paraId="582AE2E2" w14:textId="36061F8F"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59</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923,</w:t>
            </w:r>
            <w:r w:rsidRPr="005C53F5">
              <w:rPr>
                <w:rFonts w:ascii="Times New Roman" w:eastAsia="Times New Roman" w:hAnsi="Times New Roman" w:cs="Times New Roman"/>
                <w:i/>
                <w:iCs/>
                <w:sz w:val="18"/>
                <w:szCs w:val="18"/>
                <w:lang w:eastAsia="ru-RU"/>
              </w:rPr>
              <w:t>6</w:t>
            </w:r>
          </w:p>
        </w:tc>
        <w:tc>
          <w:tcPr>
            <w:tcW w:w="1107" w:type="dxa"/>
            <w:tcBorders>
              <w:top w:val="nil"/>
              <w:left w:val="nil"/>
              <w:bottom w:val="nil"/>
              <w:right w:val="nil"/>
            </w:tcBorders>
            <w:shd w:val="clear" w:color="auto" w:fill="auto"/>
            <w:noWrap/>
            <w:vAlign w:val="center"/>
            <w:hideMark/>
          </w:tcPr>
          <w:p w14:paraId="004ED624" w14:textId="1C9B276A"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106</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392,</w:t>
            </w:r>
            <w:r w:rsidRPr="005C53F5">
              <w:rPr>
                <w:rFonts w:ascii="Times New Roman" w:eastAsia="Times New Roman" w:hAnsi="Times New Roman" w:cs="Times New Roman"/>
                <w:i/>
                <w:iCs/>
                <w:sz w:val="18"/>
                <w:szCs w:val="18"/>
                <w:lang w:eastAsia="ru-RU"/>
              </w:rPr>
              <w:t>9</w:t>
            </w:r>
          </w:p>
        </w:tc>
        <w:tc>
          <w:tcPr>
            <w:tcW w:w="1246" w:type="dxa"/>
            <w:tcBorders>
              <w:top w:val="nil"/>
              <w:left w:val="nil"/>
              <w:bottom w:val="nil"/>
              <w:right w:val="nil"/>
            </w:tcBorders>
            <w:shd w:val="clear" w:color="auto" w:fill="auto"/>
            <w:noWrap/>
            <w:vAlign w:val="center"/>
            <w:hideMark/>
          </w:tcPr>
          <w:p w14:paraId="6B79D4FA" w14:textId="4CCDFB0A"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48</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068,</w:t>
            </w:r>
            <w:r w:rsidRPr="005C53F5">
              <w:rPr>
                <w:rFonts w:ascii="Times New Roman" w:eastAsia="Times New Roman" w:hAnsi="Times New Roman" w:cs="Times New Roman"/>
                <w:i/>
                <w:iCs/>
                <w:sz w:val="18"/>
                <w:szCs w:val="18"/>
                <w:lang w:eastAsia="ru-RU"/>
              </w:rPr>
              <w:t>7</w:t>
            </w:r>
          </w:p>
        </w:tc>
        <w:tc>
          <w:tcPr>
            <w:tcW w:w="1191" w:type="dxa"/>
            <w:tcBorders>
              <w:top w:val="nil"/>
              <w:left w:val="nil"/>
              <w:bottom w:val="nil"/>
              <w:right w:val="nil"/>
            </w:tcBorders>
            <w:shd w:val="clear" w:color="auto" w:fill="auto"/>
            <w:noWrap/>
            <w:vAlign w:val="center"/>
            <w:hideMark/>
          </w:tcPr>
          <w:p w14:paraId="3BEC79FA" w14:textId="348EC766"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46</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711,</w:t>
            </w:r>
            <w:r w:rsidRPr="005C53F5">
              <w:rPr>
                <w:rFonts w:ascii="Times New Roman" w:eastAsia="Times New Roman" w:hAnsi="Times New Roman" w:cs="Times New Roman"/>
                <w:i/>
                <w:iCs/>
                <w:sz w:val="18"/>
                <w:szCs w:val="18"/>
                <w:lang w:eastAsia="ru-RU"/>
              </w:rPr>
              <w:t>7</w:t>
            </w:r>
          </w:p>
        </w:tc>
        <w:tc>
          <w:tcPr>
            <w:tcW w:w="1276" w:type="dxa"/>
            <w:tcBorders>
              <w:top w:val="nil"/>
              <w:left w:val="nil"/>
              <w:bottom w:val="nil"/>
              <w:right w:val="nil"/>
            </w:tcBorders>
            <w:shd w:val="clear" w:color="auto" w:fill="auto"/>
            <w:noWrap/>
            <w:vAlign w:val="center"/>
            <w:hideMark/>
          </w:tcPr>
          <w:p w14:paraId="7A10371F" w14:textId="461CEB83"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813,</w:t>
            </w:r>
            <w:r w:rsidRPr="005C53F5">
              <w:rPr>
                <w:rFonts w:ascii="Times New Roman" w:eastAsia="Times New Roman" w:hAnsi="Times New Roman" w:cs="Times New Roman"/>
                <w:i/>
                <w:iCs/>
                <w:sz w:val="18"/>
                <w:szCs w:val="18"/>
                <w:lang w:eastAsia="ru-RU"/>
              </w:rPr>
              <w:t>4</w:t>
            </w:r>
          </w:p>
        </w:tc>
      </w:tr>
      <w:tr w:rsidR="006C578F" w:rsidRPr="005C53F5" w14:paraId="256806EF" w14:textId="77777777" w:rsidTr="006C578F">
        <w:trPr>
          <w:trHeight w:val="450"/>
        </w:trPr>
        <w:tc>
          <w:tcPr>
            <w:tcW w:w="3402" w:type="dxa"/>
            <w:tcBorders>
              <w:top w:val="nil"/>
              <w:left w:val="nil"/>
              <w:bottom w:val="nil"/>
              <w:right w:val="nil"/>
            </w:tcBorders>
            <w:shd w:val="clear" w:color="auto" w:fill="auto"/>
            <w:vAlign w:val="center"/>
            <w:hideMark/>
          </w:tcPr>
          <w:p w14:paraId="64C3C4C6"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Топливно-энергетический комплекс и недропользование</w:t>
            </w:r>
          </w:p>
        </w:tc>
        <w:tc>
          <w:tcPr>
            <w:tcW w:w="1417" w:type="dxa"/>
            <w:tcBorders>
              <w:top w:val="nil"/>
              <w:left w:val="nil"/>
              <w:bottom w:val="nil"/>
              <w:right w:val="nil"/>
            </w:tcBorders>
            <w:shd w:val="clear" w:color="auto" w:fill="auto"/>
            <w:noWrap/>
            <w:vAlign w:val="center"/>
            <w:hideMark/>
          </w:tcPr>
          <w:p w14:paraId="4560D890" w14:textId="5E83D9E7"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c>
          <w:tcPr>
            <w:tcW w:w="1107" w:type="dxa"/>
            <w:tcBorders>
              <w:top w:val="nil"/>
              <w:left w:val="nil"/>
              <w:bottom w:val="nil"/>
              <w:right w:val="nil"/>
            </w:tcBorders>
            <w:shd w:val="clear" w:color="auto" w:fill="auto"/>
            <w:noWrap/>
            <w:vAlign w:val="center"/>
            <w:hideMark/>
          </w:tcPr>
          <w:p w14:paraId="2F60F716" w14:textId="034B608B"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c>
          <w:tcPr>
            <w:tcW w:w="1246" w:type="dxa"/>
            <w:tcBorders>
              <w:top w:val="nil"/>
              <w:left w:val="nil"/>
              <w:bottom w:val="nil"/>
              <w:right w:val="nil"/>
            </w:tcBorders>
            <w:shd w:val="clear" w:color="auto" w:fill="auto"/>
            <w:noWrap/>
            <w:vAlign w:val="center"/>
            <w:hideMark/>
          </w:tcPr>
          <w:p w14:paraId="35F3DA9D" w14:textId="7DC35E01"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c>
          <w:tcPr>
            <w:tcW w:w="1191" w:type="dxa"/>
            <w:tcBorders>
              <w:top w:val="nil"/>
              <w:left w:val="nil"/>
              <w:bottom w:val="nil"/>
              <w:right w:val="nil"/>
            </w:tcBorders>
            <w:shd w:val="clear" w:color="auto" w:fill="auto"/>
            <w:noWrap/>
            <w:vAlign w:val="center"/>
            <w:hideMark/>
          </w:tcPr>
          <w:p w14:paraId="671687C8" w14:textId="4AFA3E55"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c>
          <w:tcPr>
            <w:tcW w:w="1276" w:type="dxa"/>
            <w:tcBorders>
              <w:top w:val="nil"/>
              <w:left w:val="nil"/>
              <w:bottom w:val="nil"/>
              <w:right w:val="nil"/>
            </w:tcBorders>
            <w:shd w:val="clear" w:color="auto" w:fill="auto"/>
            <w:noWrap/>
            <w:vAlign w:val="center"/>
            <w:hideMark/>
          </w:tcPr>
          <w:p w14:paraId="6664002F" w14:textId="1F4098CB"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546,0</w:t>
            </w:r>
          </w:p>
        </w:tc>
      </w:tr>
      <w:tr w:rsidR="006C578F" w:rsidRPr="005C53F5" w14:paraId="07E6D5B2" w14:textId="77777777" w:rsidTr="006C578F">
        <w:trPr>
          <w:trHeight w:val="1020"/>
        </w:trPr>
        <w:tc>
          <w:tcPr>
            <w:tcW w:w="3402" w:type="dxa"/>
            <w:tcBorders>
              <w:top w:val="nil"/>
              <w:left w:val="nil"/>
              <w:bottom w:val="nil"/>
              <w:right w:val="nil"/>
            </w:tcBorders>
            <w:shd w:val="clear" w:color="auto" w:fill="auto"/>
            <w:vAlign w:val="center"/>
            <w:hideMark/>
          </w:tcPr>
          <w:p w14:paraId="22DEBBF8"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417" w:type="dxa"/>
            <w:tcBorders>
              <w:top w:val="nil"/>
              <w:left w:val="nil"/>
              <w:bottom w:val="nil"/>
              <w:right w:val="nil"/>
            </w:tcBorders>
            <w:shd w:val="clear" w:color="auto" w:fill="auto"/>
            <w:noWrap/>
            <w:vAlign w:val="center"/>
            <w:hideMark/>
          </w:tcPr>
          <w:p w14:paraId="55DDD4F6" w14:textId="07453DF6"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68</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711,</w:t>
            </w:r>
            <w:r w:rsidRPr="005C53F5">
              <w:rPr>
                <w:rFonts w:ascii="Times New Roman" w:eastAsia="Times New Roman" w:hAnsi="Times New Roman" w:cs="Times New Roman"/>
                <w:i/>
                <w:iCs/>
                <w:sz w:val="18"/>
                <w:szCs w:val="18"/>
                <w:lang w:eastAsia="ru-RU"/>
              </w:rPr>
              <w:t>7</w:t>
            </w:r>
          </w:p>
        </w:tc>
        <w:tc>
          <w:tcPr>
            <w:tcW w:w="1107" w:type="dxa"/>
            <w:tcBorders>
              <w:top w:val="nil"/>
              <w:left w:val="nil"/>
              <w:bottom w:val="nil"/>
              <w:right w:val="nil"/>
            </w:tcBorders>
            <w:shd w:val="clear" w:color="auto" w:fill="auto"/>
            <w:noWrap/>
            <w:vAlign w:val="center"/>
            <w:hideMark/>
          </w:tcPr>
          <w:p w14:paraId="3A3FC03A" w14:textId="2FA391BE"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68</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833,1</w:t>
            </w:r>
          </w:p>
        </w:tc>
        <w:tc>
          <w:tcPr>
            <w:tcW w:w="1246" w:type="dxa"/>
            <w:tcBorders>
              <w:top w:val="nil"/>
              <w:left w:val="nil"/>
              <w:bottom w:val="nil"/>
              <w:right w:val="nil"/>
            </w:tcBorders>
            <w:shd w:val="clear" w:color="auto" w:fill="auto"/>
            <w:noWrap/>
            <w:vAlign w:val="center"/>
            <w:hideMark/>
          </w:tcPr>
          <w:p w14:paraId="3ABE4943" w14:textId="731E9B3B"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100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864,</w:t>
            </w:r>
            <w:r w:rsidRPr="005C53F5">
              <w:rPr>
                <w:rFonts w:ascii="Times New Roman" w:eastAsia="Times New Roman" w:hAnsi="Times New Roman" w:cs="Times New Roman"/>
                <w:i/>
                <w:iCs/>
                <w:sz w:val="18"/>
                <w:szCs w:val="18"/>
                <w:lang w:eastAsia="ru-RU"/>
              </w:rPr>
              <w:t>5</w:t>
            </w:r>
          </w:p>
        </w:tc>
        <w:tc>
          <w:tcPr>
            <w:tcW w:w="1191" w:type="dxa"/>
            <w:tcBorders>
              <w:top w:val="nil"/>
              <w:left w:val="nil"/>
              <w:bottom w:val="nil"/>
              <w:right w:val="nil"/>
            </w:tcBorders>
            <w:shd w:val="clear" w:color="auto" w:fill="auto"/>
            <w:noWrap/>
            <w:vAlign w:val="center"/>
            <w:hideMark/>
          </w:tcPr>
          <w:p w14:paraId="310D612A" w14:textId="4FABD604"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120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089,</w:t>
            </w:r>
            <w:r w:rsidRPr="005C53F5">
              <w:rPr>
                <w:rFonts w:ascii="Times New Roman" w:eastAsia="Times New Roman" w:hAnsi="Times New Roman" w:cs="Times New Roman"/>
                <w:i/>
                <w:iCs/>
                <w:sz w:val="18"/>
                <w:szCs w:val="18"/>
                <w:lang w:eastAsia="ru-RU"/>
              </w:rPr>
              <w:t>1</w:t>
            </w:r>
          </w:p>
        </w:tc>
        <w:tc>
          <w:tcPr>
            <w:tcW w:w="1276" w:type="dxa"/>
            <w:tcBorders>
              <w:top w:val="nil"/>
              <w:left w:val="nil"/>
              <w:bottom w:val="nil"/>
              <w:right w:val="nil"/>
            </w:tcBorders>
            <w:shd w:val="clear" w:color="auto" w:fill="auto"/>
            <w:noWrap/>
            <w:vAlign w:val="center"/>
            <w:hideMark/>
          </w:tcPr>
          <w:p w14:paraId="69554938" w14:textId="012FB05B"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147</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294,</w:t>
            </w:r>
            <w:r w:rsidRPr="005C53F5">
              <w:rPr>
                <w:rFonts w:ascii="Times New Roman" w:eastAsia="Times New Roman" w:hAnsi="Times New Roman" w:cs="Times New Roman"/>
                <w:i/>
                <w:iCs/>
                <w:sz w:val="18"/>
                <w:szCs w:val="18"/>
                <w:lang w:eastAsia="ru-RU"/>
              </w:rPr>
              <w:t>6</w:t>
            </w:r>
          </w:p>
        </w:tc>
      </w:tr>
      <w:tr w:rsidR="00F24250" w:rsidRPr="005C53F5" w14:paraId="40B98945" w14:textId="77777777" w:rsidTr="005C04E2">
        <w:trPr>
          <w:trHeight w:val="450"/>
        </w:trPr>
        <w:tc>
          <w:tcPr>
            <w:tcW w:w="3402" w:type="dxa"/>
            <w:tcBorders>
              <w:top w:val="nil"/>
              <w:left w:val="nil"/>
              <w:bottom w:val="nil"/>
              <w:right w:val="nil"/>
            </w:tcBorders>
            <w:shd w:val="clear" w:color="auto" w:fill="auto"/>
            <w:vAlign w:val="center"/>
            <w:hideMark/>
          </w:tcPr>
          <w:p w14:paraId="3DA0B3CE" w14:textId="77777777" w:rsidR="00F24250" w:rsidRPr="005C53F5" w:rsidRDefault="00F24250" w:rsidP="00057BE5">
            <w:pPr>
              <w:spacing w:after="0" w:line="240" w:lineRule="auto"/>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Промышленность, архитектурная, градостроительная и строительная деятельность</w:t>
            </w:r>
          </w:p>
        </w:tc>
        <w:tc>
          <w:tcPr>
            <w:tcW w:w="1417" w:type="dxa"/>
            <w:tcBorders>
              <w:top w:val="nil"/>
              <w:left w:val="nil"/>
              <w:bottom w:val="nil"/>
              <w:right w:val="nil"/>
            </w:tcBorders>
            <w:shd w:val="clear" w:color="auto" w:fill="auto"/>
            <w:noWrap/>
            <w:vAlign w:val="center"/>
            <w:hideMark/>
          </w:tcPr>
          <w:p w14:paraId="591EAAC5"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0,0</w:t>
            </w:r>
          </w:p>
        </w:tc>
        <w:tc>
          <w:tcPr>
            <w:tcW w:w="1107" w:type="dxa"/>
            <w:tcBorders>
              <w:top w:val="nil"/>
              <w:left w:val="nil"/>
              <w:bottom w:val="nil"/>
              <w:right w:val="nil"/>
            </w:tcBorders>
            <w:shd w:val="clear" w:color="auto" w:fill="auto"/>
            <w:noWrap/>
            <w:vAlign w:val="center"/>
            <w:hideMark/>
          </w:tcPr>
          <w:p w14:paraId="088A259B"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0,0</w:t>
            </w:r>
          </w:p>
        </w:tc>
        <w:tc>
          <w:tcPr>
            <w:tcW w:w="1246" w:type="dxa"/>
            <w:tcBorders>
              <w:top w:val="nil"/>
              <w:left w:val="nil"/>
              <w:bottom w:val="nil"/>
              <w:right w:val="nil"/>
            </w:tcBorders>
            <w:shd w:val="clear" w:color="auto" w:fill="auto"/>
            <w:noWrap/>
            <w:vAlign w:val="center"/>
            <w:hideMark/>
          </w:tcPr>
          <w:p w14:paraId="36D15D36"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10 000,0</w:t>
            </w:r>
          </w:p>
        </w:tc>
        <w:tc>
          <w:tcPr>
            <w:tcW w:w="1191" w:type="dxa"/>
            <w:tcBorders>
              <w:top w:val="nil"/>
              <w:left w:val="nil"/>
              <w:bottom w:val="nil"/>
              <w:right w:val="nil"/>
            </w:tcBorders>
            <w:shd w:val="clear" w:color="auto" w:fill="auto"/>
            <w:noWrap/>
            <w:vAlign w:val="center"/>
            <w:hideMark/>
          </w:tcPr>
          <w:p w14:paraId="18F1B969"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13 000,0</w:t>
            </w:r>
          </w:p>
        </w:tc>
        <w:tc>
          <w:tcPr>
            <w:tcW w:w="1276" w:type="dxa"/>
            <w:tcBorders>
              <w:top w:val="nil"/>
              <w:left w:val="nil"/>
              <w:bottom w:val="nil"/>
              <w:right w:val="nil"/>
            </w:tcBorders>
            <w:shd w:val="clear" w:color="auto" w:fill="auto"/>
            <w:noWrap/>
            <w:vAlign w:val="center"/>
            <w:hideMark/>
          </w:tcPr>
          <w:p w14:paraId="0C62ADFD"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10 000,0</w:t>
            </w:r>
          </w:p>
        </w:tc>
      </w:tr>
      <w:tr w:rsidR="006C578F" w:rsidRPr="005C53F5" w14:paraId="42E4130A" w14:textId="77777777" w:rsidTr="006C578F">
        <w:trPr>
          <w:trHeight w:val="255"/>
        </w:trPr>
        <w:tc>
          <w:tcPr>
            <w:tcW w:w="3402" w:type="dxa"/>
            <w:tcBorders>
              <w:top w:val="nil"/>
              <w:left w:val="nil"/>
              <w:bottom w:val="nil"/>
              <w:right w:val="nil"/>
            </w:tcBorders>
            <w:shd w:val="clear" w:color="auto" w:fill="auto"/>
            <w:hideMark/>
          </w:tcPr>
          <w:p w14:paraId="28D3E50C"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Транспорт и коммуникации</w:t>
            </w:r>
          </w:p>
        </w:tc>
        <w:tc>
          <w:tcPr>
            <w:tcW w:w="1417" w:type="dxa"/>
            <w:tcBorders>
              <w:top w:val="nil"/>
              <w:left w:val="nil"/>
              <w:bottom w:val="nil"/>
              <w:right w:val="nil"/>
            </w:tcBorders>
            <w:shd w:val="clear" w:color="auto" w:fill="auto"/>
            <w:noWrap/>
            <w:vAlign w:val="center"/>
            <w:hideMark/>
          </w:tcPr>
          <w:p w14:paraId="6406D40D" w14:textId="1D8D450A"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c>
          <w:tcPr>
            <w:tcW w:w="1107" w:type="dxa"/>
            <w:tcBorders>
              <w:top w:val="nil"/>
              <w:left w:val="nil"/>
              <w:bottom w:val="nil"/>
              <w:right w:val="nil"/>
            </w:tcBorders>
            <w:shd w:val="clear" w:color="auto" w:fill="auto"/>
            <w:noWrap/>
            <w:vAlign w:val="center"/>
            <w:hideMark/>
          </w:tcPr>
          <w:p w14:paraId="7501D6A1" w14:textId="068AD922"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861,</w:t>
            </w:r>
            <w:r w:rsidRPr="005C53F5">
              <w:rPr>
                <w:rFonts w:ascii="Times New Roman" w:eastAsia="Times New Roman" w:hAnsi="Times New Roman" w:cs="Times New Roman"/>
                <w:i/>
                <w:iCs/>
                <w:sz w:val="18"/>
                <w:szCs w:val="18"/>
                <w:lang w:eastAsia="ru-RU"/>
              </w:rPr>
              <w:t>8</w:t>
            </w:r>
          </w:p>
        </w:tc>
        <w:tc>
          <w:tcPr>
            <w:tcW w:w="1246" w:type="dxa"/>
            <w:tcBorders>
              <w:top w:val="nil"/>
              <w:left w:val="nil"/>
              <w:bottom w:val="nil"/>
              <w:right w:val="nil"/>
            </w:tcBorders>
            <w:shd w:val="clear" w:color="auto" w:fill="auto"/>
            <w:noWrap/>
            <w:vAlign w:val="center"/>
            <w:hideMark/>
          </w:tcPr>
          <w:p w14:paraId="6293CB82" w14:textId="20551E52"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18</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600,0</w:t>
            </w:r>
          </w:p>
        </w:tc>
        <w:tc>
          <w:tcPr>
            <w:tcW w:w="1191" w:type="dxa"/>
            <w:tcBorders>
              <w:top w:val="nil"/>
              <w:left w:val="nil"/>
              <w:bottom w:val="nil"/>
              <w:right w:val="nil"/>
            </w:tcBorders>
            <w:shd w:val="clear" w:color="auto" w:fill="auto"/>
            <w:noWrap/>
            <w:vAlign w:val="center"/>
            <w:hideMark/>
          </w:tcPr>
          <w:p w14:paraId="5AF31F27" w14:textId="469383C7"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537,</w:t>
            </w:r>
            <w:r w:rsidRPr="005C53F5">
              <w:rPr>
                <w:rFonts w:ascii="Times New Roman" w:eastAsia="Times New Roman" w:hAnsi="Times New Roman" w:cs="Times New Roman"/>
                <w:i/>
                <w:iCs/>
                <w:sz w:val="18"/>
                <w:szCs w:val="18"/>
                <w:lang w:eastAsia="ru-RU"/>
              </w:rPr>
              <w:t>2</w:t>
            </w:r>
          </w:p>
        </w:tc>
        <w:tc>
          <w:tcPr>
            <w:tcW w:w="1276" w:type="dxa"/>
            <w:tcBorders>
              <w:top w:val="nil"/>
              <w:left w:val="nil"/>
              <w:bottom w:val="nil"/>
              <w:right w:val="nil"/>
            </w:tcBorders>
            <w:shd w:val="clear" w:color="auto" w:fill="auto"/>
            <w:noWrap/>
            <w:vAlign w:val="center"/>
            <w:hideMark/>
          </w:tcPr>
          <w:p w14:paraId="3BFF0EB5" w14:textId="5DEDFDA9"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30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000,0</w:t>
            </w:r>
          </w:p>
        </w:tc>
      </w:tr>
      <w:tr w:rsidR="006C578F" w:rsidRPr="005C53F5" w14:paraId="58466F69" w14:textId="77777777" w:rsidTr="006C578F">
        <w:trPr>
          <w:trHeight w:val="255"/>
        </w:trPr>
        <w:tc>
          <w:tcPr>
            <w:tcW w:w="3402" w:type="dxa"/>
            <w:tcBorders>
              <w:top w:val="nil"/>
              <w:left w:val="nil"/>
              <w:bottom w:val="nil"/>
              <w:right w:val="nil"/>
            </w:tcBorders>
            <w:shd w:val="clear" w:color="auto" w:fill="auto"/>
            <w:vAlign w:val="center"/>
            <w:hideMark/>
          </w:tcPr>
          <w:p w14:paraId="42BB45F1"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Прочие</w:t>
            </w:r>
          </w:p>
        </w:tc>
        <w:tc>
          <w:tcPr>
            <w:tcW w:w="1417" w:type="dxa"/>
            <w:tcBorders>
              <w:top w:val="nil"/>
              <w:left w:val="nil"/>
              <w:bottom w:val="nil"/>
              <w:right w:val="nil"/>
            </w:tcBorders>
            <w:shd w:val="clear" w:color="auto" w:fill="auto"/>
            <w:noWrap/>
            <w:vAlign w:val="center"/>
            <w:hideMark/>
          </w:tcPr>
          <w:p w14:paraId="25770A31" w14:textId="5A664089"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915,</w:t>
            </w:r>
            <w:r w:rsidRPr="005C53F5">
              <w:rPr>
                <w:rFonts w:ascii="Times New Roman" w:eastAsia="Times New Roman" w:hAnsi="Times New Roman" w:cs="Times New Roman"/>
                <w:i/>
                <w:iCs/>
                <w:sz w:val="18"/>
                <w:szCs w:val="18"/>
                <w:lang w:eastAsia="ru-RU"/>
              </w:rPr>
              <w:t>6</w:t>
            </w:r>
          </w:p>
        </w:tc>
        <w:tc>
          <w:tcPr>
            <w:tcW w:w="1107" w:type="dxa"/>
            <w:tcBorders>
              <w:top w:val="nil"/>
              <w:left w:val="nil"/>
              <w:bottom w:val="nil"/>
              <w:right w:val="nil"/>
            </w:tcBorders>
            <w:shd w:val="clear" w:color="auto" w:fill="auto"/>
            <w:noWrap/>
            <w:vAlign w:val="center"/>
            <w:hideMark/>
          </w:tcPr>
          <w:p w14:paraId="62CEB2E5" w14:textId="239CDF0D"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103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699,</w:t>
            </w:r>
            <w:r w:rsidRPr="005C53F5">
              <w:rPr>
                <w:rFonts w:ascii="Times New Roman" w:eastAsia="Times New Roman" w:hAnsi="Times New Roman" w:cs="Times New Roman"/>
                <w:i/>
                <w:iCs/>
                <w:sz w:val="18"/>
                <w:szCs w:val="18"/>
                <w:lang w:eastAsia="ru-RU"/>
              </w:rPr>
              <w:t>1</w:t>
            </w:r>
          </w:p>
        </w:tc>
        <w:tc>
          <w:tcPr>
            <w:tcW w:w="1246" w:type="dxa"/>
            <w:tcBorders>
              <w:top w:val="nil"/>
              <w:left w:val="nil"/>
              <w:bottom w:val="nil"/>
              <w:right w:val="nil"/>
            </w:tcBorders>
            <w:shd w:val="clear" w:color="auto" w:fill="auto"/>
            <w:noWrap/>
            <w:vAlign w:val="center"/>
            <w:hideMark/>
          </w:tcPr>
          <w:p w14:paraId="2EB1E4C4" w14:textId="4673BD32"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119</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414,</w:t>
            </w:r>
            <w:r w:rsidRPr="005C53F5">
              <w:rPr>
                <w:rFonts w:ascii="Times New Roman" w:eastAsia="Times New Roman" w:hAnsi="Times New Roman" w:cs="Times New Roman"/>
                <w:i/>
                <w:iCs/>
                <w:sz w:val="18"/>
                <w:szCs w:val="18"/>
                <w:lang w:eastAsia="ru-RU"/>
              </w:rPr>
              <w:t>9</w:t>
            </w:r>
          </w:p>
        </w:tc>
        <w:tc>
          <w:tcPr>
            <w:tcW w:w="1191" w:type="dxa"/>
            <w:tcBorders>
              <w:top w:val="nil"/>
              <w:left w:val="nil"/>
              <w:bottom w:val="nil"/>
              <w:right w:val="nil"/>
            </w:tcBorders>
            <w:shd w:val="clear" w:color="auto" w:fill="auto"/>
            <w:noWrap/>
            <w:vAlign w:val="center"/>
            <w:hideMark/>
          </w:tcPr>
          <w:p w14:paraId="79A20A6B" w14:textId="3D4B10A3"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77</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905,</w:t>
            </w:r>
            <w:r w:rsidRPr="005C53F5">
              <w:rPr>
                <w:rFonts w:ascii="Times New Roman" w:eastAsia="Times New Roman" w:hAnsi="Times New Roman" w:cs="Times New Roman"/>
                <w:i/>
                <w:iCs/>
                <w:sz w:val="18"/>
                <w:szCs w:val="18"/>
                <w:lang w:eastAsia="ru-RU"/>
              </w:rPr>
              <w:t>2</w:t>
            </w:r>
          </w:p>
        </w:tc>
        <w:tc>
          <w:tcPr>
            <w:tcW w:w="1276" w:type="dxa"/>
            <w:tcBorders>
              <w:top w:val="nil"/>
              <w:left w:val="nil"/>
              <w:bottom w:val="nil"/>
              <w:right w:val="nil"/>
            </w:tcBorders>
            <w:shd w:val="clear" w:color="auto" w:fill="auto"/>
            <w:noWrap/>
            <w:vAlign w:val="center"/>
            <w:hideMark/>
          </w:tcPr>
          <w:p w14:paraId="58769531" w14:textId="7CD1AF83"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138</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395,</w:t>
            </w:r>
            <w:r w:rsidRPr="005C53F5">
              <w:rPr>
                <w:rFonts w:ascii="Times New Roman" w:eastAsia="Times New Roman" w:hAnsi="Times New Roman" w:cs="Times New Roman"/>
                <w:i/>
                <w:iCs/>
                <w:sz w:val="18"/>
                <w:szCs w:val="18"/>
                <w:lang w:eastAsia="ru-RU"/>
              </w:rPr>
              <w:t>8</w:t>
            </w:r>
          </w:p>
        </w:tc>
      </w:tr>
      <w:tr w:rsidR="006C578F" w:rsidRPr="005C53F5" w14:paraId="78BEB312" w14:textId="77777777" w:rsidTr="006C578F">
        <w:trPr>
          <w:trHeight w:val="255"/>
        </w:trPr>
        <w:tc>
          <w:tcPr>
            <w:tcW w:w="3402" w:type="dxa"/>
            <w:tcBorders>
              <w:top w:val="nil"/>
              <w:left w:val="nil"/>
              <w:bottom w:val="nil"/>
              <w:right w:val="nil"/>
            </w:tcBorders>
            <w:shd w:val="clear" w:color="auto" w:fill="auto"/>
            <w:vAlign w:val="center"/>
            <w:hideMark/>
          </w:tcPr>
          <w:p w14:paraId="212CFD97"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ПОГАШЕНИЕ БЮДЖЕТНЫХ КРЕДИТОВ</w:t>
            </w:r>
          </w:p>
        </w:tc>
        <w:tc>
          <w:tcPr>
            <w:tcW w:w="1417" w:type="dxa"/>
            <w:tcBorders>
              <w:top w:val="nil"/>
              <w:left w:val="nil"/>
              <w:bottom w:val="nil"/>
              <w:right w:val="nil"/>
            </w:tcBorders>
            <w:shd w:val="clear" w:color="auto" w:fill="auto"/>
            <w:noWrap/>
            <w:vAlign w:val="center"/>
            <w:hideMark/>
          </w:tcPr>
          <w:p w14:paraId="560959A7" w14:textId="2AF281D3"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68</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194,</w:t>
            </w:r>
            <w:r w:rsidRPr="005C53F5">
              <w:rPr>
                <w:rFonts w:ascii="Times New Roman" w:eastAsia="Times New Roman" w:hAnsi="Times New Roman" w:cs="Times New Roman"/>
                <w:b/>
                <w:bCs/>
                <w:sz w:val="18"/>
                <w:szCs w:val="18"/>
                <w:lang w:eastAsia="ru-RU"/>
              </w:rPr>
              <w:t>8</w:t>
            </w:r>
          </w:p>
        </w:tc>
        <w:tc>
          <w:tcPr>
            <w:tcW w:w="1107" w:type="dxa"/>
            <w:tcBorders>
              <w:top w:val="nil"/>
              <w:left w:val="nil"/>
              <w:bottom w:val="nil"/>
              <w:right w:val="nil"/>
            </w:tcBorders>
            <w:shd w:val="clear" w:color="auto" w:fill="auto"/>
            <w:noWrap/>
            <w:vAlign w:val="center"/>
            <w:hideMark/>
          </w:tcPr>
          <w:p w14:paraId="3FC146AA" w14:textId="14E0F2C4"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72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768,</w:t>
            </w:r>
            <w:r w:rsidRPr="005C53F5">
              <w:rPr>
                <w:rFonts w:ascii="Times New Roman" w:eastAsia="Times New Roman" w:hAnsi="Times New Roman" w:cs="Times New Roman"/>
                <w:b/>
                <w:bCs/>
                <w:sz w:val="18"/>
                <w:szCs w:val="18"/>
                <w:lang w:eastAsia="ru-RU"/>
              </w:rPr>
              <w:t>5</w:t>
            </w:r>
          </w:p>
        </w:tc>
        <w:tc>
          <w:tcPr>
            <w:tcW w:w="1246" w:type="dxa"/>
            <w:tcBorders>
              <w:top w:val="nil"/>
              <w:left w:val="nil"/>
              <w:bottom w:val="nil"/>
              <w:right w:val="nil"/>
            </w:tcBorders>
            <w:shd w:val="clear" w:color="auto" w:fill="auto"/>
            <w:noWrap/>
            <w:vAlign w:val="center"/>
            <w:hideMark/>
          </w:tcPr>
          <w:p w14:paraId="74C0D048" w14:textId="40CA69B3"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102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717,</w:t>
            </w:r>
            <w:r w:rsidRPr="005C53F5">
              <w:rPr>
                <w:rFonts w:ascii="Times New Roman" w:eastAsia="Times New Roman" w:hAnsi="Times New Roman" w:cs="Times New Roman"/>
                <w:b/>
                <w:bCs/>
                <w:sz w:val="18"/>
                <w:szCs w:val="18"/>
                <w:lang w:eastAsia="ru-RU"/>
              </w:rPr>
              <w:t>4</w:t>
            </w:r>
          </w:p>
        </w:tc>
        <w:tc>
          <w:tcPr>
            <w:tcW w:w="1191" w:type="dxa"/>
            <w:tcBorders>
              <w:top w:val="nil"/>
              <w:left w:val="nil"/>
              <w:bottom w:val="nil"/>
              <w:right w:val="nil"/>
            </w:tcBorders>
            <w:shd w:val="clear" w:color="auto" w:fill="auto"/>
            <w:noWrap/>
            <w:vAlign w:val="center"/>
            <w:hideMark/>
          </w:tcPr>
          <w:p w14:paraId="240342E8" w14:textId="7E58086F"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110</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097,5</w:t>
            </w:r>
          </w:p>
        </w:tc>
        <w:tc>
          <w:tcPr>
            <w:tcW w:w="1276" w:type="dxa"/>
            <w:tcBorders>
              <w:top w:val="nil"/>
              <w:left w:val="nil"/>
              <w:bottom w:val="nil"/>
              <w:right w:val="nil"/>
            </w:tcBorders>
            <w:shd w:val="clear" w:color="auto" w:fill="auto"/>
            <w:noWrap/>
            <w:vAlign w:val="center"/>
            <w:hideMark/>
          </w:tcPr>
          <w:p w14:paraId="2C2A95B9" w14:textId="02EBDAE5"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130</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067,</w:t>
            </w:r>
            <w:r w:rsidRPr="005C53F5">
              <w:rPr>
                <w:rFonts w:ascii="Times New Roman" w:eastAsia="Times New Roman" w:hAnsi="Times New Roman" w:cs="Times New Roman"/>
                <w:b/>
                <w:bCs/>
                <w:sz w:val="18"/>
                <w:szCs w:val="18"/>
                <w:lang w:eastAsia="ru-RU"/>
              </w:rPr>
              <w:t>3</w:t>
            </w:r>
          </w:p>
        </w:tc>
      </w:tr>
      <w:tr w:rsidR="006C578F" w:rsidRPr="005C53F5" w14:paraId="74058B55" w14:textId="77777777" w:rsidTr="006C578F">
        <w:trPr>
          <w:trHeight w:val="255"/>
        </w:trPr>
        <w:tc>
          <w:tcPr>
            <w:tcW w:w="3402" w:type="dxa"/>
            <w:tcBorders>
              <w:top w:val="nil"/>
              <w:left w:val="nil"/>
              <w:bottom w:val="nil"/>
              <w:right w:val="nil"/>
            </w:tcBorders>
            <w:shd w:val="clear" w:color="auto" w:fill="auto"/>
            <w:vAlign w:val="center"/>
            <w:hideMark/>
          </w:tcPr>
          <w:p w14:paraId="46E8A3B6" w14:textId="2D3943C8" w:rsidR="00F24250" w:rsidRPr="005C53F5" w:rsidRDefault="00F24250" w:rsidP="00057BE5">
            <w:pPr>
              <w:spacing w:after="0" w:line="240" w:lineRule="auto"/>
              <w:rPr>
                <w:rFonts w:ascii="Times New Roman" w:hAnsi="Times New Roman"/>
                <w:i/>
                <w:sz w:val="18"/>
              </w:rPr>
            </w:pPr>
            <w:r w:rsidRPr="005C53F5">
              <w:rPr>
                <w:rFonts w:ascii="Times New Roman" w:eastAsia="Times New Roman" w:hAnsi="Times New Roman" w:cs="Times New Roman"/>
                <w:i/>
                <w:iCs/>
                <w:sz w:val="18"/>
                <w:szCs w:val="18"/>
                <w:lang w:eastAsia="ru-RU"/>
              </w:rPr>
              <w:t>Погашение бюджетных кредитов</w:t>
            </w:r>
          </w:p>
        </w:tc>
        <w:tc>
          <w:tcPr>
            <w:tcW w:w="1417" w:type="dxa"/>
            <w:tcBorders>
              <w:top w:val="nil"/>
              <w:left w:val="nil"/>
              <w:bottom w:val="nil"/>
              <w:right w:val="nil"/>
            </w:tcBorders>
            <w:shd w:val="clear" w:color="auto" w:fill="auto"/>
            <w:noWrap/>
            <w:vAlign w:val="center"/>
            <w:hideMark/>
          </w:tcPr>
          <w:p w14:paraId="65DD65CA" w14:textId="08EA192B"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68 194,8</w:t>
            </w:r>
          </w:p>
        </w:tc>
        <w:tc>
          <w:tcPr>
            <w:tcW w:w="1107" w:type="dxa"/>
            <w:tcBorders>
              <w:top w:val="nil"/>
              <w:left w:val="nil"/>
              <w:bottom w:val="nil"/>
              <w:right w:val="nil"/>
            </w:tcBorders>
            <w:shd w:val="clear" w:color="auto" w:fill="auto"/>
            <w:noWrap/>
            <w:vAlign w:val="center"/>
            <w:hideMark/>
          </w:tcPr>
          <w:p w14:paraId="7996ED11" w14:textId="17D43202"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72 768,5</w:t>
            </w:r>
          </w:p>
        </w:tc>
        <w:tc>
          <w:tcPr>
            <w:tcW w:w="1246" w:type="dxa"/>
            <w:tcBorders>
              <w:top w:val="nil"/>
              <w:left w:val="nil"/>
              <w:bottom w:val="nil"/>
              <w:right w:val="nil"/>
            </w:tcBorders>
            <w:shd w:val="clear" w:color="auto" w:fill="auto"/>
            <w:noWrap/>
            <w:vAlign w:val="center"/>
            <w:hideMark/>
          </w:tcPr>
          <w:p w14:paraId="2E119A97" w14:textId="77777777"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102 717,4</w:t>
            </w:r>
          </w:p>
        </w:tc>
        <w:tc>
          <w:tcPr>
            <w:tcW w:w="1191" w:type="dxa"/>
            <w:tcBorders>
              <w:top w:val="nil"/>
              <w:left w:val="nil"/>
              <w:bottom w:val="nil"/>
              <w:right w:val="nil"/>
            </w:tcBorders>
            <w:shd w:val="clear" w:color="auto" w:fill="auto"/>
            <w:noWrap/>
            <w:vAlign w:val="center"/>
            <w:hideMark/>
          </w:tcPr>
          <w:p w14:paraId="74645E9B" w14:textId="428F30B9"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110 097,5</w:t>
            </w:r>
          </w:p>
        </w:tc>
        <w:tc>
          <w:tcPr>
            <w:tcW w:w="1276" w:type="dxa"/>
            <w:tcBorders>
              <w:top w:val="nil"/>
              <w:left w:val="nil"/>
              <w:bottom w:val="nil"/>
              <w:right w:val="nil"/>
            </w:tcBorders>
            <w:shd w:val="clear" w:color="auto" w:fill="auto"/>
            <w:noWrap/>
            <w:vAlign w:val="center"/>
            <w:hideMark/>
          </w:tcPr>
          <w:p w14:paraId="498E52A6" w14:textId="0A4CF351"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130 067,3</w:t>
            </w:r>
          </w:p>
        </w:tc>
      </w:tr>
      <w:tr w:rsidR="006C578F" w:rsidRPr="005C53F5" w14:paraId="4858CDDF" w14:textId="77777777" w:rsidTr="006C578F">
        <w:trPr>
          <w:trHeight w:val="510"/>
        </w:trPr>
        <w:tc>
          <w:tcPr>
            <w:tcW w:w="3402" w:type="dxa"/>
            <w:tcBorders>
              <w:top w:val="nil"/>
              <w:left w:val="nil"/>
              <w:bottom w:val="nil"/>
              <w:right w:val="nil"/>
            </w:tcBorders>
            <w:shd w:val="clear" w:color="auto" w:fill="auto"/>
            <w:vAlign w:val="center"/>
            <w:hideMark/>
          </w:tcPr>
          <w:p w14:paraId="13BF44B3"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IV. САЛЬДО ПО ОПЕРАЦИЯМ С ФИНАНСОВЫМИ АКТИВАМИ</w:t>
            </w:r>
          </w:p>
        </w:tc>
        <w:tc>
          <w:tcPr>
            <w:tcW w:w="1417" w:type="dxa"/>
            <w:tcBorders>
              <w:top w:val="nil"/>
              <w:left w:val="nil"/>
              <w:bottom w:val="nil"/>
              <w:right w:val="nil"/>
            </w:tcBorders>
            <w:shd w:val="clear" w:color="auto" w:fill="auto"/>
            <w:noWrap/>
            <w:vAlign w:val="center"/>
            <w:hideMark/>
          </w:tcPr>
          <w:p w14:paraId="2BBB5494" w14:textId="53BCF041" w:rsidR="00F24250" w:rsidRPr="005C53F5" w:rsidRDefault="00F24250" w:rsidP="00057BE5">
            <w:pPr>
              <w:spacing w:after="0" w:line="240" w:lineRule="auto"/>
              <w:jc w:val="right"/>
              <w:rPr>
                <w:rFonts w:ascii="Times New Roman" w:hAnsi="Times New Roman"/>
                <w:b/>
                <w:sz w:val="18"/>
              </w:rPr>
            </w:pPr>
            <w:r w:rsidRPr="005C53F5">
              <w:rPr>
                <w:rFonts w:ascii="Times New Roman" w:eastAsia="Times New Roman" w:hAnsi="Times New Roman" w:cs="Times New Roman"/>
                <w:b/>
                <w:bCs/>
                <w:sz w:val="18"/>
                <w:szCs w:val="18"/>
                <w:lang w:eastAsia="ru-RU"/>
              </w:rPr>
              <w:t xml:space="preserve">238 </w:t>
            </w:r>
            <w:r w:rsidRPr="005C53F5">
              <w:rPr>
                <w:rFonts w:ascii="Times New Roman" w:hAnsi="Times New Roman"/>
                <w:b/>
                <w:sz w:val="18"/>
              </w:rPr>
              <w:t>710,</w:t>
            </w:r>
            <w:r w:rsidRPr="005C53F5">
              <w:rPr>
                <w:rFonts w:ascii="Times New Roman" w:eastAsia="Times New Roman" w:hAnsi="Times New Roman" w:cs="Times New Roman"/>
                <w:b/>
                <w:bCs/>
                <w:sz w:val="18"/>
                <w:szCs w:val="18"/>
                <w:lang w:eastAsia="ru-RU"/>
              </w:rPr>
              <w:t>4</w:t>
            </w:r>
          </w:p>
        </w:tc>
        <w:tc>
          <w:tcPr>
            <w:tcW w:w="1107" w:type="dxa"/>
            <w:tcBorders>
              <w:top w:val="nil"/>
              <w:left w:val="nil"/>
              <w:bottom w:val="nil"/>
              <w:right w:val="nil"/>
            </w:tcBorders>
            <w:shd w:val="clear" w:color="auto" w:fill="auto"/>
            <w:noWrap/>
            <w:vAlign w:val="center"/>
            <w:hideMark/>
          </w:tcPr>
          <w:p w14:paraId="4CA88B87" w14:textId="1CFCF402"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362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615,</w:t>
            </w:r>
            <w:r w:rsidRPr="005C53F5">
              <w:rPr>
                <w:rFonts w:ascii="Times New Roman" w:eastAsia="Times New Roman" w:hAnsi="Times New Roman" w:cs="Times New Roman"/>
                <w:b/>
                <w:bCs/>
                <w:sz w:val="18"/>
                <w:szCs w:val="18"/>
                <w:lang w:eastAsia="ru-RU"/>
              </w:rPr>
              <w:t>7</w:t>
            </w:r>
          </w:p>
        </w:tc>
        <w:tc>
          <w:tcPr>
            <w:tcW w:w="1246" w:type="dxa"/>
            <w:tcBorders>
              <w:top w:val="nil"/>
              <w:left w:val="nil"/>
              <w:bottom w:val="nil"/>
              <w:right w:val="nil"/>
            </w:tcBorders>
            <w:shd w:val="clear" w:color="auto" w:fill="auto"/>
            <w:noWrap/>
            <w:vAlign w:val="center"/>
            <w:hideMark/>
          </w:tcPr>
          <w:p w14:paraId="78FDAB1B" w14:textId="6E0873FB"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328</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754,</w:t>
            </w:r>
            <w:r w:rsidRPr="005C53F5">
              <w:rPr>
                <w:rFonts w:ascii="Times New Roman" w:eastAsia="Times New Roman" w:hAnsi="Times New Roman" w:cs="Times New Roman"/>
                <w:b/>
                <w:bCs/>
                <w:sz w:val="18"/>
                <w:szCs w:val="18"/>
                <w:lang w:eastAsia="ru-RU"/>
              </w:rPr>
              <w:t>5</w:t>
            </w:r>
          </w:p>
        </w:tc>
        <w:tc>
          <w:tcPr>
            <w:tcW w:w="1191" w:type="dxa"/>
            <w:tcBorders>
              <w:top w:val="nil"/>
              <w:left w:val="nil"/>
              <w:bottom w:val="nil"/>
              <w:right w:val="nil"/>
            </w:tcBorders>
            <w:shd w:val="clear" w:color="auto" w:fill="auto"/>
            <w:noWrap/>
            <w:vAlign w:val="center"/>
            <w:hideMark/>
          </w:tcPr>
          <w:p w14:paraId="369A2EAF" w14:textId="6A034D93"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119</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762,</w:t>
            </w:r>
            <w:r w:rsidRPr="005C53F5">
              <w:rPr>
                <w:rFonts w:ascii="Times New Roman" w:eastAsia="Times New Roman" w:hAnsi="Times New Roman" w:cs="Times New Roman"/>
                <w:b/>
                <w:bCs/>
                <w:sz w:val="18"/>
                <w:szCs w:val="18"/>
                <w:lang w:eastAsia="ru-RU"/>
              </w:rPr>
              <w:t>3</w:t>
            </w:r>
          </w:p>
        </w:tc>
        <w:tc>
          <w:tcPr>
            <w:tcW w:w="1276" w:type="dxa"/>
            <w:tcBorders>
              <w:top w:val="nil"/>
              <w:left w:val="nil"/>
              <w:bottom w:val="nil"/>
              <w:right w:val="nil"/>
            </w:tcBorders>
            <w:shd w:val="clear" w:color="auto" w:fill="auto"/>
            <w:noWrap/>
            <w:vAlign w:val="center"/>
            <w:hideMark/>
          </w:tcPr>
          <w:p w14:paraId="53FDBD6C" w14:textId="47ABBF40"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227</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447,</w:t>
            </w:r>
            <w:r w:rsidRPr="005C53F5">
              <w:rPr>
                <w:rFonts w:ascii="Times New Roman" w:eastAsia="Times New Roman" w:hAnsi="Times New Roman" w:cs="Times New Roman"/>
                <w:b/>
                <w:bCs/>
                <w:sz w:val="18"/>
                <w:szCs w:val="18"/>
                <w:lang w:eastAsia="ru-RU"/>
              </w:rPr>
              <w:t>5</w:t>
            </w:r>
          </w:p>
        </w:tc>
      </w:tr>
      <w:tr w:rsidR="006C578F" w:rsidRPr="005C53F5" w14:paraId="60EF1437" w14:textId="77777777" w:rsidTr="006C578F">
        <w:trPr>
          <w:trHeight w:val="255"/>
        </w:trPr>
        <w:tc>
          <w:tcPr>
            <w:tcW w:w="3402" w:type="dxa"/>
            <w:tcBorders>
              <w:top w:val="nil"/>
              <w:left w:val="nil"/>
              <w:bottom w:val="nil"/>
              <w:right w:val="nil"/>
            </w:tcBorders>
            <w:shd w:val="clear" w:color="auto" w:fill="auto"/>
            <w:vAlign w:val="center"/>
            <w:hideMark/>
          </w:tcPr>
          <w:p w14:paraId="11DEC499"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ПРИОБРЕТЕНИЕ ФИНАНСОВЫХ АКТИВОВ</w:t>
            </w:r>
          </w:p>
        </w:tc>
        <w:tc>
          <w:tcPr>
            <w:tcW w:w="1417" w:type="dxa"/>
            <w:tcBorders>
              <w:top w:val="nil"/>
              <w:left w:val="nil"/>
              <w:bottom w:val="nil"/>
              <w:right w:val="nil"/>
            </w:tcBorders>
            <w:shd w:val="clear" w:color="auto" w:fill="auto"/>
            <w:noWrap/>
            <w:vAlign w:val="center"/>
            <w:hideMark/>
          </w:tcPr>
          <w:p w14:paraId="2A28DA3B" w14:textId="59D0A86A" w:rsidR="00F24250" w:rsidRPr="005C53F5" w:rsidRDefault="00F24250" w:rsidP="00057BE5">
            <w:pPr>
              <w:spacing w:after="0" w:line="240" w:lineRule="auto"/>
              <w:jc w:val="right"/>
              <w:rPr>
                <w:rFonts w:ascii="Times New Roman" w:hAnsi="Times New Roman"/>
                <w:b/>
                <w:sz w:val="18"/>
              </w:rPr>
            </w:pPr>
            <w:r w:rsidRPr="005C53F5">
              <w:rPr>
                <w:rFonts w:ascii="Times New Roman" w:eastAsia="Times New Roman" w:hAnsi="Times New Roman" w:cs="Times New Roman"/>
                <w:b/>
                <w:bCs/>
                <w:sz w:val="18"/>
                <w:szCs w:val="18"/>
                <w:lang w:eastAsia="ru-RU"/>
              </w:rPr>
              <w:t xml:space="preserve">246 </w:t>
            </w:r>
            <w:r w:rsidRPr="005C53F5">
              <w:rPr>
                <w:rFonts w:ascii="Times New Roman" w:hAnsi="Times New Roman"/>
                <w:b/>
                <w:sz w:val="18"/>
              </w:rPr>
              <w:t>939,</w:t>
            </w:r>
            <w:r w:rsidRPr="005C53F5">
              <w:rPr>
                <w:rFonts w:ascii="Times New Roman" w:eastAsia="Times New Roman" w:hAnsi="Times New Roman" w:cs="Times New Roman"/>
                <w:b/>
                <w:bCs/>
                <w:sz w:val="18"/>
                <w:szCs w:val="18"/>
                <w:lang w:eastAsia="ru-RU"/>
              </w:rPr>
              <w:t>8</w:t>
            </w:r>
          </w:p>
        </w:tc>
        <w:tc>
          <w:tcPr>
            <w:tcW w:w="1107" w:type="dxa"/>
            <w:tcBorders>
              <w:top w:val="nil"/>
              <w:left w:val="nil"/>
              <w:bottom w:val="nil"/>
              <w:right w:val="nil"/>
            </w:tcBorders>
            <w:shd w:val="clear" w:color="auto" w:fill="auto"/>
            <w:noWrap/>
            <w:vAlign w:val="center"/>
            <w:hideMark/>
          </w:tcPr>
          <w:p w14:paraId="7C48C932" w14:textId="34D9D043"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368</w:t>
            </w:r>
            <w:r w:rsidRPr="005C53F5">
              <w:rPr>
                <w:rFonts w:ascii="Times New Roman" w:eastAsia="Times New Roman" w:hAnsi="Times New Roman" w:cs="Times New Roman"/>
                <w:b/>
                <w:bCs/>
                <w:sz w:val="18"/>
                <w:szCs w:val="18"/>
                <w:lang w:eastAsia="ru-RU"/>
              </w:rPr>
              <w:t xml:space="preserve"> 616,0</w:t>
            </w:r>
          </w:p>
        </w:tc>
        <w:tc>
          <w:tcPr>
            <w:tcW w:w="1246" w:type="dxa"/>
            <w:tcBorders>
              <w:top w:val="nil"/>
              <w:left w:val="nil"/>
              <w:bottom w:val="nil"/>
              <w:right w:val="nil"/>
            </w:tcBorders>
            <w:shd w:val="clear" w:color="auto" w:fill="auto"/>
            <w:noWrap/>
            <w:vAlign w:val="center"/>
            <w:hideMark/>
          </w:tcPr>
          <w:p w14:paraId="0F5B731C" w14:textId="53E8305E"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339</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932,</w:t>
            </w:r>
            <w:r w:rsidRPr="005C53F5">
              <w:rPr>
                <w:rFonts w:ascii="Times New Roman" w:eastAsia="Times New Roman" w:hAnsi="Times New Roman" w:cs="Times New Roman"/>
                <w:b/>
                <w:bCs/>
                <w:sz w:val="18"/>
                <w:szCs w:val="18"/>
                <w:lang w:eastAsia="ru-RU"/>
              </w:rPr>
              <w:t>1</w:t>
            </w:r>
          </w:p>
        </w:tc>
        <w:tc>
          <w:tcPr>
            <w:tcW w:w="1191" w:type="dxa"/>
            <w:tcBorders>
              <w:top w:val="nil"/>
              <w:left w:val="nil"/>
              <w:bottom w:val="nil"/>
              <w:right w:val="nil"/>
            </w:tcBorders>
            <w:shd w:val="clear" w:color="auto" w:fill="auto"/>
            <w:noWrap/>
            <w:vAlign w:val="center"/>
            <w:hideMark/>
          </w:tcPr>
          <w:p w14:paraId="425BBB09" w14:textId="11A32E08"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138</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748,1</w:t>
            </w:r>
          </w:p>
        </w:tc>
        <w:tc>
          <w:tcPr>
            <w:tcW w:w="1276" w:type="dxa"/>
            <w:tcBorders>
              <w:top w:val="nil"/>
              <w:left w:val="nil"/>
              <w:bottom w:val="nil"/>
              <w:right w:val="nil"/>
            </w:tcBorders>
            <w:shd w:val="clear" w:color="auto" w:fill="auto"/>
            <w:noWrap/>
            <w:vAlign w:val="center"/>
            <w:hideMark/>
          </w:tcPr>
          <w:p w14:paraId="54231525" w14:textId="24BFDD7F"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252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016,4</w:t>
            </w:r>
          </w:p>
        </w:tc>
      </w:tr>
      <w:tr w:rsidR="006C578F" w:rsidRPr="005C53F5" w14:paraId="45DF8D02" w14:textId="77777777" w:rsidTr="006C578F">
        <w:trPr>
          <w:trHeight w:val="255"/>
        </w:trPr>
        <w:tc>
          <w:tcPr>
            <w:tcW w:w="3402" w:type="dxa"/>
            <w:tcBorders>
              <w:top w:val="nil"/>
              <w:left w:val="nil"/>
              <w:bottom w:val="nil"/>
              <w:right w:val="nil"/>
            </w:tcBorders>
            <w:shd w:val="clear" w:color="auto" w:fill="auto"/>
            <w:vAlign w:val="center"/>
            <w:hideMark/>
          </w:tcPr>
          <w:p w14:paraId="4EE771C6"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Государственные услуги общего характера</w:t>
            </w:r>
          </w:p>
        </w:tc>
        <w:tc>
          <w:tcPr>
            <w:tcW w:w="1417" w:type="dxa"/>
            <w:tcBorders>
              <w:top w:val="nil"/>
              <w:left w:val="nil"/>
              <w:bottom w:val="nil"/>
              <w:right w:val="nil"/>
            </w:tcBorders>
            <w:shd w:val="clear" w:color="auto" w:fill="auto"/>
            <w:noWrap/>
            <w:vAlign w:val="center"/>
            <w:hideMark/>
          </w:tcPr>
          <w:p w14:paraId="20049312" w14:textId="144E1241"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020,</w:t>
            </w:r>
            <w:r w:rsidRPr="005C53F5">
              <w:rPr>
                <w:rFonts w:ascii="Times New Roman" w:eastAsia="Times New Roman" w:hAnsi="Times New Roman" w:cs="Times New Roman"/>
                <w:i/>
                <w:iCs/>
                <w:sz w:val="18"/>
                <w:szCs w:val="18"/>
                <w:lang w:eastAsia="ru-RU"/>
              </w:rPr>
              <w:t>7</w:t>
            </w:r>
          </w:p>
        </w:tc>
        <w:tc>
          <w:tcPr>
            <w:tcW w:w="1107" w:type="dxa"/>
            <w:tcBorders>
              <w:top w:val="nil"/>
              <w:left w:val="nil"/>
              <w:bottom w:val="nil"/>
              <w:right w:val="nil"/>
            </w:tcBorders>
            <w:shd w:val="clear" w:color="auto" w:fill="auto"/>
            <w:noWrap/>
            <w:vAlign w:val="center"/>
            <w:hideMark/>
          </w:tcPr>
          <w:p w14:paraId="6A8AE0B8" w14:textId="4C17560F"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735,</w:t>
            </w:r>
            <w:r w:rsidRPr="005C53F5">
              <w:rPr>
                <w:rFonts w:ascii="Times New Roman" w:eastAsia="Times New Roman" w:hAnsi="Times New Roman" w:cs="Times New Roman"/>
                <w:i/>
                <w:iCs/>
                <w:sz w:val="18"/>
                <w:szCs w:val="18"/>
                <w:lang w:eastAsia="ru-RU"/>
              </w:rPr>
              <w:t>1</w:t>
            </w:r>
          </w:p>
        </w:tc>
        <w:tc>
          <w:tcPr>
            <w:tcW w:w="1246" w:type="dxa"/>
            <w:tcBorders>
              <w:top w:val="nil"/>
              <w:left w:val="nil"/>
              <w:bottom w:val="nil"/>
              <w:right w:val="nil"/>
            </w:tcBorders>
            <w:shd w:val="clear" w:color="auto" w:fill="auto"/>
            <w:noWrap/>
            <w:vAlign w:val="center"/>
            <w:hideMark/>
          </w:tcPr>
          <w:p w14:paraId="6CDBE21C" w14:textId="4FAD4878"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750,</w:t>
            </w:r>
            <w:r w:rsidRPr="005C53F5">
              <w:rPr>
                <w:rFonts w:ascii="Times New Roman" w:eastAsia="Times New Roman" w:hAnsi="Times New Roman" w:cs="Times New Roman"/>
                <w:i/>
                <w:iCs/>
                <w:sz w:val="18"/>
                <w:szCs w:val="18"/>
                <w:lang w:eastAsia="ru-RU"/>
              </w:rPr>
              <w:t>4</w:t>
            </w:r>
          </w:p>
        </w:tc>
        <w:tc>
          <w:tcPr>
            <w:tcW w:w="1191" w:type="dxa"/>
            <w:tcBorders>
              <w:top w:val="nil"/>
              <w:left w:val="nil"/>
              <w:bottom w:val="nil"/>
              <w:right w:val="nil"/>
            </w:tcBorders>
            <w:shd w:val="clear" w:color="auto" w:fill="auto"/>
            <w:noWrap/>
            <w:vAlign w:val="center"/>
            <w:hideMark/>
          </w:tcPr>
          <w:p w14:paraId="4A7E4242" w14:textId="45C20021"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9</w:t>
            </w:r>
            <w:r w:rsidRPr="005C53F5">
              <w:rPr>
                <w:rFonts w:ascii="Times New Roman" w:eastAsia="Times New Roman" w:hAnsi="Times New Roman" w:cs="Times New Roman"/>
                <w:i/>
                <w:iCs/>
                <w:sz w:val="18"/>
                <w:szCs w:val="18"/>
                <w:lang w:eastAsia="ru-RU"/>
              </w:rPr>
              <w:t xml:space="preserve"> 742,</w:t>
            </w:r>
            <w:r w:rsidRPr="005C53F5">
              <w:rPr>
                <w:rFonts w:ascii="Times New Roman" w:hAnsi="Times New Roman"/>
                <w:i/>
                <w:sz w:val="18"/>
              </w:rPr>
              <w:t>0</w:t>
            </w:r>
          </w:p>
        </w:tc>
        <w:tc>
          <w:tcPr>
            <w:tcW w:w="1276" w:type="dxa"/>
            <w:tcBorders>
              <w:top w:val="nil"/>
              <w:left w:val="nil"/>
              <w:bottom w:val="nil"/>
              <w:right w:val="nil"/>
            </w:tcBorders>
            <w:shd w:val="clear" w:color="auto" w:fill="auto"/>
            <w:noWrap/>
            <w:vAlign w:val="center"/>
            <w:hideMark/>
          </w:tcPr>
          <w:p w14:paraId="68C0C201" w14:textId="15F76018"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310,7</w:t>
            </w:r>
          </w:p>
        </w:tc>
      </w:tr>
      <w:tr w:rsidR="006C578F" w:rsidRPr="005C53F5" w14:paraId="15A61B93" w14:textId="77777777" w:rsidTr="006C578F">
        <w:trPr>
          <w:trHeight w:val="255"/>
        </w:trPr>
        <w:tc>
          <w:tcPr>
            <w:tcW w:w="3402" w:type="dxa"/>
            <w:tcBorders>
              <w:top w:val="nil"/>
              <w:left w:val="nil"/>
              <w:bottom w:val="nil"/>
              <w:right w:val="nil"/>
            </w:tcBorders>
            <w:shd w:val="clear" w:color="auto" w:fill="auto"/>
            <w:vAlign w:val="center"/>
            <w:hideMark/>
          </w:tcPr>
          <w:p w14:paraId="2C316E1A"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Оборона</w:t>
            </w:r>
          </w:p>
        </w:tc>
        <w:tc>
          <w:tcPr>
            <w:tcW w:w="1417" w:type="dxa"/>
            <w:tcBorders>
              <w:top w:val="nil"/>
              <w:left w:val="nil"/>
              <w:bottom w:val="nil"/>
              <w:right w:val="nil"/>
            </w:tcBorders>
            <w:shd w:val="clear" w:color="auto" w:fill="auto"/>
            <w:noWrap/>
            <w:vAlign w:val="center"/>
            <w:hideMark/>
          </w:tcPr>
          <w:p w14:paraId="7F59B641" w14:textId="5CAA289A"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6</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986,</w:t>
            </w:r>
            <w:r w:rsidRPr="005C53F5">
              <w:rPr>
                <w:rFonts w:ascii="Times New Roman" w:eastAsia="Times New Roman" w:hAnsi="Times New Roman" w:cs="Times New Roman"/>
                <w:i/>
                <w:iCs/>
                <w:sz w:val="18"/>
                <w:szCs w:val="18"/>
                <w:lang w:eastAsia="ru-RU"/>
              </w:rPr>
              <w:t>5</w:t>
            </w:r>
          </w:p>
        </w:tc>
        <w:tc>
          <w:tcPr>
            <w:tcW w:w="1107" w:type="dxa"/>
            <w:tcBorders>
              <w:top w:val="nil"/>
              <w:left w:val="nil"/>
              <w:bottom w:val="nil"/>
              <w:right w:val="nil"/>
            </w:tcBorders>
            <w:shd w:val="clear" w:color="auto" w:fill="auto"/>
            <w:noWrap/>
            <w:vAlign w:val="center"/>
            <w:hideMark/>
          </w:tcPr>
          <w:p w14:paraId="2FB1E183" w14:textId="0744FDA6"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377,</w:t>
            </w:r>
            <w:r w:rsidRPr="005C53F5">
              <w:rPr>
                <w:rFonts w:ascii="Times New Roman" w:eastAsia="Times New Roman" w:hAnsi="Times New Roman" w:cs="Times New Roman"/>
                <w:i/>
                <w:iCs/>
                <w:sz w:val="18"/>
                <w:szCs w:val="18"/>
                <w:lang w:eastAsia="ru-RU"/>
              </w:rPr>
              <w:t>2</w:t>
            </w:r>
          </w:p>
        </w:tc>
        <w:tc>
          <w:tcPr>
            <w:tcW w:w="1246" w:type="dxa"/>
            <w:tcBorders>
              <w:top w:val="nil"/>
              <w:left w:val="nil"/>
              <w:bottom w:val="nil"/>
              <w:right w:val="nil"/>
            </w:tcBorders>
            <w:shd w:val="clear" w:color="auto" w:fill="auto"/>
            <w:noWrap/>
            <w:vAlign w:val="center"/>
            <w:hideMark/>
          </w:tcPr>
          <w:p w14:paraId="562528D8" w14:textId="74881FF4"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178,</w:t>
            </w:r>
            <w:r w:rsidRPr="005C53F5">
              <w:rPr>
                <w:rFonts w:ascii="Times New Roman" w:eastAsia="Times New Roman" w:hAnsi="Times New Roman" w:cs="Times New Roman"/>
                <w:i/>
                <w:iCs/>
                <w:sz w:val="18"/>
                <w:szCs w:val="18"/>
                <w:lang w:eastAsia="ru-RU"/>
              </w:rPr>
              <w:t>2</w:t>
            </w:r>
          </w:p>
        </w:tc>
        <w:tc>
          <w:tcPr>
            <w:tcW w:w="1191" w:type="dxa"/>
            <w:tcBorders>
              <w:top w:val="nil"/>
              <w:left w:val="nil"/>
              <w:bottom w:val="nil"/>
              <w:right w:val="nil"/>
            </w:tcBorders>
            <w:shd w:val="clear" w:color="auto" w:fill="auto"/>
            <w:noWrap/>
            <w:vAlign w:val="center"/>
            <w:hideMark/>
          </w:tcPr>
          <w:p w14:paraId="6A9CC088" w14:textId="253EBD11"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c>
          <w:tcPr>
            <w:tcW w:w="1276" w:type="dxa"/>
            <w:tcBorders>
              <w:top w:val="nil"/>
              <w:left w:val="nil"/>
              <w:bottom w:val="nil"/>
              <w:right w:val="nil"/>
            </w:tcBorders>
            <w:shd w:val="clear" w:color="auto" w:fill="auto"/>
            <w:noWrap/>
            <w:vAlign w:val="center"/>
            <w:hideMark/>
          </w:tcPr>
          <w:p w14:paraId="1A9307FC" w14:textId="72E7FE87"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r>
      <w:tr w:rsidR="006C578F" w:rsidRPr="005C53F5" w14:paraId="500F88AD" w14:textId="77777777" w:rsidTr="006C578F">
        <w:trPr>
          <w:trHeight w:val="255"/>
        </w:trPr>
        <w:tc>
          <w:tcPr>
            <w:tcW w:w="3402" w:type="dxa"/>
            <w:tcBorders>
              <w:top w:val="nil"/>
              <w:left w:val="nil"/>
              <w:bottom w:val="nil"/>
              <w:right w:val="nil"/>
            </w:tcBorders>
            <w:shd w:val="clear" w:color="auto" w:fill="auto"/>
            <w:vAlign w:val="center"/>
            <w:hideMark/>
          </w:tcPr>
          <w:p w14:paraId="207CA5C1"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Образование</w:t>
            </w:r>
          </w:p>
        </w:tc>
        <w:tc>
          <w:tcPr>
            <w:tcW w:w="1417" w:type="dxa"/>
            <w:tcBorders>
              <w:top w:val="nil"/>
              <w:left w:val="nil"/>
              <w:bottom w:val="nil"/>
              <w:right w:val="nil"/>
            </w:tcBorders>
            <w:shd w:val="clear" w:color="auto" w:fill="auto"/>
            <w:noWrap/>
            <w:vAlign w:val="center"/>
            <w:hideMark/>
          </w:tcPr>
          <w:p w14:paraId="68EF9E4C" w14:textId="491C7A94"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276,</w:t>
            </w:r>
            <w:r w:rsidRPr="005C53F5">
              <w:rPr>
                <w:rFonts w:ascii="Times New Roman" w:eastAsia="Times New Roman" w:hAnsi="Times New Roman" w:cs="Times New Roman"/>
                <w:i/>
                <w:iCs/>
                <w:sz w:val="18"/>
                <w:szCs w:val="18"/>
                <w:lang w:eastAsia="ru-RU"/>
              </w:rPr>
              <w:t>4</w:t>
            </w:r>
          </w:p>
        </w:tc>
        <w:tc>
          <w:tcPr>
            <w:tcW w:w="1107" w:type="dxa"/>
            <w:tcBorders>
              <w:top w:val="nil"/>
              <w:left w:val="nil"/>
              <w:bottom w:val="nil"/>
              <w:right w:val="nil"/>
            </w:tcBorders>
            <w:shd w:val="clear" w:color="auto" w:fill="auto"/>
            <w:noWrap/>
            <w:vAlign w:val="center"/>
            <w:hideMark/>
          </w:tcPr>
          <w:p w14:paraId="4B98CADC" w14:textId="1B2D79D0"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4</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340,</w:t>
            </w:r>
            <w:r w:rsidRPr="005C53F5">
              <w:rPr>
                <w:rFonts w:ascii="Times New Roman" w:eastAsia="Times New Roman" w:hAnsi="Times New Roman" w:cs="Times New Roman"/>
                <w:i/>
                <w:iCs/>
                <w:sz w:val="18"/>
                <w:szCs w:val="18"/>
                <w:lang w:eastAsia="ru-RU"/>
              </w:rPr>
              <w:t>7</w:t>
            </w:r>
          </w:p>
        </w:tc>
        <w:tc>
          <w:tcPr>
            <w:tcW w:w="1246" w:type="dxa"/>
            <w:tcBorders>
              <w:top w:val="nil"/>
              <w:left w:val="nil"/>
              <w:bottom w:val="nil"/>
              <w:right w:val="nil"/>
            </w:tcBorders>
            <w:shd w:val="clear" w:color="auto" w:fill="auto"/>
            <w:noWrap/>
            <w:vAlign w:val="center"/>
            <w:hideMark/>
          </w:tcPr>
          <w:p w14:paraId="3FAB406D" w14:textId="3AA6EB91"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791,0</w:t>
            </w:r>
          </w:p>
        </w:tc>
        <w:tc>
          <w:tcPr>
            <w:tcW w:w="1191" w:type="dxa"/>
            <w:tcBorders>
              <w:top w:val="nil"/>
              <w:left w:val="nil"/>
              <w:bottom w:val="nil"/>
              <w:right w:val="nil"/>
            </w:tcBorders>
            <w:shd w:val="clear" w:color="auto" w:fill="auto"/>
            <w:noWrap/>
            <w:vAlign w:val="center"/>
            <w:hideMark/>
          </w:tcPr>
          <w:p w14:paraId="27D35BA8" w14:textId="30A7ECB3"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223,</w:t>
            </w:r>
            <w:r w:rsidRPr="005C53F5">
              <w:rPr>
                <w:rFonts w:ascii="Times New Roman" w:eastAsia="Times New Roman" w:hAnsi="Times New Roman" w:cs="Times New Roman"/>
                <w:i/>
                <w:iCs/>
                <w:sz w:val="18"/>
                <w:szCs w:val="18"/>
                <w:lang w:eastAsia="ru-RU"/>
              </w:rPr>
              <w:t>1</w:t>
            </w:r>
          </w:p>
        </w:tc>
        <w:tc>
          <w:tcPr>
            <w:tcW w:w="1276" w:type="dxa"/>
            <w:tcBorders>
              <w:top w:val="nil"/>
              <w:left w:val="nil"/>
              <w:bottom w:val="nil"/>
              <w:right w:val="nil"/>
            </w:tcBorders>
            <w:shd w:val="clear" w:color="auto" w:fill="auto"/>
            <w:noWrap/>
            <w:vAlign w:val="center"/>
            <w:hideMark/>
          </w:tcPr>
          <w:p w14:paraId="72700F80" w14:textId="35304C65"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r>
      <w:tr w:rsidR="006C578F" w:rsidRPr="005C53F5" w14:paraId="554CF4CA" w14:textId="77777777" w:rsidTr="006C578F">
        <w:trPr>
          <w:trHeight w:val="255"/>
        </w:trPr>
        <w:tc>
          <w:tcPr>
            <w:tcW w:w="3402" w:type="dxa"/>
            <w:tcBorders>
              <w:top w:val="nil"/>
              <w:left w:val="nil"/>
              <w:bottom w:val="nil"/>
              <w:right w:val="nil"/>
            </w:tcBorders>
            <w:shd w:val="clear" w:color="auto" w:fill="auto"/>
            <w:vAlign w:val="center"/>
            <w:hideMark/>
          </w:tcPr>
          <w:p w14:paraId="7EFB3354"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Здравоохранение</w:t>
            </w:r>
          </w:p>
        </w:tc>
        <w:tc>
          <w:tcPr>
            <w:tcW w:w="1417" w:type="dxa"/>
            <w:tcBorders>
              <w:top w:val="nil"/>
              <w:left w:val="nil"/>
              <w:bottom w:val="nil"/>
              <w:right w:val="nil"/>
            </w:tcBorders>
            <w:shd w:val="clear" w:color="auto" w:fill="auto"/>
            <w:noWrap/>
            <w:vAlign w:val="center"/>
            <w:hideMark/>
          </w:tcPr>
          <w:p w14:paraId="05ED1F98" w14:textId="18EF8F78"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c>
          <w:tcPr>
            <w:tcW w:w="1107" w:type="dxa"/>
            <w:tcBorders>
              <w:top w:val="nil"/>
              <w:left w:val="nil"/>
              <w:bottom w:val="nil"/>
              <w:right w:val="nil"/>
            </w:tcBorders>
            <w:shd w:val="clear" w:color="auto" w:fill="auto"/>
            <w:noWrap/>
            <w:vAlign w:val="center"/>
            <w:hideMark/>
          </w:tcPr>
          <w:p w14:paraId="74E1CA48" w14:textId="395F9ABA"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106,</w:t>
            </w:r>
            <w:r w:rsidRPr="005C53F5">
              <w:rPr>
                <w:rFonts w:ascii="Times New Roman" w:eastAsia="Times New Roman" w:hAnsi="Times New Roman" w:cs="Times New Roman"/>
                <w:i/>
                <w:iCs/>
                <w:sz w:val="18"/>
                <w:szCs w:val="18"/>
                <w:lang w:eastAsia="ru-RU"/>
              </w:rPr>
              <w:t>1</w:t>
            </w:r>
          </w:p>
        </w:tc>
        <w:tc>
          <w:tcPr>
            <w:tcW w:w="1246" w:type="dxa"/>
            <w:tcBorders>
              <w:top w:val="nil"/>
              <w:left w:val="nil"/>
              <w:bottom w:val="nil"/>
              <w:right w:val="nil"/>
            </w:tcBorders>
            <w:shd w:val="clear" w:color="auto" w:fill="auto"/>
            <w:noWrap/>
            <w:vAlign w:val="center"/>
            <w:hideMark/>
          </w:tcPr>
          <w:p w14:paraId="151A119D" w14:textId="23BFAAE3"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c>
          <w:tcPr>
            <w:tcW w:w="1191" w:type="dxa"/>
            <w:tcBorders>
              <w:top w:val="nil"/>
              <w:left w:val="nil"/>
              <w:bottom w:val="nil"/>
              <w:right w:val="nil"/>
            </w:tcBorders>
            <w:shd w:val="clear" w:color="auto" w:fill="auto"/>
            <w:noWrap/>
            <w:vAlign w:val="center"/>
            <w:hideMark/>
          </w:tcPr>
          <w:p w14:paraId="2422656A" w14:textId="0B0B8DBA"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c>
          <w:tcPr>
            <w:tcW w:w="1276" w:type="dxa"/>
            <w:tcBorders>
              <w:top w:val="nil"/>
              <w:left w:val="nil"/>
              <w:bottom w:val="nil"/>
              <w:right w:val="nil"/>
            </w:tcBorders>
            <w:shd w:val="clear" w:color="auto" w:fill="auto"/>
            <w:noWrap/>
            <w:vAlign w:val="center"/>
            <w:hideMark/>
          </w:tcPr>
          <w:p w14:paraId="569961E2" w14:textId="5548C214"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r>
      <w:tr w:rsidR="006C578F" w:rsidRPr="005C53F5" w14:paraId="14374A68" w14:textId="77777777" w:rsidTr="006C578F">
        <w:trPr>
          <w:trHeight w:val="255"/>
        </w:trPr>
        <w:tc>
          <w:tcPr>
            <w:tcW w:w="3402" w:type="dxa"/>
            <w:tcBorders>
              <w:top w:val="nil"/>
              <w:left w:val="nil"/>
              <w:bottom w:val="nil"/>
              <w:right w:val="nil"/>
            </w:tcBorders>
            <w:shd w:val="clear" w:color="auto" w:fill="auto"/>
            <w:vAlign w:val="center"/>
            <w:hideMark/>
          </w:tcPr>
          <w:p w14:paraId="0457D37C"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Жилищно-коммунальное хозяйство</w:t>
            </w:r>
          </w:p>
        </w:tc>
        <w:tc>
          <w:tcPr>
            <w:tcW w:w="1417" w:type="dxa"/>
            <w:tcBorders>
              <w:top w:val="nil"/>
              <w:left w:val="nil"/>
              <w:bottom w:val="nil"/>
              <w:right w:val="nil"/>
            </w:tcBorders>
            <w:shd w:val="clear" w:color="auto" w:fill="auto"/>
            <w:noWrap/>
            <w:vAlign w:val="center"/>
            <w:hideMark/>
          </w:tcPr>
          <w:p w14:paraId="3858F751" w14:textId="39009AD7"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9</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795,4</w:t>
            </w:r>
          </w:p>
        </w:tc>
        <w:tc>
          <w:tcPr>
            <w:tcW w:w="1107" w:type="dxa"/>
            <w:tcBorders>
              <w:top w:val="nil"/>
              <w:left w:val="nil"/>
              <w:bottom w:val="nil"/>
              <w:right w:val="nil"/>
            </w:tcBorders>
            <w:shd w:val="clear" w:color="auto" w:fill="auto"/>
            <w:noWrap/>
            <w:vAlign w:val="center"/>
            <w:hideMark/>
          </w:tcPr>
          <w:p w14:paraId="4814ABE7" w14:textId="40CBD46B"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17</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088,</w:t>
            </w:r>
            <w:r w:rsidRPr="005C53F5">
              <w:rPr>
                <w:rFonts w:ascii="Times New Roman" w:eastAsia="Times New Roman" w:hAnsi="Times New Roman" w:cs="Times New Roman"/>
                <w:i/>
                <w:iCs/>
                <w:sz w:val="18"/>
                <w:szCs w:val="18"/>
                <w:lang w:eastAsia="ru-RU"/>
              </w:rPr>
              <w:t>6</w:t>
            </w:r>
          </w:p>
        </w:tc>
        <w:tc>
          <w:tcPr>
            <w:tcW w:w="1246" w:type="dxa"/>
            <w:tcBorders>
              <w:top w:val="nil"/>
              <w:left w:val="nil"/>
              <w:bottom w:val="nil"/>
              <w:right w:val="nil"/>
            </w:tcBorders>
            <w:shd w:val="clear" w:color="auto" w:fill="auto"/>
            <w:noWrap/>
            <w:vAlign w:val="center"/>
            <w:hideMark/>
          </w:tcPr>
          <w:p w14:paraId="5C138FB6" w14:textId="462CE0E0"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16</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099,4</w:t>
            </w:r>
          </w:p>
        </w:tc>
        <w:tc>
          <w:tcPr>
            <w:tcW w:w="1191" w:type="dxa"/>
            <w:tcBorders>
              <w:top w:val="nil"/>
              <w:left w:val="nil"/>
              <w:bottom w:val="nil"/>
              <w:right w:val="nil"/>
            </w:tcBorders>
            <w:shd w:val="clear" w:color="auto" w:fill="auto"/>
            <w:noWrap/>
            <w:vAlign w:val="center"/>
            <w:hideMark/>
          </w:tcPr>
          <w:p w14:paraId="757D2E4D" w14:textId="42BBC79E"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51,</w:t>
            </w:r>
            <w:r w:rsidRPr="005C53F5">
              <w:rPr>
                <w:rFonts w:ascii="Times New Roman" w:eastAsia="Times New Roman" w:hAnsi="Times New Roman" w:cs="Times New Roman"/>
                <w:i/>
                <w:iCs/>
                <w:sz w:val="18"/>
                <w:szCs w:val="18"/>
                <w:lang w:eastAsia="ru-RU"/>
              </w:rPr>
              <w:t>1</w:t>
            </w:r>
          </w:p>
        </w:tc>
        <w:tc>
          <w:tcPr>
            <w:tcW w:w="1276" w:type="dxa"/>
            <w:tcBorders>
              <w:top w:val="nil"/>
              <w:left w:val="nil"/>
              <w:bottom w:val="nil"/>
              <w:right w:val="nil"/>
            </w:tcBorders>
            <w:shd w:val="clear" w:color="auto" w:fill="auto"/>
            <w:noWrap/>
            <w:vAlign w:val="center"/>
            <w:hideMark/>
          </w:tcPr>
          <w:p w14:paraId="5E664378" w14:textId="38E5D4DC"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309,0</w:t>
            </w:r>
          </w:p>
        </w:tc>
      </w:tr>
      <w:tr w:rsidR="00F24250" w:rsidRPr="005C53F5" w14:paraId="502B44C1" w14:textId="77777777" w:rsidTr="005C04E2">
        <w:trPr>
          <w:trHeight w:val="510"/>
        </w:trPr>
        <w:tc>
          <w:tcPr>
            <w:tcW w:w="3402" w:type="dxa"/>
            <w:tcBorders>
              <w:top w:val="nil"/>
              <w:left w:val="nil"/>
              <w:bottom w:val="nil"/>
              <w:right w:val="nil"/>
            </w:tcBorders>
            <w:shd w:val="clear" w:color="auto" w:fill="auto"/>
            <w:vAlign w:val="center"/>
            <w:hideMark/>
          </w:tcPr>
          <w:p w14:paraId="282E3C44" w14:textId="77777777" w:rsidR="00F24250" w:rsidRPr="005C53F5" w:rsidRDefault="00F24250" w:rsidP="00057BE5">
            <w:pPr>
              <w:spacing w:after="0" w:line="240" w:lineRule="auto"/>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Топливно-энергетический комплекс и недропользование</w:t>
            </w:r>
          </w:p>
        </w:tc>
        <w:tc>
          <w:tcPr>
            <w:tcW w:w="1417" w:type="dxa"/>
            <w:tcBorders>
              <w:top w:val="nil"/>
              <w:left w:val="nil"/>
              <w:bottom w:val="nil"/>
              <w:right w:val="nil"/>
            </w:tcBorders>
            <w:shd w:val="clear" w:color="auto" w:fill="auto"/>
            <w:noWrap/>
            <w:vAlign w:val="center"/>
            <w:hideMark/>
          </w:tcPr>
          <w:p w14:paraId="10CAD74B"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125,6</w:t>
            </w:r>
          </w:p>
        </w:tc>
        <w:tc>
          <w:tcPr>
            <w:tcW w:w="1107" w:type="dxa"/>
            <w:tcBorders>
              <w:top w:val="nil"/>
              <w:left w:val="nil"/>
              <w:bottom w:val="nil"/>
              <w:right w:val="nil"/>
            </w:tcBorders>
            <w:shd w:val="clear" w:color="auto" w:fill="auto"/>
            <w:noWrap/>
            <w:vAlign w:val="center"/>
            <w:hideMark/>
          </w:tcPr>
          <w:p w14:paraId="50B222E0"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0,0</w:t>
            </w:r>
          </w:p>
        </w:tc>
        <w:tc>
          <w:tcPr>
            <w:tcW w:w="1246" w:type="dxa"/>
            <w:tcBorders>
              <w:top w:val="nil"/>
              <w:left w:val="nil"/>
              <w:bottom w:val="nil"/>
              <w:right w:val="nil"/>
            </w:tcBorders>
            <w:shd w:val="clear" w:color="auto" w:fill="auto"/>
            <w:noWrap/>
            <w:vAlign w:val="center"/>
            <w:hideMark/>
          </w:tcPr>
          <w:p w14:paraId="5CF0C1EA"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0,0</w:t>
            </w:r>
          </w:p>
        </w:tc>
        <w:tc>
          <w:tcPr>
            <w:tcW w:w="1191" w:type="dxa"/>
            <w:tcBorders>
              <w:top w:val="nil"/>
              <w:left w:val="nil"/>
              <w:bottom w:val="nil"/>
              <w:right w:val="nil"/>
            </w:tcBorders>
            <w:shd w:val="clear" w:color="auto" w:fill="auto"/>
            <w:noWrap/>
            <w:vAlign w:val="center"/>
            <w:hideMark/>
          </w:tcPr>
          <w:p w14:paraId="1B4C2658"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0,0</w:t>
            </w:r>
          </w:p>
        </w:tc>
        <w:tc>
          <w:tcPr>
            <w:tcW w:w="1276" w:type="dxa"/>
            <w:tcBorders>
              <w:top w:val="nil"/>
              <w:left w:val="nil"/>
              <w:bottom w:val="nil"/>
              <w:right w:val="nil"/>
            </w:tcBorders>
            <w:shd w:val="clear" w:color="auto" w:fill="auto"/>
            <w:noWrap/>
            <w:vAlign w:val="center"/>
            <w:hideMark/>
          </w:tcPr>
          <w:p w14:paraId="5367CCDE"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0,0</w:t>
            </w:r>
          </w:p>
        </w:tc>
      </w:tr>
      <w:tr w:rsidR="006C578F" w:rsidRPr="005C53F5" w14:paraId="3523E357" w14:textId="77777777" w:rsidTr="006C578F">
        <w:trPr>
          <w:trHeight w:val="900"/>
        </w:trPr>
        <w:tc>
          <w:tcPr>
            <w:tcW w:w="3402" w:type="dxa"/>
            <w:tcBorders>
              <w:top w:val="nil"/>
              <w:left w:val="nil"/>
              <w:bottom w:val="nil"/>
              <w:right w:val="nil"/>
            </w:tcBorders>
            <w:shd w:val="clear" w:color="auto" w:fill="auto"/>
            <w:vAlign w:val="center"/>
            <w:hideMark/>
          </w:tcPr>
          <w:p w14:paraId="26F96D5E"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417" w:type="dxa"/>
            <w:tcBorders>
              <w:top w:val="nil"/>
              <w:left w:val="nil"/>
              <w:bottom w:val="nil"/>
              <w:right w:val="nil"/>
            </w:tcBorders>
            <w:shd w:val="clear" w:color="auto" w:fill="auto"/>
            <w:noWrap/>
            <w:vAlign w:val="center"/>
            <w:hideMark/>
          </w:tcPr>
          <w:p w14:paraId="49E56D0A" w14:textId="6423DB4E"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0,0</w:t>
            </w:r>
          </w:p>
        </w:tc>
        <w:tc>
          <w:tcPr>
            <w:tcW w:w="1107" w:type="dxa"/>
            <w:tcBorders>
              <w:top w:val="nil"/>
              <w:left w:val="nil"/>
              <w:bottom w:val="nil"/>
              <w:right w:val="nil"/>
            </w:tcBorders>
            <w:shd w:val="clear" w:color="auto" w:fill="auto"/>
            <w:noWrap/>
            <w:vAlign w:val="center"/>
            <w:hideMark/>
          </w:tcPr>
          <w:p w14:paraId="0194F3D3" w14:textId="169FF5E4"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77</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409,0</w:t>
            </w:r>
          </w:p>
        </w:tc>
        <w:tc>
          <w:tcPr>
            <w:tcW w:w="1246" w:type="dxa"/>
            <w:tcBorders>
              <w:top w:val="nil"/>
              <w:left w:val="nil"/>
              <w:bottom w:val="nil"/>
              <w:right w:val="nil"/>
            </w:tcBorders>
            <w:shd w:val="clear" w:color="auto" w:fill="auto"/>
            <w:noWrap/>
            <w:vAlign w:val="center"/>
            <w:hideMark/>
          </w:tcPr>
          <w:p w14:paraId="4A5A9B4D" w14:textId="18F58935"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210,</w:t>
            </w:r>
            <w:r w:rsidRPr="005C53F5">
              <w:rPr>
                <w:rFonts w:ascii="Times New Roman" w:eastAsia="Times New Roman" w:hAnsi="Times New Roman" w:cs="Times New Roman"/>
                <w:i/>
                <w:iCs/>
                <w:sz w:val="18"/>
                <w:szCs w:val="18"/>
                <w:lang w:eastAsia="ru-RU"/>
              </w:rPr>
              <w:t>8</w:t>
            </w:r>
          </w:p>
        </w:tc>
        <w:tc>
          <w:tcPr>
            <w:tcW w:w="1191" w:type="dxa"/>
            <w:tcBorders>
              <w:top w:val="nil"/>
              <w:left w:val="nil"/>
              <w:bottom w:val="nil"/>
              <w:right w:val="nil"/>
            </w:tcBorders>
            <w:shd w:val="clear" w:color="auto" w:fill="auto"/>
            <w:noWrap/>
            <w:vAlign w:val="center"/>
            <w:hideMark/>
          </w:tcPr>
          <w:p w14:paraId="1104B4EA" w14:textId="174FE3B9"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31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957,</w:t>
            </w:r>
            <w:r w:rsidRPr="005C53F5">
              <w:rPr>
                <w:rFonts w:ascii="Times New Roman" w:eastAsia="Times New Roman" w:hAnsi="Times New Roman" w:cs="Times New Roman"/>
                <w:i/>
                <w:iCs/>
                <w:sz w:val="18"/>
                <w:szCs w:val="18"/>
                <w:lang w:eastAsia="ru-RU"/>
              </w:rPr>
              <w:t>7</w:t>
            </w:r>
          </w:p>
        </w:tc>
        <w:tc>
          <w:tcPr>
            <w:tcW w:w="1276" w:type="dxa"/>
            <w:tcBorders>
              <w:top w:val="nil"/>
              <w:left w:val="nil"/>
              <w:bottom w:val="nil"/>
              <w:right w:val="nil"/>
            </w:tcBorders>
            <w:shd w:val="clear" w:color="auto" w:fill="auto"/>
            <w:noWrap/>
            <w:vAlign w:val="center"/>
            <w:hideMark/>
          </w:tcPr>
          <w:p w14:paraId="7C9D2F13" w14:textId="1D96291A"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60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359,</w:t>
            </w:r>
            <w:r w:rsidRPr="005C53F5">
              <w:rPr>
                <w:rFonts w:ascii="Times New Roman" w:eastAsia="Times New Roman" w:hAnsi="Times New Roman" w:cs="Times New Roman"/>
                <w:i/>
                <w:iCs/>
                <w:sz w:val="18"/>
                <w:szCs w:val="18"/>
                <w:lang w:eastAsia="ru-RU"/>
              </w:rPr>
              <w:t>7</w:t>
            </w:r>
          </w:p>
        </w:tc>
      </w:tr>
      <w:tr w:rsidR="00F24250" w:rsidRPr="005C53F5" w14:paraId="543E58ED" w14:textId="77777777" w:rsidTr="005C04E2">
        <w:trPr>
          <w:trHeight w:val="450"/>
        </w:trPr>
        <w:tc>
          <w:tcPr>
            <w:tcW w:w="3402" w:type="dxa"/>
            <w:tcBorders>
              <w:top w:val="nil"/>
              <w:left w:val="nil"/>
              <w:bottom w:val="nil"/>
              <w:right w:val="nil"/>
            </w:tcBorders>
            <w:shd w:val="clear" w:color="auto" w:fill="auto"/>
            <w:vAlign w:val="center"/>
            <w:hideMark/>
          </w:tcPr>
          <w:p w14:paraId="3CD548C3" w14:textId="77777777" w:rsidR="00F24250" w:rsidRPr="005C53F5" w:rsidRDefault="00F24250" w:rsidP="00057BE5">
            <w:pPr>
              <w:spacing w:after="0" w:line="240" w:lineRule="auto"/>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Промышленность, архитектурная, градостроительная и строительная деятельность</w:t>
            </w:r>
          </w:p>
        </w:tc>
        <w:tc>
          <w:tcPr>
            <w:tcW w:w="1417" w:type="dxa"/>
            <w:tcBorders>
              <w:top w:val="nil"/>
              <w:left w:val="nil"/>
              <w:bottom w:val="nil"/>
              <w:right w:val="nil"/>
            </w:tcBorders>
            <w:shd w:val="clear" w:color="auto" w:fill="auto"/>
            <w:noWrap/>
            <w:vAlign w:val="center"/>
            <w:hideMark/>
          </w:tcPr>
          <w:p w14:paraId="5D55379B"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0,0</w:t>
            </w:r>
          </w:p>
        </w:tc>
        <w:tc>
          <w:tcPr>
            <w:tcW w:w="1107" w:type="dxa"/>
            <w:tcBorders>
              <w:top w:val="nil"/>
              <w:left w:val="nil"/>
              <w:bottom w:val="nil"/>
              <w:right w:val="nil"/>
            </w:tcBorders>
            <w:shd w:val="clear" w:color="auto" w:fill="auto"/>
            <w:noWrap/>
            <w:vAlign w:val="center"/>
            <w:hideMark/>
          </w:tcPr>
          <w:p w14:paraId="29431C30"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0,0</w:t>
            </w:r>
          </w:p>
        </w:tc>
        <w:tc>
          <w:tcPr>
            <w:tcW w:w="1246" w:type="dxa"/>
            <w:tcBorders>
              <w:top w:val="nil"/>
              <w:left w:val="nil"/>
              <w:bottom w:val="nil"/>
              <w:right w:val="nil"/>
            </w:tcBorders>
            <w:shd w:val="clear" w:color="auto" w:fill="auto"/>
            <w:noWrap/>
            <w:vAlign w:val="center"/>
            <w:hideMark/>
          </w:tcPr>
          <w:p w14:paraId="0E9D1FFA"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20 000,0</w:t>
            </w:r>
          </w:p>
        </w:tc>
        <w:tc>
          <w:tcPr>
            <w:tcW w:w="1191" w:type="dxa"/>
            <w:tcBorders>
              <w:top w:val="nil"/>
              <w:left w:val="nil"/>
              <w:bottom w:val="nil"/>
              <w:right w:val="nil"/>
            </w:tcBorders>
            <w:shd w:val="clear" w:color="auto" w:fill="auto"/>
            <w:noWrap/>
            <w:vAlign w:val="center"/>
            <w:hideMark/>
          </w:tcPr>
          <w:p w14:paraId="3CE078B0"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169,4</w:t>
            </w:r>
          </w:p>
        </w:tc>
        <w:tc>
          <w:tcPr>
            <w:tcW w:w="1276" w:type="dxa"/>
            <w:tcBorders>
              <w:top w:val="nil"/>
              <w:left w:val="nil"/>
              <w:bottom w:val="nil"/>
              <w:right w:val="nil"/>
            </w:tcBorders>
            <w:shd w:val="clear" w:color="auto" w:fill="auto"/>
            <w:noWrap/>
            <w:vAlign w:val="center"/>
            <w:hideMark/>
          </w:tcPr>
          <w:p w14:paraId="0A82BAA1" w14:textId="77777777" w:rsidR="00F24250" w:rsidRPr="005C53F5" w:rsidRDefault="00F24250"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73 000,0</w:t>
            </w:r>
          </w:p>
        </w:tc>
      </w:tr>
      <w:tr w:rsidR="006C578F" w:rsidRPr="005C53F5" w14:paraId="144B62B2" w14:textId="77777777" w:rsidTr="006C578F">
        <w:trPr>
          <w:trHeight w:val="255"/>
        </w:trPr>
        <w:tc>
          <w:tcPr>
            <w:tcW w:w="3402" w:type="dxa"/>
            <w:tcBorders>
              <w:top w:val="nil"/>
              <w:left w:val="nil"/>
              <w:bottom w:val="nil"/>
              <w:right w:val="nil"/>
            </w:tcBorders>
            <w:shd w:val="clear" w:color="auto" w:fill="auto"/>
            <w:vAlign w:val="center"/>
            <w:hideMark/>
          </w:tcPr>
          <w:p w14:paraId="76E65CE7"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Транспорт и коммуникации</w:t>
            </w:r>
          </w:p>
        </w:tc>
        <w:tc>
          <w:tcPr>
            <w:tcW w:w="1417" w:type="dxa"/>
            <w:tcBorders>
              <w:top w:val="nil"/>
              <w:left w:val="nil"/>
              <w:bottom w:val="nil"/>
              <w:right w:val="nil"/>
            </w:tcBorders>
            <w:shd w:val="clear" w:color="auto" w:fill="auto"/>
            <w:noWrap/>
            <w:vAlign w:val="center"/>
            <w:hideMark/>
          </w:tcPr>
          <w:p w14:paraId="7E86FDD4" w14:textId="18E0AB25"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 xml:space="preserve">37 </w:t>
            </w:r>
            <w:r w:rsidRPr="005C53F5">
              <w:rPr>
                <w:rFonts w:ascii="Times New Roman" w:hAnsi="Times New Roman"/>
                <w:i/>
                <w:sz w:val="18"/>
              </w:rPr>
              <w:t>100,</w:t>
            </w:r>
            <w:r w:rsidRPr="005C53F5">
              <w:rPr>
                <w:rFonts w:ascii="Times New Roman" w:eastAsia="Times New Roman" w:hAnsi="Times New Roman" w:cs="Times New Roman"/>
                <w:i/>
                <w:iCs/>
                <w:sz w:val="18"/>
                <w:szCs w:val="18"/>
                <w:lang w:eastAsia="ru-RU"/>
              </w:rPr>
              <w:t>7</w:t>
            </w:r>
          </w:p>
        </w:tc>
        <w:tc>
          <w:tcPr>
            <w:tcW w:w="1107" w:type="dxa"/>
            <w:tcBorders>
              <w:top w:val="nil"/>
              <w:left w:val="nil"/>
              <w:bottom w:val="nil"/>
              <w:right w:val="nil"/>
            </w:tcBorders>
            <w:shd w:val="clear" w:color="auto" w:fill="auto"/>
            <w:noWrap/>
            <w:vAlign w:val="center"/>
            <w:hideMark/>
          </w:tcPr>
          <w:p w14:paraId="1BC4AE38" w14:textId="23E8B82E"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52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630,</w:t>
            </w:r>
            <w:r w:rsidRPr="005C53F5">
              <w:rPr>
                <w:rFonts w:ascii="Times New Roman" w:eastAsia="Times New Roman" w:hAnsi="Times New Roman" w:cs="Times New Roman"/>
                <w:i/>
                <w:iCs/>
                <w:sz w:val="18"/>
                <w:szCs w:val="18"/>
                <w:lang w:eastAsia="ru-RU"/>
              </w:rPr>
              <w:t>0</w:t>
            </w:r>
          </w:p>
        </w:tc>
        <w:tc>
          <w:tcPr>
            <w:tcW w:w="1246" w:type="dxa"/>
            <w:tcBorders>
              <w:top w:val="nil"/>
              <w:left w:val="nil"/>
              <w:bottom w:val="nil"/>
              <w:right w:val="nil"/>
            </w:tcBorders>
            <w:shd w:val="clear" w:color="auto" w:fill="auto"/>
            <w:noWrap/>
            <w:vAlign w:val="center"/>
            <w:hideMark/>
          </w:tcPr>
          <w:p w14:paraId="635C6C17" w14:textId="263E117D"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111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451,</w:t>
            </w:r>
            <w:r w:rsidRPr="005C53F5">
              <w:rPr>
                <w:rFonts w:ascii="Times New Roman" w:eastAsia="Times New Roman" w:hAnsi="Times New Roman" w:cs="Times New Roman"/>
                <w:i/>
                <w:iCs/>
                <w:sz w:val="18"/>
                <w:szCs w:val="18"/>
                <w:lang w:eastAsia="ru-RU"/>
              </w:rPr>
              <w:t>1</w:t>
            </w:r>
          </w:p>
        </w:tc>
        <w:tc>
          <w:tcPr>
            <w:tcW w:w="1191" w:type="dxa"/>
            <w:tcBorders>
              <w:top w:val="nil"/>
              <w:left w:val="nil"/>
              <w:bottom w:val="nil"/>
              <w:right w:val="nil"/>
            </w:tcBorders>
            <w:shd w:val="clear" w:color="auto" w:fill="auto"/>
            <w:noWrap/>
            <w:vAlign w:val="center"/>
            <w:hideMark/>
          </w:tcPr>
          <w:p w14:paraId="6BAB8EB6" w14:textId="288C6142"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33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153,0</w:t>
            </w:r>
          </w:p>
        </w:tc>
        <w:tc>
          <w:tcPr>
            <w:tcW w:w="1276" w:type="dxa"/>
            <w:tcBorders>
              <w:top w:val="nil"/>
              <w:left w:val="nil"/>
              <w:bottom w:val="nil"/>
              <w:right w:val="nil"/>
            </w:tcBorders>
            <w:shd w:val="clear" w:color="auto" w:fill="auto"/>
            <w:noWrap/>
            <w:vAlign w:val="center"/>
            <w:hideMark/>
          </w:tcPr>
          <w:p w14:paraId="2F8ECC96" w14:textId="29F9051E"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26</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206,0</w:t>
            </w:r>
          </w:p>
        </w:tc>
      </w:tr>
      <w:tr w:rsidR="006C578F" w:rsidRPr="005C53F5" w14:paraId="3625C65E" w14:textId="77777777" w:rsidTr="006C578F">
        <w:trPr>
          <w:trHeight w:val="255"/>
        </w:trPr>
        <w:tc>
          <w:tcPr>
            <w:tcW w:w="3402" w:type="dxa"/>
            <w:tcBorders>
              <w:top w:val="nil"/>
              <w:left w:val="nil"/>
              <w:bottom w:val="nil"/>
              <w:right w:val="nil"/>
            </w:tcBorders>
            <w:shd w:val="clear" w:color="auto" w:fill="auto"/>
            <w:vAlign w:val="center"/>
            <w:hideMark/>
          </w:tcPr>
          <w:p w14:paraId="2B161617" w14:textId="77777777" w:rsidR="00F24250" w:rsidRPr="005C53F5" w:rsidRDefault="00F24250" w:rsidP="00057BE5">
            <w:pPr>
              <w:spacing w:after="0" w:line="240" w:lineRule="auto"/>
              <w:rPr>
                <w:rFonts w:ascii="Times New Roman" w:hAnsi="Times New Roman"/>
                <w:i/>
                <w:sz w:val="18"/>
              </w:rPr>
            </w:pPr>
            <w:r w:rsidRPr="005C53F5">
              <w:rPr>
                <w:rFonts w:ascii="Times New Roman" w:hAnsi="Times New Roman"/>
                <w:i/>
                <w:sz w:val="18"/>
              </w:rPr>
              <w:t>Прочие</w:t>
            </w:r>
          </w:p>
        </w:tc>
        <w:tc>
          <w:tcPr>
            <w:tcW w:w="1417" w:type="dxa"/>
            <w:tcBorders>
              <w:top w:val="nil"/>
              <w:left w:val="nil"/>
              <w:bottom w:val="nil"/>
              <w:right w:val="nil"/>
            </w:tcBorders>
            <w:shd w:val="clear" w:color="auto" w:fill="auto"/>
            <w:noWrap/>
            <w:vAlign w:val="center"/>
            <w:hideMark/>
          </w:tcPr>
          <w:p w14:paraId="095A3884" w14:textId="0B09D15B"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191</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634,</w:t>
            </w:r>
            <w:r w:rsidRPr="005C53F5">
              <w:rPr>
                <w:rFonts w:ascii="Times New Roman" w:eastAsia="Times New Roman" w:hAnsi="Times New Roman" w:cs="Times New Roman"/>
                <w:i/>
                <w:iCs/>
                <w:sz w:val="18"/>
                <w:szCs w:val="18"/>
                <w:lang w:eastAsia="ru-RU"/>
              </w:rPr>
              <w:t>5</w:t>
            </w:r>
          </w:p>
        </w:tc>
        <w:tc>
          <w:tcPr>
            <w:tcW w:w="1107" w:type="dxa"/>
            <w:tcBorders>
              <w:top w:val="nil"/>
              <w:left w:val="nil"/>
              <w:bottom w:val="nil"/>
              <w:right w:val="nil"/>
            </w:tcBorders>
            <w:shd w:val="clear" w:color="auto" w:fill="auto"/>
            <w:noWrap/>
            <w:vAlign w:val="center"/>
            <w:hideMark/>
          </w:tcPr>
          <w:p w14:paraId="6536D05B" w14:textId="337347B9"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192</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929,</w:t>
            </w:r>
            <w:r w:rsidRPr="005C53F5">
              <w:rPr>
                <w:rFonts w:ascii="Times New Roman" w:eastAsia="Times New Roman" w:hAnsi="Times New Roman" w:cs="Times New Roman"/>
                <w:i/>
                <w:iCs/>
                <w:sz w:val="18"/>
                <w:szCs w:val="18"/>
                <w:lang w:eastAsia="ru-RU"/>
              </w:rPr>
              <w:t>2</w:t>
            </w:r>
          </w:p>
        </w:tc>
        <w:tc>
          <w:tcPr>
            <w:tcW w:w="1246" w:type="dxa"/>
            <w:tcBorders>
              <w:top w:val="nil"/>
              <w:left w:val="nil"/>
              <w:bottom w:val="nil"/>
              <w:right w:val="nil"/>
            </w:tcBorders>
            <w:shd w:val="clear" w:color="auto" w:fill="auto"/>
            <w:noWrap/>
            <w:vAlign w:val="center"/>
            <w:hideMark/>
          </w:tcPr>
          <w:p w14:paraId="02E419F0" w14:textId="74A930C6"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146</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451,</w:t>
            </w:r>
            <w:r w:rsidRPr="005C53F5">
              <w:rPr>
                <w:rFonts w:ascii="Times New Roman" w:eastAsia="Times New Roman" w:hAnsi="Times New Roman" w:cs="Times New Roman"/>
                <w:i/>
                <w:iCs/>
                <w:sz w:val="18"/>
                <w:szCs w:val="18"/>
                <w:lang w:eastAsia="ru-RU"/>
              </w:rPr>
              <w:t>2</w:t>
            </w:r>
          </w:p>
        </w:tc>
        <w:tc>
          <w:tcPr>
            <w:tcW w:w="1191" w:type="dxa"/>
            <w:tcBorders>
              <w:top w:val="nil"/>
              <w:left w:val="nil"/>
              <w:bottom w:val="nil"/>
              <w:right w:val="nil"/>
            </w:tcBorders>
            <w:shd w:val="clear" w:color="auto" w:fill="auto"/>
            <w:noWrap/>
            <w:vAlign w:val="center"/>
            <w:hideMark/>
          </w:tcPr>
          <w:p w14:paraId="03C3CEBA" w14:textId="21470BC1"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63</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451,</w:t>
            </w:r>
            <w:r w:rsidRPr="005C53F5">
              <w:rPr>
                <w:rFonts w:ascii="Times New Roman" w:eastAsia="Times New Roman" w:hAnsi="Times New Roman" w:cs="Times New Roman"/>
                <w:i/>
                <w:iCs/>
                <w:sz w:val="18"/>
                <w:szCs w:val="18"/>
                <w:lang w:eastAsia="ru-RU"/>
              </w:rPr>
              <w:t>8</w:t>
            </w:r>
          </w:p>
        </w:tc>
        <w:tc>
          <w:tcPr>
            <w:tcW w:w="1276" w:type="dxa"/>
            <w:tcBorders>
              <w:top w:val="nil"/>
              <w:left w:val="nil"/>
              <w:bottom w:val="nil"/>
              <w:right w:val="nil"/>
            </w:tcBorders>
            <w:shd w:val="clear" w:color="auto" w:fill="auto"/>
            <w:noWrap/>
            <w:vAlign w:val="center"/>
            <w:hideMark/>
          </w:tcPr>
          <w:p w14:paraId="09DE7471" w14:textId="7312D260" w:rsidR="00F24250" w:rsidRPr="005C53F5" w:rsidRDefault="00F24250" w:rsidP="00057BE5">
            <w:pPr>
              <w:spacing w:after="0" w:line="240" w:lineRule="auto"/>
              <w:jc w:val="right"/>
              <w:rPr>
                <w:rFonts w:ascii="Times New Roman" w:hAnsi="Times New Roman"/>
                <w:i/>
                <w:sz w:val="18"/>
              </w:rPr>
            </w:pPr>
            <w:r w:rsidRPr="005C53F5">
              <w:rPr>
                <w:rFonts w:ascii="Times New Roman" w:hAnsi="Times New Roman"/>
                <w:i/>
                <w:sz w:val="18"/>
              </w:rPr>
              <w:t>80</w:t>
            </w:r>
            <w:r w:rsidRPr="005C53F5">
              <w:rPr>
                <w:rFonts w:ascii="Times New Roman" w:eastAsia="Times New Roman" w:hAnsi="Times New Roman" w:cs="Times New Roman"/>
                <w:i/>
                <w:iCs/>
                <w:sz w:val="18"/>
                <w:szCs w:val="18"/>
                <w:lang w:eastAsia="ru-RU"/>
              </w:rPr>
              <w:t xml:space="preserve"> </w:t>
            </w:r>
            <w:r w:rsidRPr="005C53F5">
              <w:rPr>
                <w:rFonts w:ascii="Times New Roman" w:hAnsi="Times New Roman"/>
                <w:i/>
                <w:sz w:val="18"/>
              </w:rPr>
              <w:t>830,9</w:t>
            </w:r>
          </w:p>
        </w:tc>
      </w:tr>
      <w:tr w:rsidR="006C578F" w:rsidRPr="005C53F5" w14:paraId="6F589861" w14:textId="77777777" w:rsidTr="006C578F">
        <w:trPr>
          <w:trHeight w:val="510"/>
        </w:trPr>
        <w:tc>
          <w:tcPr>
            <w:tcW w:w="3402" w:type="dxa"/>
            <w:tcBorders>
              <w:top w:val="nil"/>
              <w:left w:val="nil"/>
              <w:bottom w:val="nil"/>
              <w:right w:val="nil"/>
            </w:tcBorders>
            <w:shd w:val="clear" w:color="auto" w:fill="auto"/>
            <w:vAlign w:val="center"/>
            <w:hideMark/>
          </w:tcPr>
          <w:p w14:paraId="6237DEFD"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ПОСТУПЛЕНИЯ ОТ ПРОДАЖИ ФИНАНСОВЫХ АКТИВОВ ГОСУДАРСТВА</w:t>
            </w:r>
          </w:p>
        </w:tc>
        <w:tc>
          <w:tcPr>
            <w:tcW w:w="1417" w:type="dxa"/>
            <w:tcBorders>
              <w:top w:val="nil"/>
              <w:left w:val="nil"/>
              <w:bottom w:val="nil"/>
              <w:right w:val="nil"/>
            </w:tcBorders>
            <w:shd w:val="clear" w:color="auto" w:fill="auto"/>
            <w:noWrap/>
            <w:vAlign w:val="center"/>
            <w:hideMark/>
          </w:tcPr>
          <w:p w14:paraId="147276DD" w14:textId="6D7DB85D"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8</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229,3</w:t>
            </w:r>
          </w:p>
        </w:tc>
        <w:tc>
          <w:tcPr>
            <w:tcW w:w="1107" w:type="dxa"/>
            <w:tcBorders>
              <w:top w:val="nil"/>
              <w:left w:val="nil"/>
              <w:bottom w:val="nil"/>
              <w:right w:val="nil"/>
            </w:tcBorders>
            <w:shd w:val="clear" w:color="auto" w:fill="auto"/>
            <w:noWrap/>
            <w:vAlign w:val="center"/>
            <w:hideMark/>
          </w:tcPr>
          <w:p w14:paraId="0646C5CB" w14:textId="0170C45A"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6</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000,</w:t>
            </w:r>
            <w:r w:rsidRPr="005C53F5">
              <w:rPr>
                <w:rFonts w:ascii="Times New Roman" w:eastAsia="Times New Roman" w:hAnsi="Times New Roman" w:cs="Times New Roman"/>
                <w:b/>
                <w:bCs/>
                <w:sz w:val="18"/>
                <w:szCs w:val="18"/>
                <w:lang w:eastAsia="ru-RU"/>
              </w:rPr>
              <w:t>2</w:t>
            </w:r>
          </w:p>
        </w:tc>
        <w:tc>
          <w:tcPr>
            <w:tcW w:w="1246" w:type="dxa"/>
            <w:tcBorders>
              <w:top w:val="nil"/>
              <w:left w:val="nil"/>
              <w:bottom w:val="nil"/>
              <w:right w:val="nil"/>
            </w:tcBorders>
            <w:shd w:val="clear" w:color="auto" w:fill="auto"/>
            <w:noWrap/>
            <w:vAlign w:val="center"/>
            <w:hideMark/>
          </w:tcPr>
          <w:p w14:paraId="641EB77D" w14:textId="74ACE0E3"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177,</w:t>
            </w:r>
            <w:r w:rsidRPr="005C53F5">
              <w:rPr>
                <w:rFonts w:ascii="Times New Roman" w:eastAsia="Times New Roman" w:hAnsi="Times New Roman" w:cs="Times New Roman"/>
                <w:b/>
                <w:bCs/>
                <w:sz w:val="18"/>
                <w:szCs w:val="18"/>
                <w:lang w:eastAsia="ru-RU"/>
              </w:rPr>
              <w:t>6</w:t>
            </w:r>
          </w:p>
        </w:tc>
        <w:tc>
          <w:tcPr>
            <w:tcW w:w="1191" w:type="dxa"/>
            <w:tcBorders>
              <w:top w:val="nil"/>
              <w:left w:val="nil"/>
              <w:bottom w:val="nil"/>
              <w:right w:val="nil"/>
            </w:tcBorders>
            <w:shd w:val="clear" w:color="auto" w:fill="auto"/>
            <w:noWrap/>
            <w:vAlign w:val="center"/>
            <w:hideMark/>
          </w:tcPr>
          <w:p w14:paraId="09721FD7" w14:textId="52C687AD"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18</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985,</w:t>
            </w:r>
            <w:r w:rsidRPr="005C53F5">
              <w:rPr>
                <w:rFonts w:ascii="Times New Roman" w:eastAsia="Times New Roman" w:hAnsi="Times New Roman" w:cs="Times New Roman"/>
                <w:b/>
                <w:bCs/>
                <w:sz w:val="18"/>
                <w:szCs w:val="18"/>
                <w:lang w:eastAsia="ru-RU"/>
              </w:rPr>
              <w:t>8</w:t>
            </w:r>
          </w:p>
        </w:tc>
        <w:tc>
          <w:tcPr>
            <w:tcW w:w="1276" w:type="dxa"/>
            <w:tcBorders>
              <w:top w:val="nil"/>
              <w:left w:val="nil"/>
              <w:bottom w:val="nil"/>
              <w:right w:val="nil"/>
            </w:tcBorders>
            <w:shd w:val="clear" w:color="auto" w:fill="auto"/>
            <w:noWrap/>
            <w:vAlign w:val="center"/>
            <w:hideMark/>
          </w:tcPr>
          <w:p w14:paraId="7A3C1E05" w14:textId="060BD1FF"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24</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568,</w:t>
            </w:r>
            <w:r w:rsidRPr="005C53F5">
              <w:rPr>
                <w:rFonts w:ascii="Times New Roman" w:eastAsia="Times New Roman" w:hAnsi="Times New Roman" w:cs="Times New Roman"/>
                <w:b/>
                <w:bCs/>
                <w:sz w:val="18"/>
                <w:szCs w:val="18"/>
                <w:lang w:eastAsia="ru-RU"/>
              </w:rPr>
              <w:t>9</w:t>
            </w:r>
          </w:p>
        </w:tc>
      </w:tr>
      <w:tr w:rsidR="006C578F" w:rsidRPr="005C53F5" w14:paraId="7B8DD3C2" w14:textId="77777777" w:rsidTr="006C578F">
        <w:trPr>
          <w:trHeight w:val="510"/>
        </w:trPr>
        <w:tc>
          <w:tcPr>
            <w:tcW w:w="3402" w:type="dxa"/>
            <w:tcBorders>
              <w:top w:val="nil"/>
              <w:left w:val="nil"/>
              <w:bottom w:val="nil"/>
              <w:right w:val="nil"/>
            </w:tcBorders>
            <w:shd w:val="clear" w:color="auto" w:fill="auto"/>
            <w:vAlign w:val="center"/>
            <w:hideMark/>
          </w:tcPr>
          <w:p w14:paraId="34DAB71A" w14:textId="0E83D458" w:rsidR="00F24250" w:rsidRPr="005C53F5" w:rsidRDefault="00F24250" w:rsidP="00057BE5">
            <w:pPr>
              <w:spacing w:after="0" w:line="240" w:lineRule="auto"/>
              <w:rPr>
                <w:rFonts w:ascii="Times New Roman" w:hAnsi="Times New Roman"/>
                <w:i/>
                <w:sz w:val="18"/>
              </w:rPr>
            </w:pPr>
            <w:r w:rsidRPr="005C53F5">
              <w:rPr>
                <w:rFonts w:ascii="Times New Roman" w:eastAsia="Times New Roman" w:hAnsi="Times New Roman" w:cs="Times New Roman"/>
                <w:i/>
                <w:iCs/>
                <w:sz w:val="18"/>
                <w:szCs w:val="18"/>
                <w:lang w:eastAsia="ru-RU"/>
              </w:rPr>
              <w:t>Поступления от продажи финансовых активов государства</w:t>
            </w:r>
          </w:p>
        </w:tc>
        <w:tc>
          <w:tcPr>
            <w:tcW w:w="1417" w:type="dxa"/>
            <w:tcBorders>
              <w:top w:val="nil"/>
              <w:left w:val="nil"/>
              <w:bottom w:val="nil"/>
              <w:right w:val="nil"/>
            </w:tcBorders>
            <w:shd w:val="clear" w:color="auto" w:fill="auto"/>
            <w:noWrap/>
            <w:vAlign w:val="center"/>
            <w:hideMark/>
          </w:tcPr>
          <w:p w14:paraId="45AF2FA5" w14:textId="7275E9FD"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8 229,3</w:t>
            </w:r>
          </w:p>
        </w:tc>
        <w:tc>
          <w:tcPr>
            <w:tcW w:w="1107" w:type="dxa"/>
            <w:tcBorders>
              <w:top w:val="nil"/>
              <w:left w:val="nil"/>
              <w:bottom w:val="nil"/>
              <w:right w:val="nil"/>
            </w:tcBorders>
            <w:shd w:val="clear" w:color="auto" w:fill="auto"/>
            <w:noWrap/>
            <w:vAlign w:val="center"/>
            <w:hideMark/>
          </w:tcPr>
          <w:p w14:paraId="6CC3A68E" w14:textId="309E8DB1"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6 000,2</w:t>
            </w:r>
          </w:p>
        </w:tc>
        <w:tc>
          <w:tcPr>
            <w:tcW w:w="1246" w:type="dxa"/>
            <w:tcBorders>
              <w:top w:val="nil"/>
              <w:left w:val="nil"/>
              <w:bottom w:val="nil"/>
              <w:right w:val="nil"/>
            </w:tcBorders>
            <w:shd w:val="clear" w:color="auto" w:fill="auto"/>
            <w:noWrap/>
            <w:vAlign w:val="center"/>
            <w:hideMark/>
          </w:tcPr>
          <w:p w14:paraId="28D978B8" w14:textId="4DAE7FAA"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11 177,6</w:t>
            </w:r>
          </w:p>
        </w:tc>
        <w:tc>
          <w:tcPr>
            <w:tcW w:w="1191" w:type="dxa"/>
            <w:tcBorders>
              <w:top w:val="nil"/>
              <w:left w:val="nil"/>
              <w:bottom w:val="nil"/>
              <w:right w:val="nil"/>
            </w:tcBorders>
            <w:shd w:val="clear" w:color="auto" w:fill="auto"/>
            <w:noWrap/>
            <w:vAlign w:val="center"/>
            <w:hideMark/>
          </w:tcPr>
          <w:p w14:paraId="39F8EA4F" w14:textId="3A6477B9"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18 985,8</w:t>
            </w:r>
          </w:p>
        </w:tc>
        <w:tc>
          <w:tcPr>
            <w:tcW w:w="1276" w:type="dxa"/>
            <w:tcBorders>
              <w:top w:val="nil"/>
              <w:left w:val="nil"/>
              <w:bottom w:val="nil"/>
              <w:right w:val="nil"/>
            </w:tcBorders>
            <w:shd w:val="clear" w:color="auto" w:fill="auto"/>
            <w:noWrap/>
            <w:vAlign w:val="center"/>
            <w:hideMark/>
          </w:tcPr>
          <w:p w14:paraId="1D41ACC5" w14:textId="3B51BB51"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24 568,9</w:t>
            </w:r>
          </w:p>
        </w:tc>
      </w:tr>
      <w:tr w:rsidR="006C578F" w:rsidRPr="005C53F5" w14:paraId="254FC8AC" w14:textId="77777777" w:rsidTr="006C578F">
        <w:trPr>
          <w:trHeight w:val="255"/>
        </w:trPr>
        <w:tc>
          <w:tcPr>
            <w:tcW w:w="3402" w:type="dxa"/>
            <w:tcBorders>
              <w:top w:val="nil"/>
              <w:left w:val="nil"/>
              <w:bottom w:val="nil"/>
              <w:right w:val="nil"/>
            </w:tcBorders>
            <w:shd w:val="clear" w:color="auto" w:fill="auto"/>
            <w:vAlign w:val="center"/>
            <w:hideMark/>
          </w:tcPr>
          <w:p w14:paraId="0B01C3A6"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V. ДЕФИЦИТ (ПРОФИЦИТ) БЮДЖЕТА</w:t>
            </w:r>
          </w:p>
        </w:tc>
        <w:tc>
          <w:tcPr>
            <w:tcW w:w="1417" w:type="dxa"/>
            <w:tcBorders>
              <w:top w:val="nil"/>
              <w:left w:val="nil"/>
              <w:bottom w:val="nil"/>
              <w:right w:val="nil"/>
            </w:tcBorders>
            <w:shd w:val="clear" w:color="auto" w:fill="auto"/>
            <w:noWrap/>
            <w:vAlign w:val="center"/>
            <w:hideMark/>
          </w:tcPr>
          <w:p w14:paraId="5DBB68AE" w14:textId="498BD45D" w:rsidR="00F24250" w:rsidRPr="005C53F5" w:rsidRDefault="00F24250" w:rsidP="00057BE5">
            <w:pPr>
              <w:spacing w:after="0" w:line="240" w:lineRule="auto"/>
              <w:jc w:val="right"/>
              <w:rPr>
                <w:rFonts w:ascii="Times New Roman" w:hAnsi="Times New Roman"/>
                <w:b/>
                <w:sz w:val="18"/>
              </w:rPr>
            </w:pPr>
            <w:r w:rsidRPr="005C53F5">
              <w:rPr>
                <w:rFonts w:ascii="Times New Roman" w:eastAsia="Times New Roman" w:hAnsi="Times New Roman" w:cs="Times New Roman"/>
                <w:b/>
                <w:bCs/>
                <w:sz w:val="18"/>
                <w:szCs w:val="18"/>
                <w:lang w:eastAsia="ru-RU"/>
              </w:rPr>
              <w:t>8 409 354,8</w:t>
            </w:r>
          </w:p>
        </w:tc>
        <w:tc>
          <w:tcPr>
            <w:tcW w:w="1107" w:type="dxa"/>
            <w:tcBorders>
              <w:top w:val="nil"/>
              <w:left w:val="nil"/>
              <w:bottom w:val="nil"/>
              <w:right w:val="nil"/>
            </w:tcBorders>
            <w:shd w:val="clear" w:color="auto" w:fill="auto"/>
            <w:noWrap/>
            <w:vAlign w:val="center"/>
            <w:hideMark/>
          </w:tcPr>
          <w:p w14:paraId="79ABCFF2" w14:textId="51EE380D"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w:t>
            </w:r>
            <w:r w:rsidR="00E32382" w:rsidRPr="005C53F5">
              <w:rPr>
                <w:rFonts w:ascii="Times New Roman" w:eastAsia="Times New Roman" w:hAnsi="Times New Roman" w:cs="Times New Roman"/>
                <w:b/>
                <w:bCs/>
                <w:sz w:val="18"/>
                <w:szCs w:val="18"/>
                <w:lang w:eastAsia="ru-RU"/>
              </w:rPr>
              <w:t> </w:t>
            </w:r>
            <w:r w:rsidRPr="005C53F5">
              <w:rPr>
                <w:rFonts w:ascii="Times New Roman" w:eastAsia="Times New Roman" w:hAnsi="Times New Roman" w:cs="Times New Roman"/>
                <w:b/>
                <w:bCs/>
                <w:sz w:val="18"/>
                <w:szCs w:val="18"/>
                <w:lang w:eastAsia="ru-RU"/>
              </w:rPr>
              <w:t>626</w:t>
            </w:r>
            <w:r w:rsidR="00E32382" w:rsidRPr="005C53F5">
              <w:rPr>
                <w:rFonts w:ascii="Times New Roman" w:eastAsia="Times New Roman" w:hAnsi="Times New Roman" w:cs="Times New Roman"/>
                <w:b/>
                <w:bCs/>
                <w:sz w:val="18"/>
                <w:szCs w:val="18"/>
                <w:lang w:eastAsia="ru-RU"/>
              </w:rPr>
              <w:t> </w:t>
            </w:r>
            <w:r w:rsidRPr="005C53F5">
              <w:rPr>
                <w:rFonts w:ascii="Times New Roman" w:eastAsia="Times New Roman" w:hAnsi="Times New Roman" w:cs="Times New Roman"/>
                <w:b/>
                <w:bCs/>
                <w:sz w:val="18"/>
                <w:szCs w:val="18"/>
                <w:lang w:eastAsia="ru-RU"/>
              </w:rPr>
              <w:t>452,9</w:t>
            </w:r>
          </w:p>
        </w:tc>
        <w:tc>
          <w:tcPr>
            <w:tcW w:w="1246" w:type="dxa"/>
            <w:tcBorders>
              <w:top w:val="nil"/>
              <w:left w:val="nil"/>
              <w:bottom w:val="nil"/>
              <w:right w:val="nil"/>
            </w:tcBorders>
            <w:shd w:val="clear" w:color="auto" w:fill="auto"/>
            <w:noWrap/>
            <w:vAlign w:val="center"/>
            <w:hideMark/>
          </w:tcPr>
          <w:p w14:paraId="4F5576F7" w14:textId="3FB32F81"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396</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418,</w:t>
            </w:r>
            <w:r w:rsidRPr="005C53F5">
              <w:rPr>
                <w:rFonts w:ascii="Times New Roman" w:eastAsia="Times New Roman" w:hAnsi="Times New Roman" w:cs="Times New Roman"/>
                <w:b/>
                <w:bCs/>
                <w:sz w:val="18"/>
                <w:szCs w:val="18"/>
                <w:lang w:eastAsia="ru-RU"/>
              </w:rPr>
              <w:t>8</w:t>
            </w:r>
          </w:p>
        </w:tc>
        <w:tc>
          <w:tcPr>
            <w:tcW w:w="1191" w:type="dxa"/>
            <w:tcBorders>
              <w:top w:val="nil"/>
              <w:left w:val="nil"/>
              <w:bottom w:val="nil"/>
              <w:right w:val="nil"/>
            </w:tcBorders>
            <w:shd w:val="clear" w:color="auto" w:fill="auto"/>
            <w:noWrap/>
            <w:vAlign w:val="center"/>
            <w:hideMark/>
          </w:tcPr>
          <w:p w14:paraId="1CC1CBE8" w14:textId="269D590D"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304</w:t>
            </w:r>
            <w:r w:rsidRPr="005C53F5">
              <w:rPr>
                <w:rFonts w:ascii="Times New Roman" w:eastAsia="Times New Roman" w:hAnsi="Times New Roman" w:cs="Times New Roman"/>
                <w:b/>
                <w:bCs/>
                <w:sz w:val="18"/>
                <w:szCs w:val="18"/>
                <w:lang w:eastAsia="ru-RU"/>
              </w:rPr>
              <w:t xml:space="preserve"> </w:t>
            </w:r>
            <w:r w:rsidR="00C333C1" w:rsidRPr="005C53F5">
              <w:rPr>
                <w:rFonts w:ascii="Times New Roman" w:hAnsi="Times New Roman"/>
                <w:b/>
                <w:sz w:val="18"/>
              </w:rPr>
              <w:t>520</w:t>
            </w:r>
            <w:r w:rsidRPr="005C53F5">
              <w:rPr>
                <w:rFonts w:ascii="Times New Roman" w:hAnsi="Times New Roman"/>
                <w:b/>
                <w:sz w:val="18"/>
              </w:rPr>
              <w:t>,</w:t>
            </w:r>
            <w:r w:rsidR="00C333C1" w:rsidRPr="005C53F5">
              <w:rPr>
                <w:rFonts w:ascii="Times New Roman" w:eastAsia="Times New Roman" w:hAnsi="Times New Roman" w:cs="Times New Roman"/>
                <w:b/>
                <w:bCs/>
                <w:sz w:val="18"/>
                <w:szCs w:val="18"/>
                <w:lang w:eastAsia="ru-RU"/>
              </w:rPr>
              <w:t>7</w:t>
            </w:r>
          </w:p>
        </w:tc>
        <w:tc>
          <w:tcPr>
            <w:tcW w:w="1276" w:type="dxa"/>
            <w:tcBorders>
              <w:top w:val="nil"/>
              <w:left w:val="nil"/>
              <w:bottom w:val="nil"/>
              <w:right w:val="nil"/>
            </w:tcBorders>
            <w:shd w:val="clear" w:color="auto" w:fill="auto"/>
            <w:noWrap/>
            <w:vAlign w:val="center"/>
            <w:hideMark/>
          </w:tcPr>
          <w:p w14:paraId="51B84584" w14:textId="63AFD5C4"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-306</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423,</w:t>
            </w:r>
            <w:r w:rsidRPr="005C53F5">
              <w:rPr>
                <w:rFonts w:ascii="Times New Roman" w:eastAsia="Times New Roman" w:hAnsi="Times New Roman" w:cs="Times New Roman"/>
                <w:b/>
                <w:bCs/>
                <w:sz w:val="18"/>
                <w:szCs w:val="18"/>
                <w:lang w:eastAsia="ru-RU"/>
              </w:rPr>
              <w:t>5</w:t>
            </w:r>
          </w:p>
        </w:tc>
      </w:tr>
      <w:tr w:rsidR="006C578F" w:rsidRPr="005C53F5" w14:paraId="67B6506F" w14:textId="77777777" w:rsidTr="006C578F">
        <w:trPr>
          <w:trHeight w:val="765"/>
        </w:trPr>
        <w:tc>
          <w:tcPr>
            <w:tcW w:w="3402" w:type="dxa"/>
            <w:tcBorders>
              <w:top w:val="nil"/>
              <w:left w:val="nil"/>
              <w:bottom w:val="nil"/>
              <w:right w:val="nil"/>
            </w:tcBorders>
            <w:shd w:val="clear" w:color="auto" w:fill="auto"/>
            <w:vAlign w:val="center"/>
            <w:hideMark/>
          </w:tcPr>
          <w:p w14:paraId="00D241A9"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VI. ФИНАНСИРОВАНИЕ ДЕФИЦИТА (ИСПОЛЬЗОВАНИЕ ПРОФИЦИТА) БЮДЖЕТА</w:t>
            </w:r>
          </w:p>
        </w:tc>
        <w:tc>
          <w:tcPr>
            <w:tcW w:w="1417" w:type="dxa"/>
            <w:tcBorders>
              <w:top w:val="nil"/>
              <w:left w:val="nil"/>
              <w:bottom w:val="nil"/>
              <w:right w:val="nil"/>
            </w:tcBorders>
            <w:shd w:val="clear" w:color="auto" w:fill="auto"/>
            <w:noWrap/>
            <w:vAlign w:val="center"/>
            <w:hideMark/>
          </w:tcPr>
          <w:p w14:paraId="1D2D9556" w14:textId="6BA8B11E" w:rsidR="00F24250" w:rsidRPr="005C53F5" w:rsidRDefault="00F24250" w:rsidP="00057BE5">
            <w:pPr>
              <w:spacing w:after="0" w:line="240" w:lineRule="auto"/>
              <w:jc w:val="right"/>
              <w:rPr>
                <w:rFonts w:ascii="Times New Roman" w:hAnsi="Times New Roman"/>
                <w:b/>
                <w:sz w:val="18"/>
              </w:rPr>
            </w:pPr>
            <w:r w:rsidRPr="005C53F5">
              <w:rPr>
                <w:rFonts w:ascii="Times New Roman" w:eastAsia="Times New Roman" w:hAnsi="Times New Roman" w:cs="Times New Roman"/>
                <w:b/>
                <w:bCs/>
                <w:sz w:val="18"/>
                <w:szCs w:val="18"/>
                <w:lang w:eastAsia="ru-RU"/>
              </w:rPr>
              <w:t>-8 409 354,8</w:t>
            </w:r>
          </w:p>
        </w:tc>
        <w:tc>
          <w:tcPr>
            <w:tcW w:w="1107" w:type="dxa"/>
            <w:tcBorders>
              <w:top w:val="nil"/>
              <w:left w:val="nil"/>
              <w:bottom w:val="nil"/>
              <w:right w:val="nil"/>
            </w:tcBorders>
            <w:shd w:val="clear" w:color="auto" w:fill="auto"/>
            <w:noWrap/>
            <w:vAlign w:val="center"/>
            <w:hideMark/>
          </w:tcPr>
          <w:p w14:paraId="78C6CCC5" w14:textId="419FC1D6" w:rsidR="00F24250" w:rsidRPr="005C53F5" w:rsidRDefault="00F24250" w:rsidP="00057BE5">
            <w:pPr>
              <w:spacing w:after="0" w:line="240" w:lineRule="auto"/>
              <w:jc w:val="right"/>
              <w:rPr>
                <w:rFonts w:ascii="Times New Roman" w:hAnsi="Times New Roman"/>
                <w:b/>
                <w:sz w:val="18"/>
              </w:rPr>
            </w:pPr>
            <w:r w:rsidRPr="005C53F5">
              <w:rPr>
                <w:rFonts w:ascii="Times New Roman" w:eastAsia="Times New Roman" w:hAnsi="Times New Roman" w:cs="Times New Roman"/>
                <w:b/>
                <w:bCs/>
                <w:sz w:val="18"/>
                <w:szCs w:val="18"/>
                <w:lang w:eastAsia="ru-RU"/>
              </w:rPr>
              <w:t>2 626 452,9</w:t>
            </w:r>
          </w:p>
        </w:tc>
        <w:tc>
          <w:tcPr>
            <w:tcW w:w="1246" w:type="dxa"/>
            <w:tcBorders>
              <w:top w:val="nil"/>
              <w:left w:val="nil"/>
              <w:bottom w:val="nil"/>
              <w:right w:val="nil"/>
            </w:tcBorders>
            <w:shd w:val="clear" w:color="auto" w:fill="auto"/>
            <w:noWrap/>
            <w:vAlign w:val="center"/>
            <w:hideMark/>
          </w:tcPr>
          <w:p w14:paraId="7DAAA6AC" w14:textId="7FE4701B"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396</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418,</w:t>
            </w:r>
            <w:r w:rsidRPr="005C53F5">
              <w:rPr>
                <w:rFonts w:ascii="Times New Roman" w:eastAsia="Times New Roman" w:hAnsi="Times New Roman" w:cs="Times New Roman"/>
                <w:b/>
                <w:bCs/>
                <w:sz w:val="18"/>
                <w:szCs w:val="18"/>
                <w:lang w:eastAsia="ru-RU"/>
              </w:rPr>
              <w:t>8</w:t>
            </w:r>
          </w:p>
        </w:tc>
        <w:tc>
          <w:tcPr>
            <w:tcW w:w="1191" w:type="dxa"/>
            <w:tcBorders>
              <w:top w:val="nil"/>
              <w:left w:val="nil"/>
              <w:bottom w:val="nil"/>
              <w:right w:val="nil"/>
            </w:tcBorders>
            <w:shd w:val="clear" w:color="auto" w:fill="auto"/>
            <w:noWrap/>
            <w:vAlign w:val="center"/>
            <w:hideMark/>
          </w:tcPr>
          <w:p w14:paraId="16C91BE2" w14:textId="5E76C783"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304</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520,</w:t>
            </w:r>
            <w:r w:rsidRPr="005C53F5">
              <w:rPr>
                <w:rFonts w:ascii="Times New Roman" w:eastAsia="Times New Roman" w:hAnsi="Times New Roman" w:cs="Times New Roman"/>
                <w:b/>
                <w:bCs/>
                <w:sz w:val="18"/>
                <w:szCs w:val="18"/>
                <w:lang w:eastAsia="ru-RU"/>
              </w:rPr>
              <w:t>7</w:t>
            </w:r>
          </w:p>
        </w:tc>
        <w:tc>
          <w:tcPr>
            <w:tcW w:w="1276" w:type="dxa"/>
            <w:tcBorders>
              <w:top w:val="nil"/>
              <w:left w:val="nil"/>
              <w:bottom w:val="nil"/>
              <w:right w:val="nil"/>
            </w:tcBorders>
            <w:shd w:val="clear" w:color="auto" w:fill="auto"/>
            <w:noWrap/>
            <w:vAlign w:val="center"/>
            <w:hideMark/>
          </w:tcPr>
          <w:p w14:paraId="3C3F6945" w14:textId="1D78DA36"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306</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423,</w:t>
            </w:r>
            <w:r w:rsidRPr="005C53F5">
              <w:rPr>
                <w:rFonts w:ascii="Times New Roman" w:eastAsia="Times New Roman" w:hAnsi="Times New Roman" w:cs="Times New Roman"/>
                <w:b/>
                <w:bCs/>
                <w:sz w:val="18"/>
                <w:szCs w:val="18"/>
                <w:lang w:eastAsia="ru-RU"/>
              </w:rPr>
              <w:t>5</w:t>
            </w:r>
          </w:p>
        </w:tc>
      </w:tr>
      <w:tr w:rsidR="006C578F" w:rsidRPr="005C53F5" w14:paraId="54EF820D" w14:textId="77777777" w:rsidTr="006C578F">
        <w:trPr>
          <w:trHeight w:val="255"/>
        </w:trPr>
        <w:tc>
          <w:tcPr>
            <w:tcW w:w="3402" w:type="dxa"/>
            <w:tcBorders>
              <w:top w:val="nil"/>
              <w:left w:val="nil"/>
              <w:bottom w:val="nil"/>
              <w:right w:val="nil"/>
            </w:tcBorders>
            <w:shd w:val="clear" w:color="auto" w:fill="auto"/>
            <w:vAlign w:val="center"/>
            <w:hideMark/>
          </w:tcPr>
          <w:p w14:paraId="5838A065"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ПОСТУПЛЕНИЕ ЗАЙМОВ</w:t>
            </w:r>
          </w:p>
        </w:tc>
        <w:tc>
          <w:tcPr>
            <w:tcW w:w="1417" w:type="dxa"/>
            <w:tcBorders>
              <w:top w:val="nil"/>
              <w:left w:val="nil"/>
              <w:bottom w:val="nil"/>
              <w:right w:val="nil"/>
            </w:tcBorders>
            <w:shd w:val="clear" w:color="auto" w:fill="auto"/>
            <w:noWrap/>
            <w:vAlign w:val="center"/>
            <w:hideMark/>
          </w:tcPr>
          <w:p w14:paraId="0F6E1604" w14:textId="0545D191"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479</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442,</w:t>
            </w:r>
            <w:r w:rsidRPr="005C53F5">
              <w:rPr>
                <w:rFonts w:ascii="Times New Roman" w:eastAsia="Times New Roman" w:hAnsi="Times New Roman" w:cs="Times New Roman"/>
                <w:b/>
                <w:bCs/>
                <w:sz w:val="18"/>
                <w:szCs w:val="18"/>
                <w:lang w:eastAsia="ru-RU"/>
              </w:rPr>
              <w:t>3</w:t>
            </w:r>
          </w:p>
        </w:tc>
        <w:tc>
          <w:tcPr>
            <w:tcW w:w="1107" w:type="dxa"/>
            <w:tcBorders>
              <w:top w:val="nil"/>
              <w:left w:val="nil"/>
              <w:bottom w:val="nil"/>
              <w:right w:val="nil"/>
            </w:tcBorders>
            <w:shd w:val="clear" w:color="auto" w:fill="auto"/>
            <w:noWrap/>
            <w:vAlign w:val="center"/>
            <w:hideMark/>
          </w:tcPr>
          <w:p w14:paraId="0D4F4A55" w14:textId="77F8D495"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054</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593,</w:t>
            </w:r>
            <w:r w:rsidRPr="005C53F5">
              <w:rPr>
                <w:rFonts w:ascii="Times New Roman" w:eastAsia="Times New Roman" w:hAnsi="Times New Roman" w:cs="Times New Roman"/>
                <w:b/>
                <w:bCs/>
                <w:sz w:val="18"/>
                <w:szCs w:val="18"/>
                <w:lang w:eastAsia="ru-RU"/>
              </w:rPr>
              <w:t>3</w:t>
            </w:r>
          </w:p>
        </w:tc>
        <w:tc>
          <w:tcPr>
            <w:tcW w:w="1246" w:type="dxa"/>
            <w:tcBorders>
              <w:top w:val="nil"/>
              <w:left w:val="nil"/>
              <w:bottom w:val="nil"/>
              <w:right w:val="nil"/>
            </w:tcBorders>
            <w:shd w:val="clear" w:color="auto" w:fill="auto"/>
            <w:noWrap/>
            <w:vAlign w:val="center"/>
            <w:hideMark/>
          </w:tcPr>
          <w:p w14:paraId="35E35F2B" w14:textId="5629AAC3"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805</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068,3</w:t>
            </w:r>
          </w:p>
        </w:tc>
        <w:tc>
          <w:tcPr>
            <w:tcW w:w="1191" w:type="dxa"/>
            <w:tcBorders>
              <w:top w:val="nil"/>
              <w:left w:val="nil"/>
              <w:bottom w:val="nil"/>
              <w:right w:val="nil"/>
            </w:tcBorders>
            <w:shd w:val="clear" w:color="auto" w:fill="auto"/>
            <w:noWrap/>
            <w:vAlign w:val="center"/>
            <w:hideMark/>
          </w:tcPr>
          <w:p w14:paraId="6EC6C89D" w14:textId="3D8ECE97"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347</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103,</w:t>
            </w:r>
            <w:r w:rsidRPr="005C53F5">
              <w:rPr>
                <w:rFonts w:ascii="Times New Roman" w:eastAsia="Times New Roman" w:hAnsi="Times New Roman" w:cs="Times New Roman"/>
                <w:b/>
                <w:bCs/>
                <w:sz w:val="18"/>
                <w:szCs w:val="18"/>
                <w:lang w:eastAsia="ru-RU"/>
              </w:rPr>
              <w:t>0</w:t>
            </w:r>
          </w:p>
        </w:tc>
        <w:tc>
          <w:tcPr>
            <w:tcW w:w="1276" w:type="dxa"/>
            <w:tcBorders>
              <w:top w:val="nil"/>
              <w:left w:val="nil"/>
              <w:bottom w:val="nil"/>
              <w:right w:val="nil"/>
            </w:tcBorders>
            <w:shd w:val="clear" w:color="auto" w:fill="auto"/>
            <w:noWrap/>
            <w:vAlign w:val="center"/>
            <w:hideMark/>
          </w:tcPr>
          <w:p w14:paraId="5B0B20A0" w14:textId="2CE5E2F1"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012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813,</w:t>
            </w:r>
            <w:r w:rsidRPr="005C53F5">
              <w:rPr>
                <w:rFonts w:ascii="Times New Roman" w:eastAsia="Times New Roman" w:hAnsi="Times New Roman" w:cs="Times New Roman"/>
                <w:b/>
                <w:bCs/>
                <w:sz w:val="18"/>
                <w:szCs w:val="18"/>
                <w:lang w:eastAsia="ru-RU"/>
              </w:rPr>
              <w:t>7</w:t>
            </w:r>
          </w:p>
        </w:tc>
      </w:tr>
      <w:tr w:rsidR="006C578F" w:rsidRPr="005C53F5" w14:paraId="6060E736" w14:textId="77777777" w:rsidTr="006C578F">
        <w:trPr>
          <w:trHeight w:val="255"/>
        </w:trPr>
        <w:tc>
          <w:tcPr>
            <w:tcW w:w="3402" w:type="dxa"/>
            <w:tcBorders>
              <w:top w:val="nil"/>
              <w:left w:val="nil"/>
              <w:bottom w:val="nil"/>
              <w:right w:val="nil"/>
            </w:tcBorders>
            <w:shd w:val="clear" w:color="auto" w:fill="auto"/>
            <w:vAlign w:val="center"/>
            <w:hideMark/>
          </w:tcPr>
          <w:p w14:paraId="035D0418" w14:textId="0A400FAC" w:rsidR="00F24250" w:rsidRPr="005C53F5" w:rsidRDefault="00F24250" w:rsidP="00057BE5">
            <w:pPr>
              <w:spacing w:after="0" w:line="240" w:lineRule="auto"/>
              <w:rPr>
                <w:rFonts w:ascii="Times New Roman" w:hAnsi="Times New Roman"/>
                <w:i/>
                <w:sz w:val="18"/>
              </w:rPr>
            </w:pPr>
            <w:r w:rsidRPr="005C53F5">
              <w:rPr>
                <w:rFonts w:ascii="Times New Roman" w:eastAsia="Times New Roman" w:hAnsi="Times New Roman" w:cs="Times New Roman"/>
                <w:i/>
                <w:iCs/>
                <w:sz w:val="18"/>
                <w:szCs w:val="18"/>
                <w:lang w:eastAsia="ru-RU"/>
              </w:rPr>
              <w:t>Поступления займов</w:t>
            </w:r>
          </w:p>
        </w:tc>
        <w:tc>
          <w:tcPr>
            <w:tcW w:w="1417" w:type="dxa"/>
            <w:tcBorders>
              <w:top w:val="nil"/>
              <w:left w:val="nil"/>
              <w:bottom w:val="nil"/>
              <w:right w:val="nil"/>
            </w:tcBorders>
            <w:shd w:val="clear" w:color="auto" w:fill="auto"/>
            <w:noWrap/>
            <w:vAlign w:val="center"/>
            <w:hideMark/>
          </w:tcPr>
          <w:p w14:paraId="2272B841" w14:textId="56A5DDF9"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1 479 442,3</w:t>
            </w:r>
          </w:p>
        </w:tc>
        <w:tc>
          <w:tcPr>
            <w:tcW w:w="1107" w:type="dxa"/>
            <w:tcBorders>
              <w:top w:val="nil"/>
              <w:left w:val="nil"/>
              <w:bottom w:val="nil"/>
              <w:right w:val="nil"/>
            </w:tcBorders>
            <w:shd w:val="clear" w:color="auto" w:fill="auto"/>
            <w:noWrap/>
            <w:vAlign w:val="center"/>
            <w:hideMark/>
          </w:tcPr>
          <w:p w14:paraId="26135D8C" w14:textId="344184E8"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1 054 593,3</w:t>
            </w:r>
          </w:p>
        </w:tc>
        <w:tc>
          <w:tcPr>
            <w:tcW w:w="1246" w:type="dxa"/>
            <w:tcBorders>
              <w:top w:val="nil"/>
              <w:left w:val="nil"/>
              <w:bottom w:val="nil"/>
              <w:right w:val="nil"/>
            </w:tcBorders>
            <w:shd w:val="clear" w:color="auto" w:fill="auto"/>
            <w:noWrap/>
            <w:vAlign w:val="center"/>
            <w:hideMark/>
          </w:tcPr>
          <w:p w14:paraId="4FF885B8" w14:textId="50947DE4"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1 805 068,3</w:t>
            </w:r>
          </w:p>
        </w:tc>
        <w:tc>
          <w:tcPr>
            <w:tcW w:w="1191" w:type="dxa"/>
            <w:tcBorders>
              <w:top w:val="nil"/>
              <w:left w:val="nil"/>
              <w:bottom w:val="nil"/>
              <w:right w:val="nil"/>
            </w:tcBorders>
            <w:shd w:val="clear" w:color="auto" w:fill="auto"/>
            <w:noWrap/>
            <w:vAlign w:val="center"/>
            <w:hideMark/>
          </w:tcPr>
          <w:p w14:paraId="0C2ED716" w14:textId="6BAE63D9"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1 347 103,0</w:t>
            </w:r>
          </w:p>
        </w:tc>
        <w:tc>
          <w:tcPr>
            <w:tcW w:w="1276" w:type="dxa"/>
            <w:tcBorders>
              <w:top w:val="nil"/>
              <w:left w:val="nil"/>
              <w:bottom w:val="nil"/>
              <w:right w:val="nil"/>
            </w:tcBorders>
            <w:shd w:val="clear" w:color="auto" w:fill="auto"/>
            <w:noWrap/>
            <w:vAlign w:val="center"/>
            <w:hideMark/>
          </w:tcPr>
          <w:p w14:paraId="7BFE2867" w14:textId="1C397BBD"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2 012 813,7</w:t>
            </w:r>
          </w:p>
        </w:tc>
      </w:tr>
      <w:tr w:rsidR="006C578F" w:rsidRPr="005C53F5" w14:paraId="78A92759" w14:textId="77777777" w:rsidTr="006C578F">
        <w:trPr>
          <w:trHeight w:val="255"/>
        </w:trPr>
        <w:tc>
          <w:tcPr>
            <w:tcW w:w="3402" w:type="dxa"/>
            <w:tcBorders>
              <w:top w:val="nil"/>
              <w:left w:val="nil"/>
              <w:bottom w:val="nil"/>
              <w:right w:val="nil"/>
            </w:tcBorders>
            <w:shd w:val="clear" w:color="auto" w:fill="auto"/>
            <w:vAlign w:val="center"/>
            <w:hideMark/>
          </w:tcPr>
          <w:p w14:paraId="0092DCC3"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ПОГАШЕНИЕ ЗАЙМОВ</w:t>
            </w:r>
          </w:p>
        </w:tc>
        <w:tc>
          <w:tcPr>
            <w:tcW w:w="1417" w:type="dxa"/>
            <w:tcBorders>
              <w:top w:val="nil"/>
              <w:left w:val="nil"/>
              <w:bottom w:val="nil"/>
              <w:right w:val="nil"/>
            </w:tcBorders>
            <w:shd w:val="clear" w:color="auto" w:fill="auto"/>
            <w:noWrap/>
            <w:vAlign w:val="center"/>
            <w:hideMark/>
          </w:tcPr>
          <w:p w14:paraId="1D2BC5A9" w14:textId="6E29CD3F"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318</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910,6</w:t>
            </w:r>
          </w:p>
        </w:tc>
        <w:tc>
          <w:tcPr>
            <w:tcW w:w="1107" w:type="dxa"/>
            <w:tcBorders>
              <w:top w:val="nil"/>
              <w:left w:val="nil"/>
              <w:bottom w:val="nil"/>
              <w:right w:val="nil"/>
            </w:tcBorders>
            <w:shd w:val="clear" w:color="auto" w:fill="auto"/>
            <w:noWrap/>
            <w:vAlign w:val="center"/>
            <w:hideMark/>
          </w:tcPr>
          <w:p w14:paraId="334AAD4D" w14:textId="129323DA"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381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176,</w:t>
            </w:r>
            <w:r w:rsidRPr="005C53F5">
              <w:rPr>
                <w:rFonts w:ascii="Times New Roman" w:eastAsia="Times New Roman" w:hAnsi="Times New Roman" w:cs="Times New Roman"/>
                <w:b/>
                <w:bCs/>
                <w:sz w:val="18"/>
                <w:szCs w:val="18"/>
                <w:lang w:eastAsia="ru-RU"/>
              </w:rPr>
              <w:t>0</w:t>
            </w:r>
          </w:p>
        </w:tc>
        <w:tc>
          <w:tcPr>
            <w:tcW w:w="1246" w:type="dxa"/>
            <w:tcBorders>
              <w:top w:val="nil"/>
              <w:left w:val="nil"/>
              <w:bottom w:val="nil"/>
              <w:right w:val="nil"/>
            </w:tcBorders>
            <w:shd w:val="clear" w:color="auto" w:fill="auto"/>
            <w:noWrap/>
            <w:vAlign w:val="center"/>
            <w:hideMark/>
          </w:tcPr>
          <w:p w14:paraId="52E73E32" w14:textId="093E214F"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394</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477,</w:t>
            </w:r>
            <w:r w:rsidRPr="005C53F5">
              <w:rPr>
                <w:rFonts w:ascii="Times New Roman" w:eastAsia="Times New Roman" w:hAnsi="Times New Roman" w:cs="Times New Roman"/>
                <w:b/>
                <w:bCs/>
                <w:sz w:val="18"/>
                <w:szCs w:val="18"/>
                <w:lang w:eastAsia="ru-RU"/>
              </w:rPr>
              <w:t>7</w:t>
            </w:r>
          </w:p>
        </w:tc>
        <w:tc>
          <w:tcPr>
            <w:tcW w:w="1191" w:type="dxa"/>
            <w:tcBorders>
              <w:top w:val="nil"/>
              <w:left w:val="nil"/>
              <w:bottom w:val="nil"/>
              <w:right w:val="nil"/>
            </w:tcBorders>
            <w:shd w:val="clear" w:color="auto" w:fill="auto"/>
            <w:noWrap/>
            <w:vAlign w:val="center"/>
            <w:hideMark/>
          </w:tcPr>
          <w:p w14:paraId="0C49F6D8" w14:textId="55374B2F"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528</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756,</w:t>
            </w:r>
            <w:r w:rsidRPr="005C53F5">
              <w:rPr>
                <w:rFonts w:ascii="Times New Roman" w:eastAsia="Times New Roman" w:hAnsi="Times New Roman" w:cs="Times New Roman"/>
                <w:b/>
                <w:bCs/>
                <w:sz w:val="18"/>
                <w:szCs w:val="18"/>
                <w:lang w:eastAsia="ru-RU"/>
              </w:rPr>
              <w:t>7</w:t>
            </w:r>
          </w:p>
        </w:tc>
        <w:tc>
          <w:tcPr>
            <w:tcW w:w="1276" w:type="dxa"/>
            <w:tcBorders>
              <w:top w:val="nil"/>
              <w:left w:val="nil"/>
              <w:bottom w:val="nil"/>
              <w:right w:val="nil"/>
            </w:tcBorders>
            <w:shd w:val="clear" w:color="auto" w:fill="auto"/>
            <w:noWrap/>
            <w:vAlign w:val="center"/>
            <w:hideMark/>
          </w:tcPr>
          <w:p w14:paraId="0C8F8334" w14:textId="176EDE23"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774</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895,</w:t>
            </w:r>
            <w:r w:rsidRPr="005C53F5">
              <w:rPr>
                <w:rFonts w:ascii="Times New Roman" w:eastAsia="Times New Roman" w:hAnsi="Times New Roman" w:cs="Times New Roman"/>
                <w:b/>
                <w:bCs/>
                <w:sz w:val="18"/>
                <w:szCs w:val="18"/>
                <w:lang w:eastAsia="ru-RU"/>
              </w:rPr>
              <w:t>1</w:t>
            </w:r>
          </w:p>
        </w:tc>
      </w:tr>
      <w:tr w:rsidR="006C578F" w:rsidRPr="005C53F5" w14:paraId="19E5937A" w14:textId="77777777" w:rsidTr="006C578F">
        <w:trPr>
          <w:trHeight w:val="255"/>
        </w:trPr>
        <w:tc>
          <w:tcPr>
            <w:tcW w:w="3402" w:type="dxa"/>
            <w:tcBorders>
              <w:top w:val="nil"/>
              <w:left w:val="nil"/>
              <w:bottom w:val="nil"/>
              <w:right w:val="nil"/>
            </w:tcBorders>
            <w:shd w:val="clear" w:color="auto" w:fill="auto"/>
            <w:vAlign w:val="center"/>
            <w:hideMark/>
          </w:tcPr>
          <w:p w14:paraId="0C5769C9" w14:textId="134C9C51" w:rsidR="00F24250" w:rsidRPr="005C53F5" w:rsidRDefault="00F24250" w:rsidP="00057BE5">
            <w:pPr>
              <w:spacing w:after="0" w:line="240" w:lineRule="auto"/>
              <w:rPr>
                <w:rFonts w:ascii="Times New Roman" w:hAnsi="Times New Roman"/>
                <w:i/>
                <w:sz w:val="18"/>
              </w:rPr>
            </w:pPr>
            <w:r w:rsidRPr="005C53F5">
              <w:rPr>
                <w:rFonts w:ascii="Times New Roman" w:eastAsia="Times New Roman" w:hAnsi="Times New Roman" w:cs="Times New Roman"/>
                <w:i/>
                <w:iCs/>
                <w:sz w:val="18"/>
                <w:szCs w:val="18"/>
                <w:lang w:eastAsia="ru-RU"/>
              </w:rPr>
              <w:t>Погашение займов</w:t>
            </w:r>
          </w:p>
        </w:tc>
        <w:tc>
          <w:tcPr>
            <w:tcW w:w="1417" w:type="dxa"/>
            <w:tcBorders>
              <w:top w:val="nil"/>
              <w:left w:val="nil"/>
              <w:bottom w:val="nil"/>
              <w:right w:val="nil"/>
            </w:tcBorders>
            <w:shd w:val="clear" w:color="auto" w:fill="auto"/>
            <w:noWrap/>
            <w:vAlign w:val="center"/>
            <w:hideMark/>
          </w:tcPr>
          <w:p w14:paraId="1081FF97" w14:textId="7D157A5B"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318 910,6</w:t>
            </w:r>
          </w:p>
        </w:tc>
        <w:tc>
          <w:tcPr>
            <w:tcW w:w="1107" w:type="dxa"/>
            <w:tcBorders>
              <w:top w:val="nil"/>
              <w:left w:val="nil"/>
              <w:bottom w:val="nil"/>
              <w:right w:val="nil"/>
            </w:tcBorders>
            <w:shd w:val="clear" w:color="auto" w:fill="auto"/>
            <w:noWrap/>
            <w:vAlign w:val="center"/>
            <w:hideMark/>
          </w:tcPr>
          <w:p w14:paraId="663706D7" w14:textId="3C03F855"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381 176,0</w:t>
            </w:r>
          </w:p>
        </w:tc>
        <w:tc>
          <w:tcPr>
            <w:tcW w:w="1246" w:type="dxa"/>
            <w:tcBorders>
              <w:top w:val="nil"/>
              <w:left w:val="nil"/>
              <w:bottom w:val="nil"/>
              <w:right w:val="nil"/>
            </w:tcBorders>
            <w:shd w:val="clear" w:color="auto" w:fill="auto"/>
            <w:noWrap/>
            <w:vAlign w:val="center"/>
            <w:hideMark/>
          </w:tcPr>
          <w:p w14:paraId="680E4EC7" w14:textId="7F5AB7B5"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394 477,7</w:t>
            </w:r>
          </w:p>
        </w:tc>
        <w:tc>
          <w:tcPr>
            <w:tcW w:w="1191" w:type="dxa"/>
            <w:tcBorders>
              <w:top w:val="nil"/>
              <w:left w:val="nil"/>
              <w:bottom w:val="nil"/>
              <w:right w:val="nil"/>
            </w:tcBorders>
            <w:shd w:val="clear" w:color="auto" w:fill="auto"/>
            <w:noWrap/>
            <w:vAlign w:val="center"/>
            <w:hideMark/>
          </w:tcPr>
          <w:p w14:paraId="07F11EFC" w14:textId="56468AFF"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528 756,7</w:t>
            </w:r>
          </w:p>
        </w:tc>
        <w:tc>
          <w:tcPr>
            <w:tcW w:w="1276" w:type="dxa"/>
            <w:tcBorders>
              <w:top w:val="nil"/>
              <w:left w:val="nil"/>
              <w:bottom w:val="nil"/>
              <w:right w:val="nil"/>
            </w:tcBorders>
            <w:shd w:val="clear" w:color="auto" w:fill="auto"/>
            <w:noWrap/>
            <w:vAlign w:val="center"/>
            <w:hideMark/>
          </w:tcPr>
          <w:p w14:paraId="483E523C" w14:textId="6B4F365F" w:rsidR="00F24250" w:rsidRPr="005C53F5" w:rsidRDefault="00F24250" w:rsidP="00057BE5">
            <w:pPr>
              <w:spacing w:after="0" w:line="240" w:lineRule="auto"/>
              <w:jc w:val="right"/>
              <w:rPr>
                <w:rFonts w:ascii="Times New Roman" w:hAnsi="Times New Roman"/>
                <w:i/>
                <w:sz w:val="18"/>
              </w:rPr>
            </w:pPr>
            <w:r w:rsidRPr="005C53F5">
              <w:rPr>
                <w:rFonts w:ascii="Times New Roman" w:eastAsia="Times New Roman" w:hAnsi="Times New Roman" w:cs="Times New Roman"/>
                <w:i/>
                <w:iCs/>
                <w:sz w:val="18"/>
                <w:szCs w:val="18"/>
                <w:lang w:eastAsia="ru-RU"/>
              </w:rPr>
              <w:t>774 895,1</w:t>
            </w:r>
          </w:p>
        </w:tc>
      </w:tr>
      <w:tr w:rsidR="006C578F" w:rsidRPr="005C53F5" w14:paraId="5895124F" w14:textId="77777777" w:rsidTr="006C578F">
        <w:trPr>
          <w:trHeight w:val="510"/>
        </w:trPr>
        <w:tc>
          <w:tcPr>
            <w:tcW w:w="3402" w:type="dxa"/>
            <w:tcBorders>
              <w:top w:val="nil"/>
              <w:left w:val="nil"/>
              <w:bottom w:val="nil"/>
              <w:right w:val="nil"/>
            </w:tcBorders>
            <w:shd w:val="clear" w:color="auto" w:fill="auto"/>
            <w:vAlign w:val="center"/>
            <w:hideMark/>
          </w:tcPr>
          <w:p w14:paraId="17577455" w14:textId="77777777" w:rsidR="00F24250" w:rsidRPr="005C53F5" w:rsidRDefault="00F24250" w:rsidP="00057BE5">
            <w:pPr>
              <w:spacing w:after="0" w:line="240" w:lineRule="auto"/>
              <w:rPr>
                <w:rFonts w:ascii="Times New Roman" w:hAnsi="Times New Roman"/>
                <w:b/>
                <w:sz w:val="18"/>
              </w:rPr>
            </w:pPr>
            <w:r w:rsidRPr="005C53F5">
              <w:rPr>
                <w:rFonts w:ascii="Times New Roman" w:hAnsi="Times New Roman"/>
                <w:b/>
                <w:sz w:val="18"/>
              </w:rPr>
              <w:t>ИСПОЛЬЗУЕМЫЕ ОСТАТКИ БЮДЖЕТНЫХ СРЕДСТВ</w:t>
            </w:r>
          </w:p>
        </w:tc>
        <w:tc>
          <w:tcPr>
            <w:tcW w:w="1417" w:type="dxa"/>
            <w:tcBorders>
              <w:top w:val="nil"/>
              <w:left w:val="nil"/>
              <w:bottom w:val="nil"/>
              <w:right w:val="nil"/>
            </w:tcBorders>
            <w:shd w:val="clear" w:color="auto" w:fill="auto"/>
            <w:noWrap/>
            <w:vAlign w:val="center"/>
            <w:hideMark/>
          </w:tcPr>
          <w:p w14:paraId="11169F86" w14:textId="58E5BD44"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w:t>
            </w:r>
            <w:r w:rsidRPr="005C53F5">
              <w:rPr>
                <w:rFonts w:ascii="Times New Roman" w:eastAsia="Times New Roman" w:hAnsi="Times New Roman" w:cs="Times New Roman"/>
                <w:b/>
                <w:bCs/>
                <w:sz w:val="18"/>
                <w:szCs w:val="18"/>
                <w:lang w:eastAsia="ru-RU"/>
              </w:rPr>
              <w:t>9 569 886,</w:t>
            </w:r>
            <w:r w:rsidRPr="005C53F5">
              <w:rPr>
                <w:rFonts w:ascii="Times New Roman" w:hAnsi="Times New Roman"/>
                <w:b/>
                <w:sz w:val="18"/>
              </w:rPr>
              <w:t>5</w:t>
            </w:r>
          </w:p>
        </w:tc>
        <w:tc>
          <w:tcPr>
            <w:tcW w:w="1107" w:type="dxa"/>
            <w:tcBorders>
              <w:top w:val="nil"/>
              <w:left w:val="nil"/>
              <w:bottom w:val="nil"/>
              <w:right w:val="nil"/>
            </w:tcBorders>
            <w:shd w:val="clear" w:color="auto" w:fill="auto"/>
            <w:noWrap/>
            <w:vAlign w:val="center"/>
            <w:hideMark/>
          </w:tcPr>
          <w:p w14:paraId="2BF28576" w14:textId="009AC322" w:rsidR="00F24250" w:rsidRPr="005C53F5" w:rsidRDefault="00F24250" w:rsidP="00057BE5">
            <w:pPr>
              <w:spacing w:after="0" w:line="240" w:lineRule="auto"/>
              <w:jc w:val="right"/>
              <w:rPr>
                <w:rFonts w:ascii="Times New Roman" w:hAnsi="Times New Roman"/>
                <w:b/>
                <w:sz w:val="18"/>
              </w:rPr>
            </w:pPr>
            <w:r w:rsidRPr="005C53F5">
              <w:rPr>
                <w:rFonts w:ascii="Times New Roman" w:eastAsia="Times New Roman" w:hAnsi="Times New Roman" w:cs="Times New Roman"/>
                <w:b/>
                <w:bCs/>
                <w:sz w:val="18"/>
                <w:szCs w:val="18"/>
                <w:lang w:eastAsia="ru-RU"/>
              </w:rPr>
              <w:t>1 953 035,6</w:t>
            </w:r>
          </w:p>
        </w:tc>
        <w:tc>
          <w:tcPr>
            <w:tcW w:w="1246" w:type="dxa"/>
            <w:tcBorders>
              <w:top w:val="nil"/>
              <w:left w:val="nil"/>
              <w:bottom w:val="nil"/>
              <w:right w:val="nil"/>
            </w:tcBorders>
            <w:shd w:val="clear" w:color="auto" w:fill="auto"/>
            <w:noWrap/>
            <w:vAlign w:val="center"/>
            <w:hideMark/>
          </w:tcPr>
          <w:p w14:paraId="11F6D909" w14:textId="4AC42D45"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985</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828,</w:t>
            </w:r>
            <w:r w:rsidRPr="005C53F5">
              <w:rPr>
                <w:rFonts w:ascii="Times New Roman" w:eastAsia="Times New Roman" w:hAnsi="Times New Roman" w:cs="Times New Roman"/>
                <w:b/>
                <w:bCs/>
                <w:sz w:val="18"/>
                <w:szCs w:val="18"/>
                <w:lang w:eastAsia="ru-RU"/>
              </w:rPr>
              <w:t>3</w:t>
            </w:r>
          </w:p>
        </w:tc>
        <w:tc>
          <w:tcPr>
            <w:tcW w:w="1191" w:type="dxa"/>
            <w:tcBorders>
              <w:top w:val="nil"/>
              <w:left w:val="nil"/>
              <w:bottom w:val="nil"/>
              <w:right w:val="nil"/>
            </w:tcBorders>
            <w:shd w:val="clear" w:color="auto" w:fill="auto"/>
            <w:noWrap/>
            <w:vAlign w:val="center"/>
            <w:hideMark/>
          </w:tcPr>
          <w:p w14:paraId="45F0E797" w14:textId="1713E681"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-3</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122</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867,</w:t>
            </w:r>
            <w:r w:rsidRPr="005C53F5">
              <w:rPr>
                <w:rFonts w:ascii="Times New Roman" w:eastAsia="Times New Roman" w:hAnsi="Times New Roman" w:cs="Times New Roman"/>
                <w:b/>
                <w:bCs/>
                <w:sz w:val="18"/>
                <w:szCs w:val="18"/>
                <w:lang w:eastAsia="ru-RU"/>
              </w:rPr>
              <w:t>1</w:t>
            </w:r>
          </w:p>
        </w:tc>
        <w:tc>
          <w:tcPr>
            <w:tcW w:w="1276" w:type="dxa"/>
            <w:tcBorders>
              <w:top w:val="nil"/>
              <w:left w:val="nil"/>
              <w:bottom w:val="nil"/>
              <w:right w:val="nil"/>
            </w:tcBorders>
            <w:shd w:val="clear" w:color="auto" w:fill="auto"/>
            <w:noWrap/>
            <w:vAlign w:val="center"/>
            <w:hideMark/>
          </w:tcPr>
          <w:p w14:paraId="45F163F9" w14:textId="1F6612A4" w:rsidR="00F24250" w:rsidRPr="005C53F5" w:rsidRDefault="00F24250" w:rsidP="00057BE5">
            <w:pPr>
              <w:spacing w:after="0" w:line="240" w:lineRule="auto"/>
              <w:jc w:val="right"/>
              <w:rPr>
                <w:rFonts w:ascii="Times New Roman" w:hAnsi="Times New Roman"/>
                <w:b/>
                <w:sz w:val="18"/>
              </w:rPr>
            </w:pPr>
            <w:r w:rsidRPr="005C53F5">
              <w:rPr>
                <w:rFonts w:ascii="Times New Roman" w:hAnsi="Times New Roman"/>
                <w:b/>
                <w:sz w:val="18"/>
              </w:rPr>
              <w:t>-931</w:t>
            </w:r>
            <w:r w:rsidRPr="005C53F5">
              <w:rPr>
                <w:rFonts w:ascii="Times New Roman" w:eastAsia="Times New Roman" w:hAnsi="Times New Roman" w:cs="Times New Roman"/>
                <w:b/>
                <w:bCs/>
                <w:sz w:val="18"/>
                <w:szCs w:val="18"/>
                <w:lang w:eastAsia="ru-RU"/>
              </w:rPr>
              <w:t xml:space="preserve"> </w:t>
            </w:r>
            <w:r w:rsidRPr="005C53F5">
              <w:rPr>
                <w:rFonts w:ascii="Times New Roman" w:hAnsi="Times New Roman"/>
                <w:b/>
                <w:sz w:val="18"/>
              </w:rPr>
              <w:t>495,</w:t>
            </w:r>
            <w:r w:rsidRPr="005C53F5">
              <w:rPr>
                <w:rFonts w:ascii="Times New Roman" w:eastAsia="Times New Roman" w:hAnsi="Times New Roman" w:cs="Times New Roman"/>
                <w:b/>
                <w:bCs/>
                <w:sz w:val="18"/>
                <w:szCs w:val="18"/>
                <w:lang w:eastAsia="ru-RU"/>
              </w:rPr>
              <w:t>1</w:t>
            </w:r>
          </w:p>
        </w:tc>
      </w:tr>
    </w:tbl>
    <w:p w14:paraId="6C842C9A" w14:textId="77777777" w:rsidR="00A36FAF" w:rsidRPr="005C53F5" w:rsidRDefault="00A36FAF" w:rsidP="00057BE5">
      <w:pPr>
        <w:autoSpaceDE w:val="0"/>
        <w:autoSpaceDN w:val="0"/>
        <w:adjustRightInd w:val="0"/>
        <w:spacing w:after="0" w:line="240" w:lineRule="auto"/>
        <w:jc w:val="both"/>
        <w:rPr>
          <w:rFonts w:ascii="Times New Roman" w:eastAsia="Calibri" w:hAnsi="Times New Roman" w:cs="Times New Roman"/>
          <w:b/>
          <w:bCs/>
          <w:i/>
          <w:iCs/>
          <w:sz w:val="24"/>
          <w:szCs w:val="24"/>
        </w:rPr>
      </w:pPr>
    </w:p>
    <w:p w14:paraId="6D20A24B" w14:textId="626C372D"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bCs/>
          <w:iCs/>
          <w:sz w:val="24"/>
          <w:szCs w:val="24"/>
        </w:rPr>
      </w:pPr>
      <w:r w:rsidRPr="005C53F5">
        <w:rPr>
          <w:rFonts w:ascii="Times New Roman" w:eastAsia="Calibri" w:hAnsi="Times New Roman" w:cs="Times New Roman"/>
          <w:bCs/>
          <w:iCs/>
          <w:sz w:val="24"/>
          <w:szCs w:val="24"/>
        </w:rPr>
        <w:t>Дефицит государственного бюджета в 2015 году составил 2,2% ВВП по сравнению с 2,7% в 2014 году. В 2015 году доходы государственного бюджета составили 7 634,8 млрд</w:t>
      </w:r>
      <w:r w:rsidR="00403D28" w:rsidRPr="005C53F5">
        <w:rPr>
          <w:rFonts w:ascii="Times New Roman" w:eastAsia="Calibri" w:hAnsi="Times New Roman" w:cs="Times New Roman"/>
          <w:bCs/>
          <w:iCs/>
          <w:sz w:val="24"/>
          <w:szCs w:val="24"/>
        </w:rPr>
        <w:t> </w:t>
      </w:r>
      <w:r w:rsidRPr="005C53F5">
        <w:rPr>
          <w:rFonts w:ascii="Times New Roman" w:eastAsia="Calibri" w:hAnsi="Times New Roman" w:cs="Times New Roman"/>
          <w:bCs/>
          <w:iCs/>
          <w:sz w:val="24"/>
          <w:szCs w:val="24"/>
        </w:rPr>
        <w:t>тенге, или 18,</w:t>
      </w:r>
      <w:r w:rsidR="00D4210D" w:rsidRPr="005C53F5">
        <w:rPr>
          <w:rFonts w:ascii="Times New Roman" w:eastAsia="Calibri" w:hAnsi="Times New Roman" w:cs="Times New Roman"/>
          <w:bCs/>
          <w:iCs/>
          <w:sz w:val="24"/>
          <w:szCs w:val="24"/>
        </w:rPr>
        <w:t>7</w:t>
      </w:r>
      <w:r w:rsidRPr="005C53F5">
        <w:rPr>
          <w:rFonts w:ascii="Times New Roman" w:eastAsia="Calibri" w:hAnsi="Times New Roman" w:cs="Times New Roman"/>
          <w:bCs/>
          <w:iCs/>
          <w:sz w:val="24"/>
          <w:szCs w:val="24"/>
        </w:rPr>
        <w:t>% ВВП. Расходы государственного бюджета в 2015 году составили 8 626,9 млрд тенге, или 21,1% ВВП. Основными расходами в 2015 году были расходы на социальную помощь и социальное обеспечение (20,0%), образование (15,8%) и здравоохранение (10,0%).</w:t>
      </w:r>
    </w:p>
    <w:p w14:paraId="17FF010C" w14:textId="08B76AA9"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bCs/>
          <w:iCs/>
          <w:sz w:val="24"/>
          <w:szCs w:val="24"/>
        </w:rPr>
      </w:pPr>
      <w:r w:rsidRPr="005C53F5">
        <w:rPr>
          <w:rFonts w:ascii="Times New Roman" w:eastAsia="Calibri" w:hAnsi="Times New Roman" w:cs="Times New Roman"/>
          <w:bCs/>
          <w:iCs/>
          <w:sz w:val="24"/>
          <w:szCs w:val="24"/>
        </w:rPr>
        <w:t>Дефицит государственного бюджета в 2016 году составил 1,6% ВВП по сравнению с 2,2% в 2015 году. В 2016 году доходы государственного бюджета составили 9 308,5 млрд</w:t>
      </w:r>
      <w:r w:rsidR="00403D28" w:rsidRPr="005C53F5">
        <w:rPr>
          <w:rFonts w:ascii="Times New Roman" w:eastAsia="Calibri" w:hAnsi="Times New Roman" w:cs="Times New Roman"/>
          <w:bCs/>
          <w:iCs/>
          <w:sz w:val="24"/>
          <w:szCs w:val="24"/>
        </w:rPr>
        <w:t> </w:t>
      </w:r>
      <w:r w:rsidRPr="005C53F5">
        <w:rPr>
          <w:rFonts w:ascii="Times New Roman" w:eastAsia="Calibri" w:hAnsi="Times New Roman" w:cs="Times New Roman"/>
          <w:bCs/>
          <w:iCs/>
          <w:sz w:val="24"/>
          <w:szCs w:val="24"/>
        </w:rPr>
        <w:t xml:space="preserve">тенге, или </w:t>
      </w:r>
      <w:r w:rsidR="00D4210D" w:rsidRPr="005C53F5">
        <w:rPr>
          <w:rFonts w:ascii="Times New Roman" w:eastAsia="Calibri" w:hAnsi="Times New Roman" w:cs="Times New Roman"/>
          <w:bCs/>
          <w:iCs/>
          <w:sz w:val="24"/>
          <w:szCs w:val="24"/>
        </w:rPr>
        <w:t>19,8</w:t>
      </w:r>
      <w:r w:rsidRPr="005C53F5">
        <w:rPr>
          <w:rFonts w:ascii="Times New Roman" w:eastAsia="Calibri" w:hAnsi="Times New Roman" w:cs="Times New Roman"/>
          <w:bCs/>
          <w:iCs/>
          <w:sz w:val="24"/>
          <w:szCs w:val="24"/>
        </w:rPr>
        <w:t>% ВВП. Расходы государственного бюджета в 2016 году составили 10125,0 млрд тенге, или 21,6% ВВП. Основными расходами в 2016 году были расходы на социальную помощь и социальное обеспечение (19,8%), образование (16,5%) и здравоохранение (10,3%).</w:t>
      </w:r>
    </w:p>
    <w:p w14:paraId="2CD7EF1E" w14:textId="2E6154A4" w:rsidR="00A36FAF" w:rsidRPr="005C53F5" w:rsidRDefault="00A36FAF" w:rsidP="00057BE5">
      <w:pPr>
        <w:autoSpaceDE w:val="0"/>
        <w:autoSpaceDN w:val="0"/>
        <w:adjustRightInd w:val="0"/>
        <w:spacing w:after="0" w:line="240" w:lineRule="auto"/>
        <w:ind w:firstLine="708"/>
        <w:jc w:val="both"/>
        <w:rPr>
          <w:rFonts w:ascii="Times New Roman" w:eastAsia="Calibri" w:hAnsi="Times New Roman" w:cs="Times New Roman"/>
          <w:bCs/>
          <w:iCs/>
          <w:sz w:val="24"/>
          <w:szCs w:val="24"/>
        </w:rPr>
      </w:pPr>
      <w:r w:rsidRPr="005C53F5">
        <w:rPr>
          <w:rFonts w:ascii="Times New Roman" w:eastAsia="Calibri" w:hAnsi="Times New Roman" w:cs="Times New Roman"/>
          <w:bCs/>
          <w:iCs/>
          <w:sz w:val="24"/>
          <w:szCs w:val="24"/>
        </w:rPr>
        <w:t>Дефицит государственного бюджета в 2017 году составил 2,7% ВВП по сравнению с 1,6% в 2016 году. В 2017 году доходы государственного бюджета составили 11 567,7 млрд</w:t>
      </w:r>
      <w:r w:rsidR="00504BAC" w:rsidRPr="005C53F5">
        <w:rPr>
          <w:rFonts w:ascii="Times New Roman" w:eastAsia="Calibri" w:hAnsi="Times New Roman" w:cs="Times New Roman"/>
          <w:bCs/>
          <w:iCs/>
          <w:sz w:val="24"/>
          <w:szCs w:val="24"/>
        </w:rPr>
        <w:t xml:space="preserve"> </w:t>
      </w:r>
      <w:r w:rsidRPr="005C53F5">
        <w:rPr>
          <w:rFonts w:ascii="Times New Roman" w:eastAsia="Calibri" w:hAnsi="Times New Roman" w:cs="Times New Roman"/>
          <w:bCs/>
          <w:iCs/>
          <w:sz w:val="24"/>
          <w:szCs w:val="24"/>
        </w:rPr>
        <w:t>тенге, или 21,</w:t>
      </w:r>
      <w:r w:rsidR="00E35E5F" w:rsidRPr="005C53F5">
        <w:rPr>
          <w:rFonts w:ascii="Times New Roman" w:eastAsia="Calibri" w:hAnsi="Times New Roman" w:cs="Times New Roman"/>
          <w:bCs/>
          <w:iCs/>
          <w:sz w:val="24"/>
          <w:szCs w:val="24"/>
        </w:rPr>
        <w:t>3</w:t>
      </w:r>
      <w:r w:rsidRPr="005C53F5">
        <w:rPr>
          <w:rFonts w:ascii="Times New Roman" w:eastAsia="Calibri" w:hAnsi="Times New Roman" w:cs="Times New Roman"/>
          <w:bCs/>
          <w:iCs/>
          <w:sz w:val="24"/>
          <w:szCs w:val="24"/>
        </w:rPr>
        <w:t>% ВВП. Расходы государственного бюджета в 2017 году составили 13 129,5 млрд тенге, или 24,</w:t>
      </w:r>
      <w:r w:rsidR="00E35E5F" w:rsidRPr="005C53F5">
        <w:rPr>
          <w:rFonts w:ascii="Times New Roman" w:eastAsia="Calibri" w:hAnsi="Times New Roman" w:cs="Times New Roman"/>
          <w:bCs/>
          <w:iCs/>
          <w:sz w:val="24"/>
          <w:szCs w:val="24"/>
        </w:rPr>
        <w:t>1</w:t>
      </w:r>
      <w:r w:rsidRPr="005C53F5">
        <w:rPr>
          <w:rFonts w:ascii="Times New Roman" w:eastAsia="Calibri" w:hAnsi="Times New Roman" w:cs="Times New Roman"/>
          <w:bCs/>
          <w:iCs/>
          <w:sz w:val="24"/>
          <w:szCs w:val="24"/>
        </w:rPr>
        <w:t>% ВВП. Основными расходами в 2017 году стали расходы на социальную помощь и социальное обеспечение (17,6%), образование (14,0%) и здравоохранение (8,6%).</w:t>
      </w:r>
    </w:p>
    <w:p w14:paraId="5B61AEBA" w14:textId="66F8DDC9" w:rsidR="00FE75FE" w:rsidRPr="005C53F5" w:rsidRDefault="00E35E5F" w:rsidP="00057BE5">
      <w:pPr>
        <w:autoSpaceDE w:val="0"/>
        <w:autoSpaceDN w:val="0"/>
        <w:adjustRightInd w:val="0"/>
        <w:spacing w:after="0" w:line="240" w:lineRule="auto"/>
        <w:ind w:firstLine="708"/>
        <w:jc w:val="both"/>
        <w:rPr>
          <w:rFonts w:ascii="Times New Roman" w:eastAsia="Calibri" w:hAnsi="Times New Roman" w:cs="Times New Roman"/>
          <w:bCs/>
          <w:iCs/>
          <w:sz w:val="24"/>
          <w:szCs w:val="24"/>
        </w:rPr>
      </w:pPr>
      <w:r w:rsidRPr="005C53F5">
        <w:rPr>
          <w:rFonts w:ascii="Times New Roman" w:eastAsia="Calibri" w:hAnsi="Times New Roman" w:cs="Times New Roman"/>
          <w:bCs/>
          <w:iCs/>
          <w:sz w:val="24"/>
          <w:szCs w:val="24"/>
        </w:rPr>
        <w:t>Дефицит государственного бюджета в 2018 году составил 1,3% ВВП по сравнению с 2,7% в 2017 году. В 2018 году доходы государственного бюджета составили 10 808,6 млрд тенге или 17,5% ВВП. Расходы государственного бюджета в 2018 году составили 11 757,7 млрд тенге или 19,0% ВВП. Основными расходами в 2018 году стали расходы на социальную помощь и социальное обеспечение (23,4%), образование (16,6%) и здравоохранение (10,0%).</w:t>
      </w:r>
    </w:p>
    <w:p w14:paraId="2C65079A" w14:textId="7461496C" w:rsidR="00E35E5F" w:rsidRPr="005C53F5" w:rsidRDefault="00E35E5F" w:rsidP="00057BE5">
      <w:pPr>
        <w:spacing w:after="0" w:line="240" w:lineRule="auto"/>
        <w:ind w:firstLine="709"/>
        <w:jc w:val="both"/>
        <w:rPr>
          <w:rFonts w:ascii="Times New Roman" w:eastAsia="Calibri" w:hAnsi="Times New Roman" w:cs="Times New Roman"/>
          <w:bCs/>
          <w:iCs/>
          <w:sz w:val="24"/>
          <w:szCs w:val="24"/>
        </w:rPr>
      </w:pPr>
      <w:r w:rsidRPr="005C53F5">
        <w:rPr>
          <w:rFonts w:ascii="Times New Roman" w:eastAsia="Calibri" w:hAnsi="Times New Roman" w:cs="Times New Roman"/>
          <w:bCs/>
          <w:iCs/>
          <w:sz w:val="24"/>
          <w:szCs w:val="24"/>
        </w:rPr>
        <w:t>Дефицит государственного бюджета в 2019 году составил 1,9% ВВП по сравнению с 1,3% в 2018 году. В 2019 году доходы государственного бюджета составили 12 758,5 млрд тенге или 18,6% ВВП. Расходы государственного бюджета в 2019 году составили 14 180,5 млрд тенге или 20,7% ВВП. Основными расходами в 201</w:t>
      </w:r>
      <w:r w:rsidR="00AB5D38" w:rsidRPr="005C53F5">
        <w:rPr>
          <w:rFonts w:ascii="Times New Roman" w:eastAsia="Calibri" w:hAnsi="Times New Roman" w:cs="Times New Roman"/>
          <w:bCs/>
          <w:iCs/>
          <w:sz w:val="24"/>
          <w:szCs w:val="24"/>
        </w:rPr>
        <w:t>9</w:t>
      </w:r>
      <w:r w:rsidRPr="005C53F5">
        <w:rPr>
          <w:rFonts w:ascii="Times New Roman" w:eastAsia="Calibri" w:hAnsi="Times New Roman" w:cs="Times New Roman"/>
          <w:bCs/>
          <w:iCs/>
          <w:sz w:val="24"/>
          <w:szCs w:val="24"/>
        </w:rPr>
        <w:t xml:space="preserve"> году стали расходы на социальную помощь и социальное обеспечение (24,5%), образование (16,4%) и здравоохранение (9,1%).</w:t>
      </w:r>
    </w:p>
    <w:p w14:paraId="43C145E4" w14:textId="5DB19B88"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104" w:name="_Toc39616333"/>
      <w:bookmarkStart w:id="105" w:name="_Toc36145571"/>
      <w:r w:rsidRPr="005C53F5">
        <w:rPr>
          <w:rFonts w:ascii="Times New Roman" w:hAnsi="Times New Roman" w:cs="Times New Roman"/>
          <w:b/>
          <w:sz w:val="24"/>
          <w:szCs w:val="24"/>
        </w:rPr>
        <w:t>2.2. Рыночная капитализация эмитента</w:t>
      </w:r>
      <w:bookmarkEnd w:id="104"/>
      <w:bookmarkEnd w:id="105"/>
    </w:p>
    <w:p w14:paraId="0A9DD321" w14:textId="63B94438" w:rsidR="00E531BF" w:rsidRPr="005C53F5" w:rsidRDefault="00E531BF" w:rsidP="00057BE5">
      <w:pPr>
        <w:pStyle w:val="ConsPlusNormal"/>
        <w:ind w:firstLine="709"/>
        <w:jc w:val="both"/>
        <w:rPr>
          <w:rFonts w:ascii="Times New Roman" w:hAnsi="Times New Roman" w:cs="Times New Roman"/>
          <w:b/>
          <w:sz w:val="24"/>
          <w:szCs w:val="24"/>
        </w:rPr>
      </w:pPr>
      <w:bookmarkStart w:id="106" w:name="_Toc521608886"/>
      <w:bookmarkStart w:id="107" w:name="_Toc533784572"/>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106"/>
      <w:bookmarkEnd w:id="107"/>
    </w:p>
    <w:p w14:paraId="68A30DDF"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108" w:name="_Toc39616334"/>
      <w:bookmarkStart w:id="109" w:name="_Toc36145572"/>
      <w:r w:rsidRPr="005C53F5">
        <w:rPr>
          <w:rFonts w:ascii="Times New Roman" w:hAnsi="Times New Roman" w:cs="Times New Roman"/>
          <w:b/>
          <w:sz w:val="24"/>
          <w:szCs w:val="24"/>
        </w:rPr>
        <w:t>2.3. Обязательства эмитента</w:t>
      </w:r>
      <w:bookmarkEnd w:id="108"/>
      <w:bookmarkEnd w:id="109"/>
    </w:p>
    <w:p w14:paraId="12E7B154" w14:textId="77777777" w:rsidR="002E12B7" w:rsidRPr="005C53F5" w:rsidRDefault="002E12B7"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соответствии с пунктом 91.3 Положения Банка России № 454-П в настоящем пункте приводится информация о неисполненных обязательствах Республики Казахстан, в отношении которых наступил срок их исполнения.</w:t>
      </w:r>
    </w:p>
    <w:p w14:paraId="488E5680" w14:textId="2825C794" w:rsidR="003A1D6B" w:rsidRPr="005C53F5" w:rsidRDefault="002E12B7"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По состоянию на дату утверждения Проспекта ценных бумаг Республика Казахстан не имеет неисполненных обязательств, срок исполнения по которым наступил. </w:t>
      </w:r>
    </w:p>
    <w:p w14:paraId="3BEF6A0B" w14:textId="114983FC"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110" w:name="_Toc39616335"/>
      <w:bookmarkStart w:id="111" w:name="_Toc36145573"/>
      <w:r w:rsidRPr="005C53F5">
        <w:rPr>
          <w:rFonts w:ascii="Times New Roman" w:hAnsi="Times New Roman" w:cs="Times New Roman"/>
          <w:b/>
          <w:sz w:val="24"/>
          <w:szCs w:val="24"/>
        </w:rPr>
        <w:t>2.4. Цели эмиссии и направления использования средств, полученных в результате размещения эмиссионных ценных бумаг</w:t>
      </w:r>
      <w:bookmarkEnd w:id="110"/>
      <w:bookmarkEnd w:id="111"/>
    </w:p>
    <w:p w14:paraId="24CD7B3B" w14:textId="6DB1FEE3" w:rsidR="002E12B7" w:rsidRPr="005C53F5" w:rsidRDefault="00E659F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Эмитент планирует направить средства, поступившие от размещения Облигаций, для целей финансирования дефицита бюджета Республики Казахстан в соответствии с положениями Бюджетного кодекса Республики Казахстан от 4 декабря 2008 года № 95-IV, законом Республики Казахстан «О республиканском бюджете на 2020 – 2022 годы» от 4 декабря 2019 года № 276-VІ ЗРК, Указом Президента Республики Казахстан от 8 апреля 2020 года № 299 «Об уточненном республиканском бюджете на 2020 год» и другими нормативными правовыми актами Республики Казахстан.</w:t>
      </w:r>
      <w:r w:rsidR="002E12B7" w:rsidRPr="005C53F5">
        <w:rPr>
          <w:rFonts w:ascii="Times New Roman" w:eastAsia="Calibri" w:hAnsi="Times New Roman" w:cs="Times New Roman"/>
          <w:sz w:val="24"/>
          <w:szCs w:val="24"/>
        </w:rPr>
        <w:t xml:space="preserve"> </w:t>
      </w:r>
    </w:p>
    <w:p w14:paraId="46E3EB67" w14:textId="02F3EDB3" w:rsidR="00CE1643" w:rsidRPr="005C53F5" w:rsidRDefault="002E12B7"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Размещение Эмитентом Облигаций не осуществляется с целью финансирования определенной сделки (взаимосвязанных сделок) или иной операции.</w:t>
      </w:r>
    </w:p>
    <w:p w14:paraId="6AC405E1"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112" w:name="_Toc39616336"/>
      <w:bookmarkStart w:id="113" w:name="_Toc36145574"/>
      <w:r w:rsidRPr="005C53F5">
        <w:rPr>
          <w:rFonts w:ascii="Times New Roman" w:hAnsi="Times New Roman" w:cs="Times New Roman"/>
          <w:b/>
          <w:sz w:val="24"/>
          <w:szCs w:val="24"/>
        </w:rPr>
        <w:t>2.5. Риски, связанные с приобретением размещаемых эмиссионных ценных бумаг</w:t>
      </w:r>
      <w:bookmarkEnd w:id="112"/>
      <w:bookmarkEnd w:id="113"/>
    </w:p>
    <w:p w14:paraId="54A51089" w14:textId="77777777" w:rsidR="009E011C" w:rsidRPr="005C53F5" w:rsidRDefault="009E011C" w:rsidP="00057BE5">
      <w:pPr>
        <w:pStyle w:val="ConsPlusNormal"/>
        <w:ind w:firstLine="709"/>
        <w:jc w:val="both"/>
        <w:rPr>
          <w:rFonts w:ascii="Times New Roman" w:hAnsi="Times New Roman" w:cs="Times New Roman"/>
          <w:sz w:val="24"/>
          <w:szCs w:val="24"/>
        </w:rPr>
      </w:pPr>
      <w:bookmarkStart w:id="114" w:name="_Toc521608894"/>
      <w:bookmarkStart w:id="115" w:name="_Toc533784580"/>
      <w:r w:rsidRPr="005C53F5">
        <w:rPr>
          <w:rFonts w:ascii="Times New Roman" w:hAnsi="Times New Roman" w:cs="Times New Roman"/>
          <w:sz w:val="24"/>
          <w:szCs w:val="24"/>
        </w:rPr>
        <w:t>В настоящем пункте приводится подробный анализ факторов риска, связанных с приобретением размещаемых Облигаций, а также политика Эмитента в области управления рисками.</w:t>
      </w:r>
      <w:bookmarkEnd w:id="114"/>
      <w:r w:rsidRPr="005C53F5">
        <w:rPr>
          <w:rFonts w:ascii="Times New Roman" w:hAnsi="Times New Roman" w:cs="Times New Roman"/>
          <w:sz w:val="24"/>
          <w:szCs w:val="24"/>
        </w:rPr>
        <w:t xml:space="preserve"> При этом Эмитент обращает внимание, что в Проспекте ценных бумаг описаны только те риски, которые, по мнению Эмитента, являются существенными в настоящее время. Эмитент не исключает, что в его деятельности могут присутствовать иные риски, о которых он в настоящее время не знает либо считает их незначительными и которые могут оказать негативное влияние на возможность Эмитента исполнять обязательства перед владельцами Облигаций своевременно и в полном объеме.</w:t>
      </w:r>
      <w:bookmarkEnd w:id="115"/>
    </w:p>
    <w:p w14:paraId="5B784889" w14:textId="77777777" w:rsidR="009E011C" w:rsidRPr="005C53F5" w:rsidRDefault="009E011C" w:rsidP="00057BE5">
      <w:pPr>
        <w:pStyle w:val="ConsPlusNormal"/>
        <w:ind w:firstLine="709"/>
        <w:jc w:val="both"/>
        <w:rPr>
          <w:rFonts w:ascii="Times New Roman" w:hAnsi="Times New Roman" w:cs="Times New Roman"/>
          <w:sz w:val="24"/>
          <w:szCs w:val="24"/>
        </w:rPr>
      </w:pPr>
      <w:bookmarkStart w:id="116" w:name="_Toc521608895"/>
      <w:bookmarkStart w:id="117" w:name="_Toc533784581"/>
      <w:r w:rsidRPr="005C53F5">
        <w:rPr>
          <w:rFonts w:ascii="Times New Roman" w:hAnsi="Times New Roman" w:cs="Times New Roman"/>
          <w:sz w:val="24"/>
          <w:szCs w:val="24"/>
        </w:rPr>
        <w:t>Инвестиции в Облигации связаны с определенной степенью риска. В связи с этим потенциальные инвесторы, прежде чем принимать любое инвестиционное решение, должны тщательно изучить нижеприведенные факторы риска. Каждый из этих факторов может оказать неблагоприятное воздействие на финансовое положение Эмитента. К таким факторам относятся, в частности:</w:t>
      </w:r>
      <w:bookmarkEnd w:id="116"/>
      <w:bookmarkEnd w:id="117"/>
    </w:p>
    <w:p w14:paraId="308397C5" w14:textId="1AE02967" w:rsidR="009E011C" w:rsidRPr="005C53F5" w:rsidRDefault="009E011C" w:rsidP="00057BE5">
      <w:pPr>
        <w:pStyle w:val="ConsPlusNormal"/>
        <w:numPr>
          <w:ilvl w:val="0"/>
          <w:numId w:val="3"/>
        </w:numPr>
        <w:jc w:val="both"/>
        <w:rPr>
          <w:rFonts w:ascii="Times New Roman" w:hAnsi="Times New Roman" w:cs="Times New Roman"/>
          <w:sz w:val="24"/>
          <w:szCs w:val="24"/>
        </w:rPr>
      </w:pPr>
      <w:bookmarkStart w:id="118" w:name="_Toc521608896"/>
      <w:bookmarkStart w:id="119" w:name="_Toc533784582"/>
      <w:r w:rsidRPr="005C53F5">
        <w:rPr>
          <w:rFonts w:ascii="Times New Roman" w:hAnsi="Times New Roman" w:cs="Times New Roman"/>
          <w:sz w:val="24"/>
          <w:szCs w:val="24"/>
        </w:rPr>
        <w:t>отсутствие и</w:t>
      </w:r>
      <w:r w:rsidR="00F30E20" w:rsidRPr="005C53F5">
        <w:rPr>
          <w:rFonts w:ascii="Times New Roman" w:hAnsi="Times New Roman" w:cs="Times New Roman"/>
          <w:sz w:val="24"/>
          <w:szCs w:val="24"/>
        </w:rPr>
        <w:t xml:space="preserve"> (</w:t>
      </w:r>
      <w:r w:rsidRPr="005C53F5">
        <w:rPr>
          <w:rFonts w:ascii="Times New Roman" w:hAnsi="Times New Roman" w:cs="Times New Roman"/>
          <w:sz w:val="24"/>
          <w:szCs w:val="24"/>
        </w:rPr>
        <w:t>или</w:t>
      </w:r>
      <w:r w:rsidR="00F30E20" w:rsidRPr="005C53F5">
        <w:rPr>
          <w:rFonts w:ascii="Times New Roman" w:hAnsi="Times New Roman" w:cs="Times New Roman"/>
          <w:sz w:val="24"/>
          <w:szCs w:val="24"/>
        </w:rPr>
        <w:t>)</w:t>
      </w:r>
      <w:r w:rsidRPr="005C53F5">
        <w:rPr>
          <w:rFonts w:ascii="Times New Roman" w:hAnsi="Times New Roman" w:cs="Times New Roman"/>
          <w:sz w:val="24"/>
          <w:szCs w:val="24"/>
        </w:rPr>
        <w:t xml:space="preserve"> недостаточность у потенциального инвестора необходимых знаний и опыта в сфере инвестирования средств в Облигации;</w:t>
      </w:r>
      <w:bookmarkEnd w:id="118"/>
      <w:bookmarkEnd w:id="119"/>
    </w:p>
    <w:p w14:paraId="43623EE7" w14:textId="67A54145" w:rsidR="009E011C" w:rsidRPr="005C53F5" w:rsidRDefault="009E011C" w:rsidP="00057BE5">
      <w:pPr>
        <w:pStyle w:val="ConsPlusNormal"/>
        <w:numPr>
          <w:ilvl w:val="0"/>
          <w:numId w:val="3"/>
        </w:numPr>
        <w:jc w:val="both"/>
        <w:rPr>
          <w:rFonts w:ascii="Times New Roman" w:hAnsi="Times New Roman" w:cs="Times New Roman"/>
          <w:sz w:val="24"/>
          <w:szCs w:val="24"/>
        </w:rPr>
      </w:pPr>
      <w:bookmarkStart w:id="120" w:name="_Toc521608897"/>
      <w:bookmarkStart w:id="121" w:name="_Toc533784583"/>
      <w:r w:rsidRPr="005C53F5">
        <w:rPr>
          <w:rFonts w:ascii="Times New Roman" w:hAnsi="Times New Roman" w:cs="Times New Roman"/>
          <w:sz w:val="24"/>
          <w:szCs w:val="24"/>
        </w:rPr>
        <w:t>отсутствие и</w:t>
      </w:r>
      <w:r w:rsidR="00F30E20" w:rsidRPr="005C53F5">
        <w:rPr>
          <w:rFonts w:ascii="Times New Roman" w:hAnsi="Times New Roman" w:cs="Times New Roman"/>
          <w:sz w:val="24"/>
          <w:szCs w:val="24"/>
        </w:rPr>
        <w:t xml:space="preserve"> (</w:t>
      </w:r>
      <w:r w:rsidRPr="005C53F5">
        <w:rPr>
          <w:rFonts w:ascii="Times New Roman" w:hAnsi="Times New Roman" w:cs="Times New Roman"/>
          <w:sz w:val="24"/>
          <w:szCs w:val="24"/>
        </w:rPr>
        <w:t>или</w:t>
      </w:r>
      <w:r w:rsidR="00F30E20" w:rsidRPr="005C53F5">
        <w:rPr>
          <w:rFonts w:ascii="Times New Roman" w:hAnsi="Times New Roman" w:cs="Times New Roman"/>
          <w:sz w:val="24"/>
          <w:szCs w:val="24"/>
        </w:rPr>
        <w:t>)</w:t>
      </w:r>
      <w:r w:rsidRPr="005C53F5">
        <w:rPr>
          <w:rFonts w:ascii="Times New Roman" w:hAnsi="Times New Roman" w:cs="Times New Roman"/>
          <w:sz w:val="24"/>
          <w:szCs w:val="24"/>
        </w:rPr>
        <w:t xml:space="preserve"> недостаточность у потенциального инвестора необходимых финансовых ресурсов для покрытия всех возможных рисков, связанных с инвестированием средств в Облигации;</w:t>
      </w:r>
      <w:bookmarkEnd w:id="120"/>
      <w:bookmarkEnd w:id="121"/>
    </w:p>
    <w:p w14:paraId="2B13F1B2" w14:textId="77777777" w:rsidR="009E011C" w:rsidRPr="005C53F5" w:rsidRDefault="009E011C" w:rsidP="00057BE5">
      <w:pPr>
        <w:pStyle w:val="ConsPlusNormal"/>
        <w:numPr>
          <w:ilvl w:val="0"/>
          <w:numId w:val="3"/>
        </w:numPr>
        <w:jc w:val="both"/>
        <w:rPr>
          <w:rFonts w:ascii="Times New Roman" w:hAnsi="Times New Roman" w:cs="Times New Roman"/>
          <w:sz w:val="24"/>
          <w:szCs w:val="24"/>
        </w:rPr>
      </w:pPr>
      <w:bookmarkStart w:id="122" w:name="_Toc521608898"/>
      <w:bookmarkStart w:id="123" w:name="_Toc533784584"/>
      <w:r w:rsidRPr="005C53F5">
        <w:rPr>
          <w:rFonts w:ascii="Times New Roman" w:hAnsi="Times New Roman" w:cs="Times New Roman"/>
          <w:sz w:val="24"/>
          <w:szCs w:val="24"/>
        </w:rPr>
        <w:t>отсутствие правильного и объективного понимания условий размещения Облигаций.</w:t>
      </w:r>
      <w:bookmarkEnd w:id="122"/>
      <w:bookmarkEnd w:id="123"/>
    </w:p>
    <w:p w14:paraId="372C01F9" w14:textId="3FF0844D" w:rsidR="009E011C" w:rsidRPr="005C53F5" w:rsidRDefault="009E011C" w:rsidP="00057BE5">
      <w:pPr>
        <w:pStyle w:val="ConsPlusNormal"/>
        <w:ind w:firstLine="709"/>
        <w:jc w:val="both"/>
        <w:rPr>
          <w:rFonts w:ascii="Times New Roman" w:hAnsi="Times New Roman" w:cs="Times New Roman"/>
          <w:sz w:val="24"/>
          <w:szCs w:val="24"/>
        </w:rPr>
      </w:pPr>
      <w:bookmarkStart w:id="124" w:name="_Toc521608899"/>
      <w:bookmarkStart w:id="125" w:name="_Toc533784585"/>
      <w:r w:rsidRPr="005C53F5">
        <w:rPr>
          <w:rFonts w:ascii="Times New Roman" w:hAnsi="Times New Roman" w:cs="Times New Roman"/>
          <w:sz w:val="24"/>
          <w:szCs w:val="24"/>
        </w:rPr>
        <w:t xml:space="preserve">Инвестиции в развивающиеся рынки, такие как Казахстан, сопряжены с </w:t>
      </w:r>
      <w:r w:rsidR="000379A8" w:rsidRPr="005C53F5">
        <w:rPr>
          <w:rFonts w:ascii="Times New Roman" w:hAnsi="Times New Roman" w:cs="Times New Roman"/>
          <w:sz w:val="24"/>
          <w:szCs w:val="24"/>
        </w:rPr>
        <w:t>некоторой</w:t>
      </w:r>
      <w:r w:rsidRPr="005C53F5">
        <w:rPr>
          <w:rFonts w:ascii="Times New Roman" w:hAnsi="Times New Roman" w:cs="Times New Roman"/>
          <w:sz w:val="24"/>
          <w:szCs w:val="24"/>
        </w:rPr>
        <w:t xml:space="preserve"> степенью риска, и инвесторы должны с особой тщательностью оценить связанные риски.</w:t>
      </w:r>
      <w:bookmarkEnd w:id="124"/>
      <w:bookmarkEnd w:id="125"/>
    </w:p>
    <w:p w14:paraId="2E546BCC" w14:textId="269EF71C" w:rsidR="009E011C" w:rsidRPr="005C53F5" w:rsidRDefault="009E011C" w:rsidP="00057BE5">
      <w:pPr>
        <w:pStyle w:val="ConsPlusNormal"/>
        <w:ind w:firstLine="709"/>
        <w:jc w:val="both"/>
        <w:rPr>
          <w:rFonts w:ascii="Times New Roman" w:hAnsi="Times New Roman" w:cs="Times New Roman"/>
          <w:sz w:val="24"/>
          <w:szCs w:val="24"/>
        </w:rPr>
      </w:pPr>
      <w:bookmarkStart w:id="126" w:name="_Toc521608900"/>
      <w:bookmarkStart w:id="127" w:name="_Toc533784586"/>
      <w:r w:rsidRPr="005C53F5">
        <w:rPr>
          <w:rFonts w:ascii="Times New Roman" w:hAnsi="Times New Roman" w:cs="Times New Roman"/>
          <w:sz w:val="24"/>
          <w:szCs w:val="24"/>
        </w:rPr>
        <w:t xml:space="preserve">Инвестиции в ценные бумаги суверенных или корпоративных эмитентов на развивающихся рынках, таких как Казахстан, сопряжены с более высоким уровнем риска, чем инвестиции в ценные бумаги эмитентов на более развитых рынках. Несмотря на достижения в реформировании экономики Казахстана с момента получения страной независимости в 1991 году, необходимая нормативно-правовая база по-прежнему </w:t>
      </w:r>
      <w:r w:rsidR="00B94E5F" w:rsidRPr="005C53F5">
        <w:rPr>
          <w:rFonts w:ascii="Times New Roman" w:hAnsi="Times New Roman" w:cs="Times New Roman"/>
          <w:sz w:val="24"/>
          <w:szCs w:val="24"/>
        </w:rPr>
        <w:t>находится в процессе совершенствования</w:t>
      </w:r>
      <w:r w:rsidRPr="005C53F5">
        <w:rPr>
          <w:rFonts w:ascii="Times New Roman" w:hAnsi="Times New Roman" w:cs="Times New Roman"/>
          <w:sz w:val="24"/>
          <w:szCs w:val="24"/>
        </w:rPr>
        <w:t>.</w:t>
      </w:r>
      <w:bookmarkEnd w:id="126"/>
      <w:bookmarkEnd w:id="127"/>
    </w:p>
    <w:p w14:paraId="75B23FFE" w14:textId="135450B5" w:rsidR="000379A8" w:rsidRPr="005C53F5" w:rsidRDefault="00AB752F" w:rsidP="00057BE5">
      <w:pPr>
        <w:spacing w:after="0" w:line="240" w:lineRule="auto"/>
        <w:ind w:firstLine="709"/>
        <w:jc w:val="both"/>
        <w:rPr>
          <w:rFonts w:ascii="Times New Roman" w:hAnsi="Times New Roman" w:cs="Times New Roman"/>
          <w:sz w:val="24"/>
          <w:szCs w:val="24"/>
        </w:rPr>
      </w:pPr>
      <w:bookmarkStart w:id="128" w:name="_Toc521608901"/>
      <w:bookmarkStart w:id="129" w:name="_Toc533784587"/>
      <w:r w:rsidRPr="005C53F5">
        <w:rPr>
          <w:rFonts w:ascii="Times New Roman" w:hAnsi="Times New Roman" w:cs="Times New Roman"/>
          <w:sz w:val="24"/>
          <w:szCs w:val="24"/>
        </w:rPr>
        <w:t>Потенциальные</w:t>
      </w:r>
      <w:r w:rsidR="000379A8" w:rsidRPr="005C53F5">
        <w:rPr>
          <w:rFonts w:ascii="Times New Roman" w:hAnsi="Times New Roman" w:cs="Times New Roman"/>
          <w:sz w:val="24"/>
          <w:szCs w:val="24"/>
        </w:rPr>
        <w:t xml:space="preserve"> инвесторы должны обратить внимание на то, что развивающиеся экономики, включая экономику Казахстана, подвержены быстрым изменениям, и что информация, приведенная в Проспекте ценных бумаг, может стать устаревшей относительно быстро. Инвесторы должны уделить особое внимание оценке рисков и должны самостоятельно принять решение относительно целесообразности инвестирования в свете таких рисков. </w:t>
      </w:r>
    </w:p>
    <w:p w14:paraId="7D22796D" w14:textId="1B9398D3"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130" w:name="_Toc39616337"/>
      <w:bookmarkStart w:id="131" w:name="_Toc36145575"/>
      <w:bookmarkEnd w:id="128"/>
      <w:bookmarkEnd w:id="129"/>
      <w:r w:rsidRPr="005C53F5">
        <w:rPr>
          <w:rFonts w:ascii="Times New Roman" w:hAnsi="Times New Roman" w:cs="Times New Roman"/>
          <w:b/>
          <w:sz w:val="24"/>
          <w:szCs w:val="24"/>
        </w:rPr>
        <w:t>2.5.1. Отраслевые риски</w:t>
      </w:r>
      <w:bookmarkEnd w:id="130"/>
      <w:bookmarkEnd w:id="131"/>
    </w:p>
    <w:p w14:paraId="0833203B" w14:textId="06343579" w:rsidR="00DD59AC" w:rsidRPr="005C53F5" w:rsidRDefault="00DD59AC"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Влияние возможного ухудшения ситуации в отрасли эмитента на его деятельность и исполнение им обязательств по ценным бумагам, наиболее значимые, по мнению эмитента, возможные изменения в отрасли (отдельно на внутреннем и внешнем рынках), а также предполагаемые действия эмитента в этом случае:</w:t>
      </w:r>
    </w:p>
    <w:p w14:paraId="2C683421" w14:textId="77777777" w:rsidR="00DD59AC" w:rsidRPr="005C53F5" w:rsidRDefault="00DD59AC" w:rsidP="00057BE5">
      <w:pPr>
        <w:keepNext/>
        <w:autoSpaceDE w:val="0"/>
        <w:autoSpaceDN w:val="0"/>
        <w:spacing w:after="0" w:line="240" w:lineRule="auto"/>
        <w:ind w:firstLine="709"/>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Поскольку Эмитентом является иностранное государство, отраслевые риски в настоящем разделе излагаются применительно к основным отраслям экономики Республики Казахстан. В целом Республика Казахстан подвержена как внешним, так и внутренним рискам. В случае ухудшения макроэкономической ситуации Республика Казахстан примет необходимые меры для минимизации ущерба от осуществившихся внешних и внутренних рисков для исполнения обязательств по Облигациям.</w:t>
      </w:r>
    </w:p>
    <w:p w14:paraId="34A48E69" w14:textId="77777777" w:rsidR="00DD59AC" w:rsidRPr="005C53F5" w:rsidRDefault="00DD59AC" w:rsidP="00057BE5">
      <w:pPr>
        <w:keepNext/>
        <w:autoSpaceDE w:val="0"/>
        <w:autoSpaceDN w:val="0"/>
        <w:spacing w:after="0" w:line="240" w:lineRule="auto"/>
        <w:ind w:firstLine="709"/>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 xml:space="preserve">Республика Казахстан – одно из экономически развитых государств ЕАЭС. Казахстан имеет значительную промышленную базу, причем большая часть его промышленной деятельности сосредоточена в тяжелой промышленности. На долю промышленности от общего ВВП Казахстана, согласно статистике </w:t>
      </w:r>
      <w:r w:rsidRPr="005C53F5">
        <w:rPr>
          <w:rFonts w:ascii="Times New Roman" w:eastAsia="Calibri" w:hAnsi="Times New Roman" w:cs="Times New Roman"/>
          <w:sz w:val="24"/>
          <w:szCs w:val="24"/>
          <w:lang w:val="en-US" w:eastAsia="ru-RU"/>
        </w:rPr>
        <w:t>Bloomberg</w:t>
      </w:r>
      <w:r w:rsidRPr="005C53F5">
        <w:rPr>
          <w:rFonts w:ascii="Times New Roman" w:eastAsia="Calibri" w:hAnsi="Times New Roman" w:cs="Times New Roman"/>
          <w:sz w:val="24"/>
          <w:szCs w:val="24"/>
          <w:lang w:eastAsia="ru-RU"/>
        </w:rPr>
        <w:t xml:space="preserve"> (раздел </w:t>
      </w:r>
      <w:r w:rsidRPr="005C53F5">
        <w:rPr>
          <w:rFonts w:ascii="Times New Roman" w:eastAsia="Calibri" w:hAnsi="Times New Roman" w:cs="Times New Roman"/>
          <w:sz w:val="24"/>
          <w:szCs w:val="24"/>
          <w:lang w:val="en-US" w:eastAsia="ru-RU"/>
        </w:rPr>
        <w:t>Industry</w:t>
      </w:r>
      <w:r w:rsidRPr="005C53F5">
        <w:rPr>
          <w:rFonts w:ascii="Times New Roman" w:eastAsia="Calibri" w:hAnsi="Times New Roman" w:cs="Times New Roman"/>
          <w:sz w:val="24"/>
          <w:szCs w:val="24"/>
          <w:lang w:eastAsia="ru-RU"/>
        </w:rPr>
        <w:t xml:space="preserve">), приходится за 2014 год – 27,3%, за 2015 год – 24,7%, за 2016 год – 26,1%, за 2017 год – 26,8%, за 2018 год – 28,2% и за январь-декабрь 2019 года – 27,2%. Добыча полезных ископаемых (включая добычу нефти и газа, а также добычу металлических руд, угля и бурого угля) является важнейшей составляющей промышленной базы Казахстана. В 2018 году общий объем добычи включал сырую нефть (79,5%), металлические руды (9,9%), технические услуги (4,9%), уголь и бурый уголь (2,3%), прочую добычу (1,8%) и природный газ (1,6%). На 01.01.2020 год общий объем добычи включал сырую нефть (76,2%), металлические руды (11,8%), технические услуги (5,7%), природный газ (2,4%), уголь и бурый уголь (2,2%) и другие виды добычи (1,6%). </w:t>
      </w:r>
    </w:p>
    <w:p w14:paraId="27F8235E" w14:textId="77777777" w:rsidR="00DD59AC" w:rsidRPr="005C53F5" w:rsidRDefault="00DD59AC" w:rsidP="00057BE5">
      <w:pPr>
        <w:keepNext/>
        <w:autoSpaceDE w:val="0"/>
        <w:autoSpaceDN w:val="0"/>
        <w:spacing w:after="0" w:line="240" w:lineRule="auto"/>
        <w:ind w:firstLine="709"/>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 xml:space="preserve">За январь-февраль 2020 года общий объем добычи включал сырую нефть (76,6%), металлические руды (12,7%), технические услуги (4,8 %), уголь и бурый уголь (2,2%), природный газ (2,4%) и прочую добычу (1,3%). </w:t>
      </w:r>
    </w:p>
    <w:p w14:paraId="7571A317" w14:textId="77777777" w:rsidR="00DD59AC" w:rsidRPr="005C53F5" w:rsidRDefault="00DD59AC" w:rsidP="00057BE5">
      <w:pPr>
        <w:keepNext/>
        <w:autoSpaceDE w:val="0"/>
        <w:autoSpaceDN w:val="0"/>
        <w:spacing w:after="0" w:line="240" w:lineRule="auto"/>
        <w:ind w:firstLine="709"/>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Казахстан был крупным поставщиком сырья в СССР и имеет значительные, в основном неосвоенные, запасы нефти, природного газа и полезных ископаемых. Объем производства от добычи сырой нефти составляет 22,9%, 14,1%, 15,5%, 16,9%, 19,8% и 23,1% ВВП Казахстана в 2014, 2015, 2016, 2017, 2018 и 2019 годах соответственно.</w:t>
      </w:r>
    </w:p>
    <w:p w14:paraId="238A904F" w14:textId="77777777" w:rsidR="00DD59AC" w:rsidRPr="005C53F5" w:rsidRDefault="00DD59AC" w:rsidP="00057BE5">
      <w:pPr>
        <w:keepNext/>
        <w:autoSpaceDE w:val="0"/>
        <w:autoSpaceDN w:val="0"/>
        <w:spacing w:after="0" w:line="240" w:lineRule="auto"/>
        <w:ind w:firstLine="709"/>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 xml:space="preserve">Стратегическим приоритетом Правительства Республики Казахстан является диверсификация экономики в сторону от добычи природных ресурсов путем развития промышленного сектора с помощью программ, которые были заложены в стратегическом плане до 2020 года. </w:t>
      </w:r>
    </w:p>
    <w:p w14:paraId="15CEF05B" w14:textId="77777777" w:rsidR="00DD59AC" w:rsidRPr="005C53F5" w:rsidRDefault="00DD59AC" w:rsidP="00057BE5">
      <w:pPr>
        <w:keepNext/>
        <w:autoSpaceDE w:val="0"/>
        <w:autoSpaceDN w:val="0"/>
        <w:spacing w:after="0" w:line="240" w:lineRule="auto"/>
        <w:ind w:firstLine="709"/>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К 2014 году в номинальном выражении общий объем промышленного производства вырос на 13,6%. Наибольший рост за период с 2014 года по 2019 год был зафиксирован в машиностроении, металлургии, добыче сырой нефти и добыче металлических руд, поскольку эти отрасли в течение этих лет пользовались высоким уровнем инвестиций и внешнего спроса. В номинальном выражении общий объем промышленного производства вырос на 7% с 2018 года, когда он составил 27,2 трлн тенге, до 29,1 трлн тенге в 2019 году.</w:t>
      </w:r>
    </w:p>
    <w:p w14:paraId="3EE79BBD" w14:textId="77777777" w:rsidR="00DD59AC" w:rsidRPr="005C53F5" w:rsidRDefault="00DD59AC" w:rsidP="00057BE5">
      <w:pPr>
        <w:keepNext/>
        <w:autoSpaceDE w:val="0"/>
        <w:autoSpaceDN w:val="0"/>
        <w:spacing w:after="0" w:line="240" w:lineRule="auto"/>
        <w:ind w:firstLine="709"/>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Общий объем промышленного производства снизился на 19,4% в 2015 году, а затем увеличился на 27,4%, 19,8%, 19,4% и 7% в 2016, 2017, 2018 и 2019 годах соответственно. Снижение объемов промышленного производства в 2015 году по сравнению с 2014 годом было обусловлено главным образом сокращением объемов добычи сырой нефти и машиностроения. Рост промышленного производства в 2016 году по сравнению с 2015 годом был обусловлен главным образом увеличением объема производства в обрабатывающей промышленности. Рост промышленного производства в 2017 году по сравнению с 2016 годом был обусловлен главным образом увеличением объемов добычи сырой нефти и промышленного сектора. Рост промышленного производства в 2018 году по сравнению с 2017 годом и за 2019 год, по сравнению с 2018 годом, был в основном обусловлен увеличением объемов добычи сырой нефти.</w:t>
      </w:r>
    </w:p>
    <w:p w14:paraId="564E82D7"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b/>
          <w:bCs/>
          <w:i/>
          <w:iCs/>
          <w:sz w:val="24"/>
          <w:szCs w:val="24"/>
          <w:lang w:eastAsia="ru-RU"/>
        </w:rPr>
      </w:pPr>
      <w:r w:rsidRPr="005C53F5">
        <w:rPr>
          <w:rFonts w:ascii="Times New Roman" w:eastAsia="Calibri" w:hAnsi="Times New Roman" w:cs="Times New Roman"/>
          <w:b/>
          <w:bCs/>
          <w:i/>
          <w:iCs/>
          <w:sz w:val="24"/>
          <w:szCs w:val="24"/>
          <w:lang w:eastAsia="ru-RU"/>
        </w:rPr>
        <w:t>Нефть и природный газ</w:t>
      </w:r>
    </w:p>
    <w:p w14:paraId="1CFE6280"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 xml:space="preserve">Нефтегазовый сектор имеет стратегическое значение для Казахстана, поскольку он является основным источником экспортных поступлений и резервов Казахстана, налоговых поступлений и объектом прямых иностранных инвестиций. Согласно ежегодному статистическому бюллетеню за 2018 год, опубликованному Организацией стран-экспортеров нефти, Казахстан занимает 11-е место в мире по уровню доказанных запасов сырой нефти и 18-е место в мире по уровню запасов газа. </w:t>
      </w:r>
    </w:p>
    <w:p w14:paraId="66158DA8"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Национальная нефтегазовая компания АО НК «КазМунайГаз» (далее – «</w:t>
      </w:r>
      <w:r w:rsidRPr="005C53F5">
        <w:rPr>
          <w:rFonts w:ascii="Times New Roman" w:eastAsia="Calibri" w:hAnsi="Times New Roman" w:cs="Times New Roman"/>
          <w:b/>
          <w:bCs/>
          <w:sz w:val="24"/>
          <w:szCs w:val="24"/>
          <w:lang w:eastAsia="ru-RU"/>
        </w:rPr>
        <w:t>КазМунайГаз</w:t>
      </w:r>
      <w:r w:rsidRPr="005C53F5">
        <w:rPr>
          <w:rFonts w:ascii="Times New Roman" w:eastAsia="Calibri" w:hAnsi="Times New Roman" w:cs="Times New Roman"/>
          <w:sz w:val="24"/>
          <w:szCs w:val="24"/>
          <w:lang w:eastAsia="ru-RU"/>
        </w:rPr>
        <w:t>») была создана в 2002 году для представления интересов государства в нефтегазовой отрасли Казахстана. КазМунайГаз имеет ряд дочерних предприятий, в том числе компании, работающие в сферах разведки, добычи, транспортировки, переработки и реализации углеводородного сырья. КазМунайГаз владеет долями участия в месторождении Кашаган (8,44% и еще 8,44% принадлежит Самрук-Казына) и месторождении Тенгиз (20%), а также долями участия в диапазоне от 15% до 100% во многих шельфовых проектах. В большинстве из них компания владеет по меньшей мере 50%</w:t>
      </w:r>
      <w:r w:rsidRPr="005C53F5">
        <w:rPr>
          <w:rFonts w:ascii="Times New Roman" w:eastAsia="Calibri" w:hAnsi="Times New Roman" w:cs="Times New Roman"/>
          <w:color w:val="000000"/>
          <w:sz w:val="24"/>
          <w:szCs w:val="24"/>
          <w:lang w:eastAsia="ru-RU"/>
        </w:rPr>
        <w:t>-ой</w:t>
      </w:r>
      <w:r w:rsidRPr="005C53F5">
        <w:rPr>
          <w:rFonts w:ascii="Times New Roman" w:eastAsia="Calibri" w:hAnsi="Times New Roman" w:cs="Times New Roman"/>
          <w:sz w:val="24"/>
          <w:szCs w:val="24"/>
          <w:lang w:eastAsia="ru-RU"/>
        </w:rPr>
        <w:t xml:space="preserve"> долей участия.</w:t>
      </w:r>
    </w:p>
    <w:p w14:paraId="63E858F8"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 xml:space="preserve">Увеличение добычи нефти стало результатом притока иностранных инвестиций в нефтяной сектор Казахстана с 1991 года. Международные инвестиции в нефтегазовый сектор Казахстана осуществлялись в форме совместных предприятий, в том числе с КазМунайГазом, а также </w:t>
      </w:r>
      <w:r w:rsidRPr="005C53F5">
        <w:rPr>
          <w:rFonts w:ascii="Times New Roman" w:eastAsia="Calibri" w:hAnsi="Times New Roman" w:cs="Times New Roman"/>
          <w:color w:val="000000"/>
          <w:sz w:val="24"/>
          <w:szCs w:val="24"/>
          <w:lang w:eastAsia="ru-RU"/>
        </w:rPr>
        <w:t xml:space="preserve">в форме </w:t>
      </w:r>
      <w:r w:rsidRPr="005C53F5">
        <w:rPr>
          <w:rFonts w:ascii="Times New Roman" w:eastAsia="Calibri" w:hAnsi="Times New Roman" w:cs="Times New Roman"/>
          <w:sz w:val="24"/>
          <w:szCs w:val="24"/>
          <w:lang w:eastAsia="ru-RU"/>
        </w:rPr>
        <w:t>соглашений о разделе продукции и концессиях на разведку/месторождение.</w:t>
      </w:r>
    </w:p>
    <w:p w14:paraId="63AA145C"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Казахстанские методы классификации запасов нефти и газа, основанные на системе, введенной в СССР, существенно отличаются от стандартной международной методологии. Соответственно, заявленные запасы не обязательно соответствуют экономически извлекаемым запасам. Информация о запасах нефти и газа, содержащаяся в настоящем документе, представляет собой совокупные «разведанные запасы», состоящие из запасов нефти и газа категорий А, В и С1, а также «предварительные запасы» категории С2 согласно Казахстанской классификационной системе.</w:t>
      </w:r>
    </w:p>
    <w:p w14:paraId="0EDBE757"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 xml:space="preserve">Казахстан является вторым по величине производителем нефти в СНГ после России и обладает крупнейшими извлекаемыми запасами сырой нефти в Каспийском регионе. Согласно статистическому обзору </w:t>
      </w:r>
      <w:r w:rsidRPr="005C53F5">
        <w:rPr>
          <w:rFonts w:ascii="Times New Roman" w:eastAsia="Calibri" w:hAnsi="Times New Roman" w:cs="Times New Roman"/>
          <w:sz w:val="24"/>
          <w:szCs w:val="24"/>
          <w:lang w:val="en-US" w:eastAsia="ru-RU"/>
        </w:rPr>
        <w:t>BP</w:t>
      </w:r>
      <w:r w:rsidRPr="005C53F5">
        <w:rPr>
          <w:rFonts w:ascii="Times New Roman" w:eastAsia="Calibri" w:hAnsi="Times New Roman" w:cs="Times New Roman"/>
          <w:sz w:val="24"/>
          <w:szCs w:val="24"/>
          <w:lang w:eastAsia="ru-RU"/>
        </w:rPr>
        <w:t xml:space="preserve"> </w:t>
      </w:r>
      <w:r w:rsidRPr="005C53F5">
        <w:rPr>
          <w:rFonts w:ascii="Times New Roman" w:eastAsia="Calibri" w:hAnsi="Times New Roman" w:cs="Times New Roman"/>
          <w:sz w:val="24"/>
          <w:szCs w:val="24"/>
          <w:lang w:val="en-US" w:eastAsia="ru-RU"/>
        </w:rPr>
        <w:t>World</w:t>
      </w:r>
      <w:r w:rsidRPr="005C53F5">
        <w:rPr>
          <w:rFonts w:ascii="Times New Roman" w:eastAsia="Calibri" w:hAnsi="Times New Roman" w:cs="Times New Roman"/>
          <w:sz w:val="24"/>
          <w:szCs w:val="24"/>
          <w:lang w:eastAsia="ru-RU"/>
        </w:rPr>
        <w:t xml:space="preserve"> </w:t>
      </w:r>
      <w:r w:rsidRPr="005C53F5">
        <w:rPr>
          <w:rFonts w:ascii="Times New Roman" w:eastAsia="Calibri" w:hAnsi="Times New Roman" w:cs="Times New Roman"/>
          <w:sz w:val="24"/>
          <w:szCs w:val="24"/>
          <w:lang w:val="en-US" w:eastAsia="ru-RU"/>
        </w:rPr>
        <w:t>Energy</w:t>
      </w:r>
      <w:r w:rsidRPr="005C53F5">
        <w:rPr>
          <w:rFonts w:ascii="Times New Roman" w:eastAsia="Calibri" w:hAnsi="Times New Roman" w:cs="Times New Roman"/>
          <w:sz w:val="24"/>
          <w:szCs w:val="24"/>
          <w:lang w:eastAsia="ru-RU"/>
        </w:rPr>
        <w:t xml:space="preserve"> 2019, по состоянию на 31 декабря 2018 года Казахстан имел доказанные запасы примерно в 30 миллиардов баррелей нефти, или 1,7% мировых доказанных запасов, и добыл 90,3 миллиона тонн нефти в 2018 году, или 2,0% мировой добычи в этом году.</w:t>
      </w:r>
    </w:p>
    <w:p w14:paraId="2546A6E2" w14:textId="14C7FAD5"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В 2016 году Казахстан присоединился к соглашению ОПЕК</w:t>
      </w:r>
      <w:r w:rsidR="007E0AC6" w:rsidRPr="005C53F5">
        <w:rPr>
          <w:rFonts w:ascii="Times New Roman" w:eastAsia="Calibri" w:hAnsi="Times New Roman" w:cs="Times New Roman"/>
          <w:sz w:val="24"/>
          <w:szCs w:val="24"/>
          <w:lang w:eastAsia="ru-RU"/>
        </w:rPr>
        <w:t>+</w:t>
      </w:r>
      <w:r w:rsidRPr="005C53F5">
        <w:rPr>
          <w:rFonts w:ascii="Times New Roman" w:eastAsia="Calibri" w:hAnsi="Times New Roman" w:cs="Times New Roman"/>
          <w:sz w:val="24"/>
          <w:szCs w:val="24"/>
          <w:lang w:eastAsia="ru-RU"/>
        </w:rPr>
        <w:t xml:space="preserve"> и взял на себя обязательство поддерживать добычу нефти на уровне 1,86 млн баррелей в сутки в 2017-2018 годах. С тех пор Казахстан продолжает сотрудничать со странами ОПЕК и странами, не входящими в ОПЕК, в рамках соглашения ОПЕК</w:t>
      </w:r>
      <w:r w:rsidR="007E0AC6" w:rsidRPr="005C53F5">
        <w:rPr>
          <w:rFonts w:ascii="Times New Roman" w:eastAsia="Calibri" w:hAnsi="Times New Roman" w:cs="Times New Roman"/>
          <w:sz w:val="24"/>
          <w:szCs w:val="24"/>
          <w:lang w:eastAsia="ru-RU"/>
        </w:rPr>
        <w:t>+</w:t>
      </w:r>
      <w:r w:rsidRPr="005C53F5">
        <w:rPr>
          <w:rFonts w:ascii="Times New Roman" w:eastAsia="Calibri" w:hAnsi="Times New Roman" w:cs="Times New Roman"/>
          <w:sz w:val="24"/>
          <w:szCs w:val="24"/>
          <w:lang w:eastAsia="ru-RU"/>
        </w:rPr>
        <w:t>. В первом квартале 2020 года страны-участницы ОП</w:t>
      </w:r>
      <w:r w:rsidRPr="005C53F5">
        <w:rPr>
          <w:rFonts w:ascii="Times New Roman" w:eastAsia="Calibri" w:hAnsi="Times New Roman" w:cs="Times New Roman"/>
          <w:color w:val="000000"/>
          <w:sz w:val="24"/>
          <w:szCs w:val="24"/>
          <w:lang w:eastAsia="ru-RU"/>
        </w:rPr>
        <w:t>Е</w:t>
      </w:r>
      <w:r w:rsidRPr="005C53F5">
        <w:rPr>
          <w:rFonts w:ascii="Times New Roman" w:eastAsia="Calibri" w:hAnsi="Times New Roman" w:cs="Times New Roman"/>
          <w:sz w:val="24"/>
          <w:szCs w:val="24"/>
          <w:lang w:eastAsia="ru-RU"/>
        </w:rPr>
        <w:t>К</w:t>
      </w:r>
      <w:r w:rsidR="007E0AC6" w:rsidRPr="005C53F5">
        <w:rPr>
          <w:rFonts w:ascii="Times New Roman" w:eastAsia="Calibri" w:hAnsi="Times New Roman" w:cs="Times New Roman"/>
          <w:sz w:val="24"/>
          <w:szCs w:val="24"/>
          <w:lang w:eastAsia="ru-RU"/>
        </w:rPr>
        <w:t>+</w:t>
      </w:r>
      <w:r w:rsidRPr="005C53F5">
        <w:rPr>
          <w:rFonts w:ascii="Times New Roman" w:eastAsia="Calibri" w:hAnsi="Times New Roman" w:cs="Times New Roman"/>
          <w:sz w:val="24"/>
          <w:szCs w:val="24"/>
          <w:lang w:eastAsia="ru-RU"/>
        </w:rPr>
        <w:t xml:space="preserve"> не смогли прийти к соглашению по объемам добычи нефти, что привело</w:t>
      </w:r>
      <w:r w:rsidR="007E0AC6" w:rsidRPr="005C53F5">
        <w:rPr>
          <w:rFonts w:ascii="Times New Roman" w:eastAsia="Calibri" w:hAnsi="Times New Roman" w:cs="Times New Roman"/>
          <w:sz w:val="24"/>
          <w:szCs w:val="24"/>
          <w:lang w:eastAsia="ru-RU"/>
        </w:rPr>
        <w:t xml:space="preserve"> к</w:t>
      </w:r>
      <w:r w:rsidRPr="005C53F5">
        <w:rPr>
          <w:rFonts w:ascii="Times New Roman" w:eastAsia="Calibri" w:hAnsi="Times New Roman" w:cs="Times New Roman"/>
          <w:sz w:val="24"/>
          <w:szCs w:val="24"/>
          <w:lang w:eastAsia="ru-RU"/>
        </w:rPr>
        <w:t xml:space="preserve"> росту добычи и падению мировых цен, что потенциально несет риски для экономики страны. </w:t>
      </w:r>
    </w:p>
    <w:p w14:paraId="227D015F"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Несмотря на снижение мирового спроса на сырую нефть после начала мирового финансового кризиса, общая добыча нефти и газового конденсата в Казахстане в 2014, 2015, 2016, 2017 и 2018 годах составила 80,8 млн тонн, 79,</w:t>
      </w:r>
      <w:r w:rsidRPr="005C53F5">
        <w:rPr>
          <w:rFonts w:ascii="Times New Roman" w:eastAsia="Calibri" w:hAnsi="Times New Roman" w:cs="Times New Roman"/>
          <w:color w:val="000000"/>
          <w:sz w:val="24"/>
          <w:szCs w:val="24"/>
          <w:lang w:eastAsia="ru-RU"/>
        </w:rPr>
        <w:t>5</w:t>
      </w:r>
      <w:r w:rsidRPr="005C53F5">
        <w:rPr>
          <w:rFonts w:ascii="Times New Roman" w:eastAsia="Calibri" w:hAnsi="Times New Roman" w:cs="Times New Roman"/>
          <w:sz w:val="24"/>
          <w:szCs w:val="24"/>
          <w:lang w:eastAsia="ru-RU"/>
        </w:rPr>
        <w:t xml:space="preserve"> млн тонн, 78,0 млн тонн, 86,2 млн тонн и 90,</w:t>
      </w:r>
      <w:r w:rsidRPr="005C53F5">
        <w:rPr>
          <w:rFonts w:ascii="Times New Roman" w:eastAsia="Calibri" w:hAnsi="Times New Roman" w:cs="Times New Roman"/>
          <w:color w:val="000000"/>
          <w:sz w:val="24"/>
          <w:szCs w:val="24"/>
          <w:lang w:eastAsia="ru-RU"/>
        </w:rPr>
        <w:t>4</w:t>
      </w:r>
      <w:r w:rsidRPr="005C53F5">
        <w:rPr>
          <w:rFonts w:ascii="Times New Roman" w:eastAsia="Calibri" w:hAnsi="Times New Roman" w:cs="Times New Roman"/>
          <w:sz w:val="24"/>
          <w:szCs w:val="24"/>
          <w:lang w:eastAsia="ru-RU"/>
        </w:rPr>
        <w:t xml:space="preserve"> млн тонн соответственно. За январь-декабрь 2019 года общая добыча нефти и газового конденсата в Казахстане составила 90,5 млн тонн. Незначительное снижение добычи нефти и газового конденсата в период с 2014 года по 2016 год во многом связано с приостановкой добычи на месторождении Кашаган из-за проблем с газопроводами на месторождении.</w:t>
      </w:r>
    </w:p>
    <w:p w14:paraId="30AA681D" w14:textId="6D9F988B"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Казахстан экспортирует большую часть добываемой им нефти. Экспорт сырой нефти значительно вырос с 2000 года, и большая часть нефти из Казахстана в настоящее время поставляется на международные рынки по трубопроводам через Россию в пункты отгрузки на Черном море. Открытие трубопровода Каспийского трубопроводного консорциума (</w:t>
      </w:r>
      <w:r w:rsidR="007E0AC6" w:rsidRPr="005C53F5">
        <w:rPr>
          <w:rFonts w:ascii="Times New Roman" w:eastAsia="Calibri" w:hAnsi="Times New Roman" w:cs="Times New Roman"/>
          <w:sz w:val="24"/>
          <w:szCs w:val="24"/>
          <w:lang w:eastAsia="ru-RU"/>
        </w:rPr>
        <w:t>«</w:t>
      </w:r>
      <w:r w:rsidRPr="005C53F5">
        <w:rPr>
          <w:rFonts w:ascii="Times New Roman" w:eastAsia="Calibri" w:hAnsi="Times New Roman" w:cs="Times New Roman"/>
          <w:b/>
          <w:sz w:val="24"/>
          <w:szCs w:val="24"/>
          <w:lang w:eastAsia="ru-RU"/>
        </w:rPr>
        <w:t>КТК</w:t>
      </w:r>
      <w:r w:rsidR="007E0AC6" w:rsidRPr="005C53F5">
        <w:rPr>
          <w:rFonts w:ascii="Times New Roman" w:eastAsia="Calibri" w:hAnsi="Times New Roman" w:cs="Times New Roman"/>
          <w:sz w:val="24"/>
          <w:szCs w:val="24"/>
          <w:lang w:eastAsia="ru-RU"/>
        </w:rPr>
        <w:t>»</w:t>
      </w:r>
      <w:r w:rsidRPr="005C53F5">
        <w:rPr>
          <w:rFonts w:ascii="Times New Roman" w:eastAsia="Calibri" w:hAnsi="Times New Roman" w:cs="Times New Roman"/>
          <w:sz w:val="24"/>
          <w:szCs w:val="24"/>
          <w:lang w:eastAsia="ru-RU"/>
        </w:rPr>
        <w:t xml:space="preserve">) в 2001 году существенно увеличило экспортные возможности Казахстана по сырой нефти. В 2014, 2015, 2016, 2017, 2018 годах и </w:t>
      </w:r>
      <w:r w:rsidRPr="005C53F5">
        <w:rPr>
          <w:rFonts w:ascii="Times New Roman" w:hAnsi="Times New Roman"/>
          <w:sz w:val="24"/>
          <w:lang w:val="kk-KZ"/>
        </w:rPr>
        <w:t xml:space="preserve">за </w:t>
      </w:r>
      <w:r w:rsidRPr="005C53F5">
        <w:rPr>
          <w:rFonts w:ascii="Times New Roman" w:eastAsia="Calibri" w:hAnsi="Times New Roman" w:cs="Times New Roman"/>
          <w:sz w:val="24"/>
          <w:szCs w:val="24"/>
          <w:lang w:val="kk-KZ" w:eastAsia="ru-RU"/>
        </w:rPr>
        <w:t>январь-декабрь</w:t>
      </w:r>
      <w:r w:rsidRPr="005C53F5">
        <w:rPr>
          <w:rFonts w:ascii="Times New Roman" w:hAnsi="Times New Roman"/>
          <w:sz w:val="24"/>
          <w:lang w:val="kk-KZ"/>
        </w:rPr>
        <w:t xml:space="preserve"> 2019</w:t>
      </w:r>
      <w:r w:rsidRPr="005C53F5">
        <w:rPr>
          <w:rFonts w:ascii="Times New Roman" w:eastAsia="Calibri" w:hAnsi="Times New Roman" w:cs="Times New Roman"/>
          <w:sz w:val="24"/>
          <w:szCs w:val="24"/>
          <w:lang w:eastAsia="ru-RU"/>
        </w:rPr>
        <w:t xml:space="preserve"> </w:t>
      </w:r>
      <w:r w:rsidRPr="005C53F5">
        <w:rPr>
          <w:rFonts w:ascii="Times New Roman" w:hAnsi="Times New Roman"/>
          <w:sz w:val="24"/>
          <w:lang w:val="kk-KZ"/>
        </w:rPr>
        <w:t>года</w:t>
      </w:r>
      <w:r w:rsidRPr="005C53F5">
        <w:rPr>
          <w:rFonts w:ascii="Times New Roman" w:eastAsia="Calibri" w:hAnsi="Times New Roman" w:cs="Times New Roman"/>
          <w:sz w:val="24"/>
          <w:szCs w:val="24"/>
          <w:lang w:eastAsia="ru-RU"/>
        </w:rPr>
        <w:t xml:space="preserve">, Казахстан экспортировал 66,7 млн тонн, 62,4 млн тонн, 61,0 млн тонн, 67,8 млн тонн, 69,4 млн тонн и 69,7 млн тонн соответственно. За </w:t>
      </w:r>
      <w:r w:rsidRPr="005C53F5">
        <w:rPr>
          <w:rFonts w:ascii="Times New Roman" w:eastAsia="Calibri" w:hAnsi="Times New Roman" w:cs="Times New Roman"/>
          <w:sz w:val="24"/>
          <w:szCs w:val="24"/>
          <w:lang w:val="kk-KZ" w:eastAsia="ru-RU"/>
        </w:rPr>
        <w:t>январь-декабрь</w:t>
      </w:r>
      <w:r w:rsidRPr="005C53F5">
        <w:rPr>
          <w:rFonts w:ascii="Times New Roman" w:eastAsia="Calibri" w:hAnsi="Times New Roman" w:cs="Times New Roman"/>
          <w:sz w:val="24"/>
          <w:szCs w:val="24"/>
          <w:lang w:eastAsia="ru-RU"/>
        </w:rPr>
        <w:t xml:space="preserve"> 2019 года объём экспорта нефти и газового конденсата в общем объёме экспорта составил 58,1%, за 2018 год 61,9%, за 2017 год 54,8%, за 2016 год 52,5%, за 2015 год 58,3%, за 2014 год 67,5%. </w:t>
      </w:r>
    </w:p>
    <w:p w14:paraId="1468E8C5"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 xml:space="preserve">Казахстан регулирует внутренние цены на нефтепродукты в соответствии с </w:t>
      </w:r>
      <w:r w:rsidRPr="005C53F5">
        <w:rPr>
          <w:rFonts w:ascii="Times New Roman" w:eastAsia="Calibri" w:hAnsi="Times New Roman" w:cs="Times New Roman"/>
          <w:color w:val="000000"/>
          <w:sz w:val="24"/>
          <w:szCs w:val="24"/>
          <w:lang w:eastAsia="ru-RU"/>
        </w:rPr>
        <w:t>правилами определения предельной цены на розничную реализацию нефтепродуктов</w:t>
      </w:r>
      <w:r w:rsidRPr="005C53F5">
        <w:rPr>
          <w:rFonts w:ascii="Times New Roman" w:eastAsia="Calibri" w:hAnsi="Times New Roman" w:cs="Times New Roman"/>
          <w:sz w:val="24"/>
          <w:szCs w:val="24"/>
          <w:lang w:eastAsia="ru-RU"/>
        </w:rPr>
        <w:t xml:space="preserve">, которые устанавливаются Министерством энергетики Республики Казахстан. В соответствии с указанными правилами устанавливается максимальная внутренняя цена на нефтепродукты. Фиксированная цена рассчитывается в соответствии с определенной формулой, включающей мировую цену на нефть марки </w:t>
      </w:r>
      <w:r w:rsidRPr="005C53F5">
        <w:rPr>
          <w:rFonts w:ascii="Times New Roman" w:eastAsia="Calibri" w:hAnsi="Times New Roman" w:cs="Times New Roman"/>
          <w:sz w:val="24"/>
          <w:szCs w:val="24"/>
          <w:lang w:val="en-US" w:eastAsia="ru-RU"/>
        </w:rPr>
        <w:t>Brent</w:t>
      </w:r>
      <w:r w:rsidRPr="005C53F5">
        <w:rPr>
          <w:rFonts w:ascii="Times New Roman" w:eastAsia="Calibri" w:hAnsi="Times New Roman" w:cs="Times New Roman"/>
          <w:sz w:val="24"/>
          <w:szCs w:val="24"/>
          <w:lang w:eastAsia="ru-RU"/>
        </w:rPr>
        <w:t>, и такая формула может быть изменена не чаще одного раза в месяц. Регулирование цен на казахстанские нефтепродукты направлено на снижение влияния внезапного повышения мировых цен на нефть, которое часто происходит во время сезонных пиков потребления.</w:t>
      </w:r>
    </w:p>
    <w:p w14:paraId="17B684F1"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b/>
          <w:bCs/>
          <w:i/>
          <w:iCs/>
          <w:sz w:val="24"/>
          <w:szCs w:val="24"/>
          <w:lang w:eastAsia="ru-RU"/>
        </w:rPr>
      </w:pPr>
      <w:r w:rsidRPr="005C53F5">
        <w:rPr>
          <w:rFonts w:ascii="Times New Roman" w:eastAsia="Calibri" w:hAnsi="Times New Roman" w:cs="Times New Roman"/>
          <w:b/>
          <w:bCs/>
          <w:i/>
          <w:iCs/>
          <w:sz w:val="24"/>
          <w:szCs w:val="24"/>
          <w:lang w:eastAsia="ru-RU"/>
        </w:rPr>
        <w:t>Природный газ</w:t>
      </w:r>
    </w:p>
    <w:p w14:paraId="5016CDF1"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 xml:space="preserve">Согласно статистическому обзору </w:t>
      </w:r>
      <w:r w:rsidRPr="005C53F5">
        <w:rPr>
          <w:rFonts w:ascii="Times New Roman" w:eastAsia="Calibri" w:hAnsi="Times New Roman" w:cs="Times New Roman"/>
          <w:sz w:val="24"/>
          <w:szCs w:val="24"/>
          <w:lang w:val="en-US" w:eastAsia="ru-RU"/>
        </w:rPr>
        <w:t>BP</w:t>
      </w:r>
      <w:r w:rsidRPr="005C53F5">
        <w:rPr>
          <w:rFonts w:ascii="Times New Roman" w:eastAsia="Calibri" w:hAnsi="Times New Roman" w:cs="Times New Roman"/>
          <w:sz w:val="24"/>
          <w:szCs w:val="24"/>
          <w:lang w:eastAsia="ru-RU"/>
        </w:rPr>
        <w:t xml:space="preserve"> </w:t>
      </w:r>
      <w:r w:rsidRPr="005C53F5">
        <w:rPr>
          <w:rFonts w:ascii="Times New Roman" w:eastAsia="Calibri" w:hAnsi="Times New Roman" w:cs="Times New Roman"/>
          <w:sz w:val="24"/>
          <w:szCs w:val="24"/>
          <w:lang w:val="en-US" w:eastAsia="ru-RU"/>
        </w:rPr>
        <w:t>World</w:t>
      </w:r>
      <w:r w:rsidRPr="005C53F5">
        <w:rPr>
          <w:rFonts w:ascii="Times New Roman" w:eastAsia="Calibri" w:hAnsi="Times New Roman" w:cs="Times New Roman"/>
          <w:sz w:val="24"/>
          <w:szCs w:val="24"/>
          <w:lang w:eastAsia="ru-RU"/>
        </w:rPr>
        <w:t xml:space="preserve"> </w:t>
      </w:r>
      <w:r w:rsidRPr="005C53F5">
        <w:rPr>
          <w:rFonts w:ascii="Times New Roman" w:eastAsia="Calibri" w:hAnsi="Times New Roman" w:cs="Times New Roman"/>
          <w:sz w:val="24"/>
          <w:szCs w:val="24"/>
          <w:lang w:val="en-US" w:eastAsia="ru-RU"/>
        </w:rPr>
        <w:t>Energy</w:t>
      </w:r>
      <w:r w:rsidRPr="005C53F5">
        <w:rPr>
          <w:rFonts w:ascii="Times New Roman" w:eastAsia="Calibri" w:hAnsi="Times New Roman" w:cs="Times New Roman"/>
          <w:sz w:val="24"/>
          <w:szCs w:val="24"/>
          <w:lang w:eastAsia="ru-RU"/>
        </w:rPr>
        <w:t xml:space="preserve"> 2019, по состоянию на 31 декабря 2018 года Казахстан имел доказанные запасы примерно в 1,0 трлн кубометров природного газа, или 0,5% мировых запасов, и добыл 24,4 млрд кубометров газа в 2018 году, или 0,6% мировой добычи в этом году. Большая часть запасов природного газа Казахстана сосредоточена на месторождениях, богатых сырой нефтью или конденсатом. Два из трех крупнейших месторождений жидких углеводородов - Карачаганак и Тенгиз также являются двумя крупнейшими месторождениями природного газа.</w:t>
      </w:r>
    </w:p>
    <w:p w14:paraId="15E77FD4"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Общая добыча природного газа в Казахстане в 2014, 2015, 2016, 2017 и 2018 годах составила 43,2 млрд куб. м, 45,3 млрд куб. м, 46,4 млрд куб. м, 52,9 млрд куб. м и 55,5 млрд куб. м соответственно, а по предварительным данным за январь-декабрь 2019 года общая добыча природного газа в Казахстане составила 56,4 млрд куб. м. Объем добычи природного газа составил 0.22%, 0.30%, 0.25%, 0.39% и 0,40% ВВП Казахстана в 2014, 2015, 2016, 2017 и 2018 годах соответственно.</w:t>
      </w:r>
    </w:p>
    <w:p w14:paraId="6D1FA35B" w14:textId="5413BAF5"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Карачаганак в настоящее время является крупнейшим газодобывающим месторождением в Казахстане. Карачаганак осуществляет свою деятельность в рамках соглашения о разделе продукции, заключенного между Правительством Республики Казахстан и консорциумом иностранных инвесторов.</w:t>
      </w:r>
    </w:p>
    <w:p w14:paraId="71CAD4DD" w14:textId="2FBFA5DB"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Добыча природного газа в Казахстане значительно возросла с 1999 года. Согласно казахстанскому законодательству, недропользователи (например, нефтяные компании) обязаны включать проекты утилизации природного газа в свои планы развития. С момента принятия этого законодательного положения добыча природного газа неуклонно росла, и к 2000 году она превысила уровень добычи до обретения Казахстаном независимости. Увеличение добычи казахстанского газа ожидается в первую очередь за счет попутного нефтяного газа с месторождений Тенгиз, Карачаганак и Кашаган.</w:t>
      </w:r>
    </w:p>
    <w:p w14:paraId="0D551767"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sz w:val="24"/>
          <w:szCs w:val="24"/>
          <w:lang w:eastAsia="ru-RU"/>
        </w:rPr>
        <w:t>Природный газ в Казахстане</w:t>
      </w:r>
      <w:r w:rsidRPr="005C53F5">
        <w:rPr>
          <w:rFonts w:ascii="Times New Roman" w:eastAsia="Calibri" w:hAnsi="Times New Roman" w:cs="Times New Roman"/>
          <w:color w:val="000000"/>
          <w:sz w:val="24"/>
          <w:szCs w:val="24"/>
          <w:lang w:eastAsia="ru-RU"/>
        </w:rPr>
        <w:t xml:space="preserve"> – </w:t>
      </w:r>
      <w:r w:rsidRPr="005C53F5">
        <w:rPr>
          <w:rFonts w:ascii="Times New Roman" w:eastAsia="Calibri" w:hAnsi="Times New Roman" w:cs="Times New Roman"/>
          <w:sz w:val="24"/>
          <w:szCs w:val="24"/>
          <w:lang w:eastAsia="ru-RU"/>
        </w:rPr>
        <w:t>это почти полностью попутный</w:t>
      </w:r>
      <w:r w:rsidRPr="005C53F5">
        <w:rPr>
          <w:rFonts w:ascii="Times New Roman" w:eastAsia="Calibri" w:hAnsi="Times New Roman" w:cs="Times New Roman"/>
          <w:color w:val="000000"/>
          <w:sz w:val="24"/>
          <w:szCs w:val="24"/>
          <w:lang w:eastAsia="ru-RU"/>
        </w:rPr>
        <w:t xml:space="preserve"> нефтяной</w:t>
      </w:r>
      <w:r w:rsidRPr="005C53F5">
        <w:rPr>
          <w:rFonts w:ascii="Times New Roman" w:eastAsia="Calibri" w:hAnsi="Times New Roman" w:cs="Times New Roman"/>
          <w:sz w:val="24"/>
          <w:szCs w:val="24"/>
          <w:lang w:eastAsia="ru-RU"/>
        </w:rPr>
        <w:t xml:space="preserve"> газ, то есть он добывается вместе с нефтью. По этой причине некоторые месторождения, в том числе Карачаганакское, повторно закачивают значительные объемы газа в грунт для поддержания устьевого давления сырой нефти для добычи жидкостей. В долгосрочной перспективе, когда жидкости будут исчерпаны, этот газ может быть восстановлен. Попутный газ, который не закачивается повторно, вместо этого сжигается на факелах, что экономически неэффективно и вредно для окружающей среды. В целях сокращения случаев сжигания природного газа на факелах в мае 2005 года правительство приказало всем нефтедобывающим компаниям сократить объемы добычи нефти. Одним из основных источников загрязнения, связанного с разведкой и эксплуатацией нефтяных, газовых и газоконденсатных месторождений, являются продукты сжигания попутного нефтяного газа, и поэтому утилизация попутного нефтяного газа на казахстанских нефтегазовых месторождениях стала вопросом государственной важности. Согласно Кодексу Республики Казахстан от 27 декабря 2017 года № 125-VI ЗРК «О недрах и недропользовании» (далее – «</w:t>
      </w:r>
      <w:r w:rsidRPr="005C53F5">
        <w:rPr>
          <w:rFonts w:ascii="Times New Roman" w:eastAsia="Calibri" w:hAnsi="Times New Roman" w:cs="Times New Roman"/>
          <w:b/>
          <w:bCs/>
          <w:sz w:val="24"/>
          <w:szCs w:val="24"/>
          <w:lang w:eastAsia="ru-RU"/>
        </w:rPr>
        <w:t>Кодекс РК о недрах</w:t>
      </w:r>
      <w:r w:rsidRPr="005C53F5">
        <w:rPr>
          <w:rFonts w:ascii="Times New Roman" w:eastAsia="Calibri" w:hAnsi="Times New Roman" w:cs="Times New Roman"/>
          <w:sz w:val="24"/>
          <w:szCs w:val="24"/>
          <w:lang w:eastAsia="ru-RU"/>
        </w:rPr>
        <w:t>»), Министерство энергетики Республики Казахстан проводит постоянный мониторинг выполнения казахстанскими недропользователями утвержденных программ утилизации попутного нефтяного газа. В соответствии с Кодексом РК о недрах недропользователи обязаны предусмотреть программы развития переработки попутного нефтяного газа, которые должны обновляться каждые три года с целью рационального использования попутного нефтяного газа и снижения воздействия на окружающую среду путем сокращения объемов сжигания газа на факелах или его повторного закачивания (утилизации). С момента введения этих мер в период с 2006 по 2018 год произошло сокращение сжигания газа на факелах с 3,1 до 2,0 млрд кубометров, а добыча нефти увеличилась с 64,9 млн тонн в 2006 году до 78,6 млн тонн</w:t>
      </w:r>
      <w:r w:rsidRPr="005C53F5">
        <w:rPr>
          <w:rFonts w:ascii="Times New Roman" w:eastAsia="Calibri" w:hAnsi="Times New Roman" w:cs="Times New Roman"/>
          <w:color w:val="000000"/>
          <w:sz w:val="24"/>
          <w:szCs w:val="24"/>
          <w:lang w:eastAsia="ru-RU"/>
        </w:rPr>
        <w:t xml:space="preserve"> в 2019 году (оперативные данные за январь-декабрь 2019 года).</w:t>
      </w:r>
    </w:p>
    <w:p w14:paraId="146F7A4D" w14:textId="77777777" w:rsidR="00DD59AC" w:rsidRPr="005C53F5" w:rsidRDefault="00DD59AC" w:rsidP="00057BE5">
      <w:pPr>
        <w:autoSpaceDE w:val="0"/>
        <w:autoSpaceDN w:val="0"/>
        <w:spacing w:after="0" w:line="240" w:lineRule="auto"/>
        <w:ind w:firstLine="709"/>
        <w:jc w:val="both"/>
        <w:rPr>
          <w:rFonts w:ascii="Times New Roman" w:eastAsia="Calibri" w:hAnsi="Times New Roman" w:cs="Times New Roman"/>
          <w:b/>
          <w:bCs/>
          <w:i/>
          <w:iCs/>
          <w:sz w:val="24"/>
          <w:szCs w:val="24"/>
          <w:lang w:eastAsia="ru-RU"/>
        </w:rPr>
      </w:pPr>
      <w:r w:rsidRPr="005C53F5">
        <w:rPr>
          <w:rFonts w:ascii="Times New Roman" w:eastAsia="Calibri" w:hAnsi="Times New Roman" w:cs="Times New Roman"/>
          <w:b/>
          <w:bCs/>
          <w:i/>
          <w:iCs/>
          <w:sz w:val="24"/>
          <w:szCs w:val="24"/>
          <w:lang w:eastAsia="ru-RU"/>
        </w:rPr>
        <w:t>Электроэнергетика</w:t>
      </w:r>
    </w:p>
    <w:p w14:paraId="13B39213" w14:textId="66CCB2A1" w:rsidR="00DD59AC" w:rsidRPr="005C53F5" w:rsidRDefault="00DD59AC" w:rsidP="00057BE5">
      <w:pPr>
        <w:autoSpaceDE w:val="0"/>
        <w:autoSpaceDN w:val="0"/>
        <w:spacing w:after="0" w:line="240" w:lineRule="auto"/>
        <w:ind w:firstLine="709"/>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Согласно аналитическому обзору рынка электроэнергии и угля Казахстана АО «Самрук-Энерго» на 2018 год в Казахстане электричество генерировали 138 электростанций. Объем производства электроэнергии в 2018 году составил 107 268,8 млн кВтч, что на 4% больше по сравнению с 2017 годом. Из этого объема теплоэлектроцентрали (ТЭЦ)</w:t>
      </w:r>
      <w:r w:rsidRPr="005C53F5" w:rsidDel="009B49D0">
        <w:rPr>
          <w:rFonts w:ascii="Times New Roman" w:eastAsia="Calibri" w:hAnsi="Times New Roman" w:cs="Times New Roman"/>
          <w:color w:val="000000"/>
          <w:sz w:val="24"/>
          <w:szCs w:val="24"/>
          <w:lang w:eastAsia="ru-RU"/>
        </w:rPr>
        <w:t xml:space="preserve"> </w:t>
      </w:r>
      <w:r w:rsidRPr="005C53F5">
        <w:rPr>
          <w:rFonts w:ascii="Times New Roman" w:eastAsia="Calibri" w:hAnsi="Times New Roman" w:cs="Times New Roman"/>
          <w:color w:val="000000"/>
          <w:sz w:val="24"/>
          <w:szCs w:val="24"/>
          <w:lang w:eastAsia="ru-RU"/>
        </w:rPr>
        <w:t xml:space="preserve">выработали 85 746,3 млн кВтч, газотурбинные электростанции 6 467,4 млн кВтч, гидроэлектростанции 10 376,3 млн кВтч, тепловые электростанции (кроме ТЭЦ) - 3 299,4 млн кВтч, ветровые станции 385,3 млн кВтч, солнечные электростанции 141,3 млн кВтч. В 2019 году (оперативные данные за январь-февраль 2019 года) в Казахстане было произведено 107 459,2 млн кВтч, что на 0,2% меньше по сравнению с 2018 годом. Из этого объема теплоэлектроцентрали (ТЭЦ) выработали 86 162,4 млн кВтч, газотурбинные электростанции 6 418,7 млн кВтч, гидроэлектростанции 9 941,7 млн кВтч, ветровые станции 548,9 млн кВтч, солнечные электростанции 236,0 млн кВтч. Совокупная установленная мощность в Казахстане по состоянию на 31 декабря 2019 года составила 21 902 МВт, а располагаемая мощность </w:t>
      </w:r>
      <w:r w:rsidRPr="005C53F5">
        <w:rPr>
          <w:rFonts w:ascii="Times New Roman" w:eastAsia="Calibri" w:hAnsi="Times New Roman" w:cs="Times New Roman"/>
          <w:sz w:val="24"/>
          <w:szCs w:val="24"/>
          <w:lang w:eastAsia="ru-RU"/>
        </w:rPr>
        <w:t>–</w:t>
      </w:r>
      <w:r w:rsidRPr="005C53F5">
        <w:rPr>
          <w:rFonts w:ascii="Times New Roman" w:eastAsia="Calibri" w:hAnsi="Times New Roman" w:cs="Times New Roman"/>
          <w:color w:val="000000"/>
          <w:sz w:val="24"/>
          <w:szCs w:val="24"/>
          <w:lang w:eastAsia="ru-RU"/>
        </w:rPr>
        <w:t xml:space="preserve"> 18 895 МВт (разница обусловлена возрастом и аварийностью некоторых активов и потерями в системе передачи). Снижение объема производства электроэнергии за 2019 год по сравнению с 2018 годом было обусловлено главным образом снижением экспорта электроэнергии.</w:t>
      </w:r>
    </w:p>
    <w:p w14:paraId="6AF79BEC" w14:textId="77777777" w:rsidR="00DD59AC" w:rsidRPr="005C53F5" w:rsidRDefault="00DD59AC" w:rsidP="00057BE5">
      <w:pPr>
        <w:keepNext/>
        <w:autoSpaceDE w:val="0"/>
        <w:autoSpaceDN w:val="0"/>
        <w:spacing w:after="0" w:line="240" w:lineRule="auto"/>
        <w:jc w:val="both"/>
        <w:rPr>
          <w:rFonts w:ascii="Times New Roman" w:eastAsia="Calibri" w:hAnsi="Times New Roman" w:cs="Times New Roman"/>
          <w:color w:val="000000"/>
          <w:sz w:val="24"/>
          <w:szCs w:val="24"/>
          <w:lang w:eastAsia="ru-RU"/>
        </w:rPr>
      </w:pPr>
    </w:p>
    <w:tbl>
      <w:tblPr>
        <w:tblStyle w:val="70"/>
        <w:tblW w:w="5000" w:type="pct"/>
        <w:tblLook w:val="04A0" w:firstRow="1" w:lastRow="0" w:firstColumn="1" w:lastColumn="0" w:noHBand="0" w:noVBand="1"/>
      </w:tblPr>
      <w:tblGrid>
        <w:gridCol w:w="1815"/>
        <w:gridCol w:w="1582"/>
        <w:gridCol w:w="1582"/>
        <w:gridCol w:w="1581"/>
        <w:gridCol w:w="1581"/>
        <w:gridCol w:w="1486"/>
      </w:tblGrid>
      <w:tr w:rsidR="00DD59AC" w:rsidRPr="005C53F5" w14:paraId="73AF6EBF" w14:textId="77777777" w:rsidTr="007D69FB">
        <w:tc>
          <w:tcPr>
            <w:tcW w:w="942" w:type="pct"/>
            <w:vAlign w:val="center"/>
          </w:tcPr>
          <w:p w14:paraId="38258F57" w14:textId="77777777" w:rsidR="00DD59AC" w:rsidRPr="005C53F5" w:rsidRDefault="00DD59AC" w:rsidP="00057BE5">
            <w:pPr>
              <w:keepNext/>
              <w:rPr>
                <w:rFonts w:ascii="Times New Roman" w:eastAsia="Calibri" w:hAnsi="Times New Roman" w:cs="Times New Roman"/>
                <w:b/>
                <w:bCs/>
                <w:color w:val="000000"/>
                <w:sz w:val="24"/>
                <w:szCs w:val="24"/>
              </w:rPr>
            </w:pPr>
            <w:r w:rsidRPr="005C53F5">
              <w:rPr>
                <w:rFonts w:ascii="Times New Roman" w:eastAsia="Calibri" w:hAnsi="Times New Roman" w:cs="Times New Roman"/>
                <w:b/>
                <w:bCs/>
                <w:color w:val="000000"/>
                <w:sz w:val="24"/>
                <w:szCs w:val="24"/>
              </w:rPr>
              <w:t>Показатель</w:t>
            </w:r>
          </w:p>
        </w:tc>
        <w:tc>
          <w:tcPr>
            <w:tcW w:w="821" w:type="pct"/>
            <w:vAlign w:val="center"/>
          </w:tcPr>
          <w:p w14:paraId="13F8D7F2" w14:textId="77777777" w:rsidR="00DD59AC" w:rsidRPr="005C53F5" w:rsidRDefault="00DD59AC" w:rsidP="00057BE5">
            <w:pPr>
              <w:keepNext/>
              <w:jc w:val="center"/>
              <w:rPr>
                <w:rFonts w:ascii="Times New Roman" w:eastAsia="Calibri" w:hAnsi="Times New Roman" w:cs="Times New Roman"/>
                <w:b/>
                <w:bCs/>
                <w:color w:val="000000"/>
                <w:sz w:val="24"/>
                <w:szCs w:val="24"/>
              </w:rPr>
            </w:pPr>
            <w:r w:rsidRPr="005C53F5">
              <w:rPr>
                <w:rFonts w:ascii="Times New Roman" w:eastAsia="Calibri" w:hAnsi="Times New Roman" w:cs="Times New Roman"/>
                <w:b/>
                <w:bCs/>
                <w:color w:val="000000"/>
                <w:sz w:val="24"/>
                <w:szCs w:val="24"/>
              </w:rPr>
              <w:t>2015</w:t>
            </w:r>
          </w:p>
        </w:tc>
        <w:tc>
          <w:tcPr>
            <w:tcW w:w="821" w:type="pct"/>
            <w:vAlign w:val="center"/>
          </w:tcPr>
          <w:p w14:paraId="4C812280" w14:textId="77777777" w:rsidR="00DD59AC" w:rsidRPr="005C53F5" w:rsidRDefault="00DD59AC" w:rsidP="00057BE5">
            <w:pPr>
              <w:keepNext/>
              <w:jc w:val="center"/>
              <w:rPr>
                <w:rFonts w:ascii="Times New Roman" w:eastAsia="Calibri" w:hAnsi="Times New Roman" w:cs="Times New Roman"/>
                <w:b/>
                <w:bCs/>
                <w:color w:val="000000"/>
                <w:sz w:val="24"/>
                <w:szCs w:val="24"/>
              </w:rPr>
            </w:pPr>
            <w:r w:rsidRPr="005C53F5">
              <w:rPr>
                <w:rFonts w:ascii="Times New Roman" w:eastAsia="Calibri" w:hAnsi="Times New Roman" w:cs="Times New Roman"/>
                <w:b/>
                <w:bCs/>
                <w:color w:val="000000"/>
                <w:sz w:val="24"/>
                <w:szCs w:val="24"/>
              </w:rPr>
              <w:t>2016</w:t>
            </w:r>
          </w:p>
        </w:tc>
        <w:tc>
          <w:tcPr>
            <w:tcW w:w="821" w:type="pct"/>
            <w:vAlign w:val="center"/>
          </w:tcPr>
          <w:p w14:paraId="11155C33" w14:textId="77777777" w:rsidR="00DD59AC" w:rsidRPr="005C53F5" w:rsidRDefault="00DD59AC" w:rsidP="00057BE5">
            <w:pPr>
              <w:keepNext/>
              <w:jc w:val="center"/>
              <w:rPr>
                <w:rFonts w:ascii="Times New Roman" w:eastAsia="Calibri" w:hAnsi="Times New Roman" w:cs="Times New Roman"/>
                <w:b/>
                <w:bCs/>
                <w:color w:val="000000"/>
                <w:sz w:val="24"/>
                <w:szCs w:val="24"/>
              </w:rPr>
            </w:pPr>
            <w:r w:rsidRPr="005C53F5">
              <w:rPr>
                <w:rFonts w:ascii="Times New Roman" w:eastAsia="Calibri" w:hAnsi="Times New Roman" w:cs="Times New Roman"/>
                <w:b/>
                <w:bCs/>
                <w:color w:val="000000"/>
                <w:sz w:val="24"/>
                <w:szCs w:val="24"/>
              </w:rPr>
              <w:t>2017</w:t>
            </w:r>
          </w:p>
        </w:tc>
        <w:tc>
          <w:tcPr>
            <w:tcW w:w="821" w:type="pct"/>
            <w:vAlign w:val="center"/>
          </w:tcPr>
          <w:p w14:paraId="7B7EBFE1" w14:textId="77777777" w:rsidR="00DD59AC" w:rsidRPr="005C53F5" w:rsidRDefault="00DD59AC" w:rsidP="00057BE5">
            <w:pPr>
              <w:keepNext/>
              <w:jc w:val="center"/>
              <w:rPr>
                <w:rFonts w:ascii="Times New Roman" w:eastAsia="Calibri" w:hAnsi="Times New Roman" w:cs="Times New Roman"/>
                <w:b/>
                <w:bCs/>
                <w:color w:val="000000"/>
                <w:sz w:val="24"/>
                <w:szCs w:val="24"/>
              </w:rPr>
            </w:pPr>
            <w:r w:rsidRPr="005C53F5">
              <w:rPr>
                <w:rFonts w:ascii="Times New Roman" w:eastAsia="Calibri" w:hAnsi="Times New Roman" w:cs="Times New Roman"/>
                <w:b/>
                <w:bCs/>
                <w:color w:val="000000"/>
                <w:sz w:val="24"/>
                <w:szCs w:val="24"/>
              </w:rPr>
              <w:t>2018</w:t>
            </w:r>
          </w:p>
        </w:tc>
        <w:tc>
          <w:tcPr>
            <w:tcW w:w="772" w:type="pct"/>
            <w:vAlign w:val="center"/>
          </w:tcPr>
          <w:p w14:paraId="48941326" w14:textId="77777777" w:rsidR="00DD59AC" w:rsidRPr="005C53F5" w:rsidRDefault="00DD59AC" w:rsidP="00057BE5">
            <w:pPr>
              <w:keepNext/>
              <w:jc w:val="center"/>
              <w:rPr>
                <w:rFonts w:ascii="Times New Roman" w:eastAsia="Calibri" w:hAnsi="Times New Roman" w:cs="Times New Roman"/>
                <w:b/>
                <w:bCs/>
                <w:color w:val="000000"/>
                <w:sz w:val="24"/>
                <w:szCs w:val="24"/>
              </w:rPr>
            </w:pPr>
            <w:r w:rsidRPr="005C53F5">
              <w:rPr>
                <w:rFonts w:ascii="Times New Roman" w:eastAsia="Calibri" w:hAnsi="Times New Roman" w:cs="Times New Roman"/>
                <w:b/>
                <w:bCs/>
                <w:color w:val="000000"/>
                <w:sz w:val="24"/>
                <w:szCs w:val="24"/>
              </w:rPr>
              <w:t>2019</w:t>
            </w:r>
          </w:p>
        </w:tc>
      </w:tr>
      <w:tr w:rsidR="00DD59AC" w:rsidRPr="005C53F5" w14:paraId="0CD2E5D5" w14:textId="77777777" w:rsidTr="007D69FB">
        <w:tc>
          <w:tcPr>
            <w:tcW w:w="942" w:type="pct"/>
            <w:vAlign w:val="center"/>
          </w:tcPr>
          <w:p w14:paraId="2C387C57" w14:textId="77777777" w:rsidR="00DD59AC" w:rsidRPr="005C53F5" w:rsidRDefault="00DD59AC" w:rsidP="00057BE5">
            <w:pPr>
              <w:keepNext/>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Установленная мощность, мВТ</w:t>
            </w:r>
          </w:p>
        </w:tc>
        <w:tc>
          <w:tcPr>
            <w:tcW w:w="821" w:type="pct"/>
            <w:vAlign w:val="center"/>
          </w:tcPr>
          <w:p w14:paraId="0E06DF43" w14:textId="77777777" w:rsidR="00DD59AC" w:rsidRPr="005C53F5" w:rsidRDefault="00DD59AC" w:rsidP="00057BE5">
            <w:pPr>
              <w:keepNext/>
              <w:jc w:val="center"/>
              <w:rPr>
                <w:rFonts w:ascii="Times New Roman" w:eastAsia="Calibri" w:hAnsi="Times New Roman" w:cs="Times New Roman"/>
                <w:color w:val="000000"/>
                <w:sz w:val="24"/>
                <w:szCs w:val="24"/>
              </w:rPr>
            </w:pPr>
            <w:r w:rsidRPr="005C53F5">
              <w:rPr>
                <w:rFonts w:ascii="Times New Roman" w:hAnsi="Times New Roman"/>
                <w:color w:val="000000"/>
                <w:sz w:val="24"/>
                <w:lang w:val="en-US"/>
              </w:rPr>
              <w:t xml:space="preserve">20 </w:t>
            </w:r>
            <w:r w:rsidRPr="005C53F5">
              <w:rPr>
                <w:rFonts w:ascii="Times New Roman" w:eastAsia="Calibri" w:hAnsi="Times New Roman" w:cs="Times New Roman"/>
                <w:color w:val="000000"/>
                <w:sz w:val="24"/>
                <w:szCs w:val="24"/>
                <w:lang w:val="en-US"/>
              </w:rPr>
              <w:t>844</w:t>
            </w:r>
          </w:p>
        </w:tc>
        <w:tc>
          <w:tcPr>
            <w:tcW w:w="821" w:type="pct"/>
            <w:vAlign w:val="center"/>
          </w:tcPr>
          <w:p w14:paraId="38AFD605" w14:textId="77777777" w:rsidR="00DD59AC" w:rsidRPr="005C53F5" w:rsidRDefault="00DD59AC" w:rsidP="00057BE5">
            <w:pPr>
              <w:keepNext/>
              <w:jc w:val="center"/>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21 307</w:t>
            </w:r>
          </w:p>
        </w:tc>
        <w:tc>
          <w:tcPr>
            <w:tcW w:w="821" w:type="pct"/>
            <w:vAlign w:val="center"/>
          </w:tcPr>
          <w:p w14:paraId="4CB25EFF" w14:textId="77777777" w:rsidR="00DD59AC" w:rsidRPr="005C53F5" w:rsidRDefault="00DD59AC" w:rsidP="00057BE5">
            <w:pPr>
              <w:keepNext/>
              <w:jc w:val="center"/>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22 055,5</w:t>
            </w:r>
          </w:p>
        </w:tc>
        <w:tc>
          <w:tcPr>
            <w:tcW w:w="821" w:type="pct"/>
            <w:vAlign w:val="center"/>
          </w:tcPr>
          <w:p w14:paraId="71F34D07" w14:textId="77777777" w:rsidR="00DD59AC" w:rsidRPr="005C53F5" w:rsidRDefault="00DD59AC" w:rsidP="00057BE5">
            <w:pPr>
              <w:keepNext/>
              <w:jc w:val="center"/>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21 672,9</w:t>
            </w:r>
          </w:p>
        </w:tc>
        <w:tc>
          <w:tcPr>
            <w:tcW w:w="772" w:type="pct"/>
            <w:vAlign w:val="center"/>
          </w:tcPr>
          <w:p w14:paraId="1DDEF111" w14:textId="77777777" w:rsidR="00DD59AC" w:rsidRPr="005C53F5" w:rsidRDefault="00DD59AC" w:rsidP="00057BE5">
            <w:pPr>
              <w:keepNext/>
              <w:jc w:val="center"/>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21 902</w:t>
            </w:r>
          </w:p>
        </w:tc>
      </w:tr>
      <w:tr w:rsidR="00DD59AC" w:rsidRPr="005C53F5" w14:paraId="0B757645" w14:textId="77777777" w:rsidTr="007D69FB">
        <w:tc>
          <w:tcPr>
            <w:tcW w:w="942" w:type="pct"/>
            <w:vAlign w:val="center"/>
          </w:tcPr>
          <w:p w14:paraId="11C7C8E4" w14:textId="77777777" w:rsidR="00DD59AC" w:rsidRPr="005C53F5" w:rsidRDefault="00DD59AC" w:rsidP="00057BE5">
            <w:pPr>
              <w:keepNext/>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Располагаемая мощность, мВТ</w:t>
            </w:r>
          </w:p>
        </w:tc>
        <w:tc>
          <w:tcPr>
            <w:tcW w:w="821" w:type="pct"/>
            <w:vAlign w:val="center"/>
          </w:tcPr>
          <w:p w14:paraId="38728242" w14:textId="77777777" w:rsidR="00DD59AC" w:rsidRPr="005C53F5" w:rsidRDefault="00DD59AC" w:rsidP="00057BE5">
            <w:pPr>
              <w:keepNext/>
              <w:jc w:val="center"/>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16 945,4</w:t>
            </w:r>
          </w:p>
        </w:tc>
        <w:tc>
          <w:tcPr>
            <w:tcW w:w="821" w:type="pct"/>
            <w:vAlign w:val="center"/>
          </w:tcPr>
          <w:p w14:paraId="1BFBF6FE" w14:textId="77777777" w:rsidR="00DD59AC" w:rsidRPr="005C53F5" w:rsidRDefault="00DD59AC" w:rsidP="00057BE5">
            <w:pPr>
              <w:keepNext/>
              <w:jc w:val="center"/>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17 503,5</w:t>
            </w:r>
          </w:p>
        </w:tc>
        <w:tc>
          <w:tcPr>
            <w:tcW w:w="821" w:type="pct"/>
            <w:vAlign w:val="center"/>
          </w:tcPr>
          <w:p w14:paraId="2C3F4006" w14:textId="77777777" w:rsidR="00DD59AC" w:rsidRPr="005C53F5" w:rsidRDefault="00DD59AC" w:rsidP="00057BE5">
            <w:pPr>
              <w:keepNext/>
              <w:jc w:val="center"/>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18 789,1</w:t>
            </w:r>
          </w:p>
        </w:tc>
        <w:tc>
          <w:tcPr>
            <w:tcW w:w="821" w:type="pct"/>
            <w:vAlign w:val="center"/>
          </w:tcPr>
          <w:p w14:paraId="1187E02D" w14:textId="77777777" w:rsidR="00DD59AC" w:rsidRPr="005C53F5" w:rsidRDefault="00DD59AC" w:rsidP="00057BE5">
            <w:pPr>
              <w:keepNext/>
              <w:jc w:val="center"/>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18 791</w:t>
            </w:r>
          </w:p>
        </w:tc>
        <w:tc>
          <w:tcPr>
            <w:tcW w:w="772" w:type="pct"/>
            <w:vAlign w:val="center"/>
          </w:tcPr>
          <w:p w14:paraId="24AFE874" w14:textId="77777777" w:rsidR="00DD59AC" w:rsidRPr="005C53F5" w:rsidRDefault="00DD59AC" w:rsidP="00057BE5">
            <w:pPr>
              <w:keepNext/>
              <w:jc w:val="center"/>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18 895</w:t>
            </w:r>
          </w:p>
        </w:tc>
      </w:tr>
    </w:tbl>
    <w:p w14:paraId="3446FD86" w14:textId="77777777" w:rsidR="00DD59AC" w:rsidRPr="005C53F5" w:rsidRDefault="00DD59AC" w:rsidP="00057BE5">
      <w:pPr>
        <w:keepNext/>
        <w:autoSpaceDE w:val="0"/>
        <w:autoSpaceDN w:val="0"/>
        <w:spacing w:after="0" w:line="240" w:lineRule="auto"/>
        <w:jc w:val="both"/>
        <w:rPr>
          <w:rFonts w:ascii="Times New Roman" w:eastAsia="Calibri" w:hAnsi="Times New Roman" w:cs="Times New Roman"/>
          <w:sz w:val="24"/>
          <w:szCs w:val="24"/>
          <w:lang w:eastAsia="ru-RU"/>
        </w:rPr>
      </w:pPr>
    </w:p>
    <w:p w14:paraId="2278C9F5" w14:textId="1A7248EC"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На долю электроэнергетики от общего ВВП Казахстана, согласно статистике Bloomberg, приходится за 2014 год – 1,6 %, за 2015 год – 1,7%, за 2016 год – 1,7 %, за 2017 год – 1,7 %, за 2018 год – 1,6 % и на за январь-декабрь 2019 года – 1,5%. В 2018 году Казахстан экспортировал примерно 4,5% от общего объема произведенной им электроэнергии или 5</w:t>
      </w:r>
      <w:r w:rsidRPr="005C53F5">
        <w:rPr>
          <w:rFonts w:ascii="Times New Roman" w:eastAsia="Calibri" w:hAnsi="Times New Roman" w:cs="Times New Roman"/>
          <w:sz w:val="24"/>
          <w:szCs w:val="24"/>
          <w:lang w:val="en-US" w:eastAsia="ru-RU"/>
        </w:rPr>
        <w:t> </w:t>
      </w:r>
      <w:r w:rsidRPr="005C53F5">
        <w:rPr>
          <w:rFonts w:ascii="Times New Roman" w:eastAsia="Calibri" w:hAnsi="Times New Roman" w:cs="Times New Roman"/>
          <w:sz w:val="24"/>
          <w:szCs w:val="24"/>
          <w:lang w:eastAsia="ru-RU"/>
        </w:rPr>
        <w:t>041,6 млн кВт/ч, а в 2019 году – 2,06% или 2</w:t>
      </w:r>
      <w:r w:rsidRPr="005C53F5">
        <w:rPr>
          <w:rFonts w:ascii="Times New Roman" w:hAnsi="Times New Roman"/>
          <w:sz w:val="24"/>
          <w:lang w:val="en-US"/>
        </w:rPr>
        <w:t> </w:t>
      </w:r>
      <w:r w:rsidRPr="005C53F5">
        <w:rPr>
          <w:rFonts w:ascii="Times New Roman" w:eastAsia="Calibri" w:hAnsi="Times New Roman" w:cs="Times New Roman"/>
          <w:sz w:val="24"/>
          <w:szCs w:val="24"/>
          <w:lang w:eastAsia="ru-RU"/>
        </w:rPr>
        <w:t>404,4 млн кВт/ч соответственно. При этом в 2018 году в Россию экспортировалось 99,6% электроэнергии от общего объёма экспорта электрической энергии, а в ОЭС Центральной Азии 0,4%. В 2019 году ситуация несколько изменилась: в Россию экспортировалось 57,6%, а в ОЭС Центральной Азии 42,4%. За 2016-2019 годы экспорт электроэнергии из Казахстана вырос и составил 2</w:t>
      </w:r>
      <w:r w:rsidRPr="005C53F5">
        <w:rPr>
          <w:rFonts w:ascii="Times New Roman" w:eastAsia="Calibri" w:hAnsi="Times New Roman" w:cs="Times New Roman"/>
          <w:sz w:val="24"/>
          <w:szCs w:val="24"/>
          <w:lang w:val="en-US" w:eastAsia="ru-RU"/>
        </w:rPr>
        <w:t> </w:t>
      </w:r>
      <w:r w:rsidRPr="005C53F5">
        <w:rPr>
          <w:rFonts w:ascii="Times New Roman" w:eastAsia="Calibri" w:hAnsi="Times New Roman" w:cs="Times New Roman"/>
          <w:sz w:val="24"/>
          <w:szCs w:val="24"/>
          <w:lang w:eastAsia="ru-RU"/>
        </w:rPr>
        <w:t>571,6 млн кВт/ч, 5</w:t>
      </w:r>
      <w:r w:rsidRPr="005C53F5">
        <w:rPr>
          <w:rFonts w:ascii="Times New Roman" w:hAnsi="Times New Roman"/>
          <w:sz w:val="24"/>
          <w:lang w:val="en-US"/>
        </w:rPr>
        <w:t> </w:t>
      </w:r>
      <w:r w:rsidRPr="005C53F5">
        <w:rPr>
          <w:rFonts w:ascii="Times New Roman" w:eastAsia="Calibri" w:hAnsi="Times New Roman" w:cs="Times New Roman"/>
          <w:sz w:val="24"/>
          <w:szCs w:val="24"/>
          <w:lang w:eastAsia="ru-RU"/>
        </w:rPr>
        <w:t>692,4 млн кВт/ч, 5</w:t>
      </w:r>
      <w:r w:rsidRPr="005C53F5">
        <w:rPr>
          <w:rFonts w:ascii="Times New Roman" w:eastAsia="Calibri" w:hAnsi="Times New Roman" w:cs="Times New Roman"/>
          <w:sz w:val="24"/>
          <w:szCs w:val="24"/>
          <w:lang w:val="en-US" w:eastAsia="ru-RU"/>
        </w:rPr>
        <w:t> </w:t>
      </w:r>
      <w:r w:rsidRPr="005C53F5">
        <w:rPr>
          <w:rFonts w:ascii="Times New Roman" w:eastAsia="Calibri" w:hAnsi="Times New Roman" w:cs="Times New Roman"/>
          <w:sz w:val="24"/>
          <w:szCs w:val="24"/>
          <w:lang w:eastAsia="ru-RU"/>
        </w:rPr>
        <w:t>041,6 млн кВт/ч и 2</w:t>
      </w:r>
      <w:r w:rsidRPr="005C53F5">
        <w:rPr>
          <w:rFonts w:ascii="Times New Roman" w:hAnsi="Times New Roman"/>
          <w:sz w:val="24"/>
          <w:lang w:val="en-US"/>
        </w:rPr>
        <w:t> </w:t>
      </w:r>
      <w:r w:rsidRPr="005C53F5">
        <w:rPr>
          <w:rFonts w:ascii="Times New Roman" w:eastAsia="Calibri" w:hAnsi="Times New Roman" w:cs="Times New Roman"/>
          <w:sz w:val="24"/>
          <w:szCs w:val="24"/>
          <w:lang w:eastAsia="ru-RU"/>
        </w:rPr>
        <w:t>404,4 млн кВт/ч соответственно. В связи с тем, что казахстанская сеть передачи и распределения электроэнергии была построена как часть электроэнергетической системы бывшего СССР и сосредоточена в северном регионе Казахстана, который находится недалеко от основных источников выработки электроэнергии, Казахстан импортирует электроэнергию для обслуживания своей южной и западной зон. Импорт за 2018 год из России составил 1</w:t>
      </w:r>
      <w:r w:rsidRPr="005C53F5">
        <w:rPr>
          <w:rFonts w:ascii="Times New Roman" w:eastAsia="Calibri" w:hAnsi="Times New Roman" w:cs="Times New Roman"/>
          <w:sz w:val="24"/>
          <w:szCs w:val="24"/>
          <w:lang w:val="en-US" w:eastAsia="ru-RU"/>
        </w:rPr>
        <w:t> </w:t>
      </w:r>
      <w:r w:rsidRPr="005C53F5">
        <w:rPr>
          <w:rFonts w:ascii="Times New Roman" w:eastAsia="Calibri" w:hAnsi="Times New Roman" w:cs="Times New Roman"/>
          <w:sz w:val="24"/>
          <w:szCs w:val="24"/>
          <w:lang w:eastAsia="ru-RU"/>
        </w:rPr>
        <w:t xml:space="preserve">541,2 млн кВтч, а за </w:t>
      </w:r>
      <w:r w:rsidRPr="005C53F5">
        <w:rPr>
          <w:rFonts w:ascii="Times New Roman" w:eastAsia="Calibri" w:hAnsi="Times New Roman" w:cs="Times New Roman"/>
          <w:sz w:val="24"/>
          <w:szCs w:val="24"/>
          <w:lang w:val="kk-KZ" w:eastAsia="ru-RU"/>
        </w:rPr>
        <w:t xml:space="preserve">январь-декабрь </w:t>
      </w:r>
      <w:r w:rsidRPr="005C53F5">
        <w:rPr>
          <w:rFonts w:ascii="Times New Roman" w:eastAsia="Calibri" w:hAnsi="Times New Roman" w:cs="Times New Roman"/>
          <w:sz w:val="24"/>
          <w:szCs w:val="24"/>
          <w:lang w:eastAsia="ru-RU"/>
        </w:rPr>
        <w:t xml:space="preserve">2019 – </w:t>
      </w:r>
      <w:r w:rsidRPr="005C53F5">
        <w:rPr>
          <w:rFonts w:ascii="Times New Roman" w:hAnsi="Times New Roman"/>
          <w:sz w:val="24"/>
          <w:lang w:val="kk-KZ"/>
        </w:rPr>
        <w:t>1 </w:t>
      </w:r>
      <w:r w:rsidRPr="005C53F5">
        <w:rPr>
          <w:rFonts w:ascii="Times New Roman" w:eastAsia="Calibri" w:hAnsi="Times New Roman" w:cs="Times New Roman"/>
          <w:sz w:val="24"/>
          <w:szCs w:val="24"/>
          <w:lang w:val="kk-KZ" w:eastAsia="ru-RU"/>
        </w:rPr>
        <w:t>651,8</w:t>
      </w:r>
      <w:r w:rsidRPr="005C53F5">
        <w:rPr>
          <w:rFonts w:ascii="Times New Roman" w:eastAsia="Calibri" w:hAnsi="Times New Roman" w:cs="Times New Roman"/>
          <w:sz w:val="24"/>
          <w:szCs w:val="24"/>
          <w:lang w:eastAsia="ru-RU"/>
        </w:rPr>
        <w:t xml:space="preserve"> млн кВтч. </w:t>
      </w:r>
    </w:p>
    <w:p w14:paraId="0EE89266" w14:textId="1E437488"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По данным системного оператора единой электроэнергетической системы Казахстана, в 2019 году по Республике Казахстан наблюдался рост потребления электрической энергии в сравнении с показателями 2018 года. Так, в северной зоне Республики Казахстан потребление увеличилось на 2%, в южной зоне на 3%, и в западной зоне на 0,2%. Потребление в 2019 году составило 105 193 млн кВтч, в 2018 году 103 228 млн кВтч – рост на 2%. В северной зоне потребление в 2019 году составило 69 053,4 млн кВтч, в 2018 году 67856,3 млн кВтч – рост на 1,76%, в южной зоне в 2019 году составило 22 680,7 млн кВтч, в 2018 году 21 940,1 млн кВтч – рост на 3,375%, в западной зоне в 2019 году составило 13 459 млн кВтч, в 2018 году 13 432 млн кВтч – рост на 0,2%.</w:t>
      </w:r>
    </w:p>
    <w:p w14:paraId="0B451718" w14:textId="1CDA3B48"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Также стоит отметить, что в 2019 году по сравнению с 2018 годом индекс промышленного производства составил 103,8%. Увеличение объемов производства зафиксировано в 15 регионах Республики Казахстан, снижение наблюдалось в Кызылординской и Западно-Казахстанской областях. За семь месяцев, закончившихся 31 июля 2019 года, объем выработки электроэнергии составил 60,4 млрд кВт/ч, или 95,5% от объема выработки электроэнергии за семь месяцев, закончившихся 31 июля 2018 года, при этом объем потребления электроэнергии составил 60,4 млрд кВт/ч. Снижение объема производства электроэнергии за семь месяцев, закончившихся 31 июля 2019 года, по сравнению с семью месяцами, закончившимися 31 июля 2018 года, было обусловлено главным образом снижением экспорта электроэнергии</w:t>
      </w:r>
      <w:r w:rsidRPr="005C53F5">
        <w:rPr>
          <w:rFonts w:ascii="Times New Roman" w:eastAsia="Calibri" w:hAnsi="Times New Roman" w:cs="Times New Roman"/>
          <w:color w:val="000000"/>
          <w:sz w:val="24"/>
          <w:szCs w:val="24"/>
          <w:lang w:eastAsia="ru-RU"/>
        </w:rPr>
        <w:t>. Ранее</w:t>
      </w:r>
      <w:r w:rsidRPr="005C53F5">
        <w:rPr>
          <w:rFonts w:ascii="Times New Roman" w:eastAsia="Calibri" w:hAnsi="Times New Roman" w:cs="Times New Roman"/>
          <w:sz w:val="24"/>
          <w:szCs w:val="24"/>
          <w:lang w:eastAsia="ru-RU"/>
        </w:rPr>
        <w:t xml:space="preserve"> Россия была основным покупателем экспортируемой электроэнергии из Казахстана, и большая часть такой электроэнергии поступала с Экибастузской ГРЭС-1. Однако в августе 2018 года российская сторона отказалась продлевать соглашение с Экибастузской ГРЭС-1, что негативно сказалось на экспорте. </w:t>
      </w:r>
    </w:p>
    <w:p w14:paraId="7493A47F"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Объем выработки электроэнергии за 12 месяцев 2019 года составил 106 млрд кВт/ч, потребление 105,1 млрд кВт/ч. Объем выработки электроэнергии за 12 месяцев 2018 года составил 106,8 млрд кВт/ч, потребление 103,2 млрд кВт/ч.</w:t>
      </w:r>
    </w:p>
    <w:p w14:paraId="5F1A7F7D"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 xml:space="preserve">Производство электрической энергии в Казахстане осуществляют 138 электрических станций различной формы собственности. Электрические станции разделяются на электростанции национального значения, электростанции промышленного назначения и электростанции регионального назначения. К электрическим станциям национального значения относятся крупные тепловые электрические станции, обеспечивающие выработку и продажу электроэнергии потребителям на оптовом рынке электрической энергии Республики Казахстан: ТОО «Экибастузская ГРЭС-1» им. Б.Г. Нуржанова, АО «Станция Экибастузская ГРЭС-2», ЭС АО «ЕЭК» ERG, «Евразийская группа», ГРЭС Топар ТОО «Kazakhmys energy», АО «Жамбылская ГРЭС» им. Т.И. Батурова, а также гидравлические электростанции большой мощности, используемые дополнительно и для регулирования графика нагрузки ЕЭС РК: Бухтарминский ГЭК ТОО «Казцинк», ТОО «AES Усть-Каменогорская ГЭС», ТОО «AES Шульбинская ГЭС». К электростанциям промышленного значения относятся ТЭЦ с комбинированным производством электрической и тепловой энергии, которые служат для электро-теплоснабжения крупных промышленных предприятий и близлежащих населенных пунктов: ТЭЦ-3 ТОО «Караганда Энергоцентр», ТЭЦ ПВС, ТЭЦ-2 АО «Арселор Миттал Темиртау», ТЭЦ АО «ССГПО» ERG, «Евразийская группа», Балхашская ТЭЦ, Жезказганская ТЭЦ ТОО «Kazakhmys energy», ТЭЦ-1 АО «Алюминий Казахстана» ERG, «Евразийская группа» и другие. Электростанции регионального значения </w:t>
      </w:r>
      <w:r w:rsidRPr="005C53F5">
        <w:rPr>
          <w:rFonts w:ascii="Times New Roman" w:eastAsia="Calibri" w:hAnsi="Times New Roman" w:cs="Times New Roman"/>
          <w:sz w:val="24"/>
          <w:szCs w:val="24"/>
          <w:lang w:eastAsia="ru-RU"/>
        </w:rPr>
        <w:t>–</w:t>
      </w:r>
      <w:r w:rsidRPr="005C53F5">
        <w:rPr>
          <w:rFonts w:ascii="Times New Roman" w:eastAsia="Calibri" w:hAnsi="Times New Roman" w:cs="Times New Roman"/>
          <w:color w:val="000000"/>
          <w:sz w:val="24"/>
          <w:szCs w:val="24"/>
          <w:lang w:eastAsia="ru-RU"/>
        </w:rPr>
        <w:t xml:space="preserve"> это ТЭЦ, интегрированные с территориями, которые осуществляют реализацию электрической энергии через сети региональных электросетевых компаний и энергопередающих организаций, а также теплоснабжение близлежащих городов. </w:t>
      </w:r>
    </w:p>
    <w:p w14:paraId="1699D938"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Сеть передачи электроэнергии Казахстана представляет собой сложную сеть подстанций и распределительных сооружений. Она соединяет линии электропередачи 0,4-1150 кВ, которые используются для передачи и распределения электроэнергии. Национальная энергетическая сеть играет важную роль, поддерживая сеть Единой энергетической системы Казахстана. Она обеспечивает электрическое сообщение между различными регионами Казахстана и энергосистемами соседних стран (Россия, Кыргызстан и Узбекистан), а также передачу электроэнергии от электростанций оптовым потребителям. Казахстанская электросетевая операционная компания («</w:t>
      </w:r>
      <w:r w:rsidRPr="005C53F5">
        <w:rPr>
          <w:rFonts w:ascii="Times New Roman" w:eastAsia="Calibri" w:hAnsi="Times New Roman" w:cs="Times New Roman"/>
          <w:b/>
          <w:bCs/>
          <w:sz w:val="24"/>
          <w:szCs w:val="24"/>
          <w:lang w:eastAsia="ru-RU"/>
        </w:rPr>
        <w:t>KEGOC</w:t>
      </w:r>
      <w:r w:rsidRPr="005C53F5">
        <w:rPr>
          <w:rFonts w:ascii="Times New Roman" w:eastAsia="Calibri" w:hAnsi="Times New Roman" w:cs="Times New Roman"/>
          <w:sz w:val="24"/>
          <w:szCs w:val="24"/>
          <w:lang w:eastAsia="ru-RU"/>
        </w:rPr>
        <w:t xml:space="preserve">») является государственным оператором передающей системы, владеющим подстанциями, распределительными устройствами, межрегиональными и трансграничными линиями электропередачи, а также линиями электропередачи для подачи электроэнергии от электростанций, все из которых имеют напряжение 220 кВ и выше и образуют национальную электросеть. </w:t>
      </w:r>
    </w:p>
    <w:p w14:paraId="272F0805"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Электроэнергия поставляется в Казахстан через рынки электрической и тепловой энергии. Рынок электроэнергии работает как на оптовом, так и на розничном уровне, в то время как рынок тепловой энергии является одноуровневым розничным рынком. На оптовом рынке организации и потребители (крупные корпорации, региональные электроэнергетические компании, торгово-посреднические организации) получают право продавать и покупать электроэнергию путем заключения прямых двусторонних договоров купли-продажи. В соответствии с порядком, установленным органом естественной монополии, АО «KEGOC» как системный оператор, региональные электроэнергетические компании, а также иные организации, владеющие электрическими сетями, обязаны обеспечить неограниченный доступ к рынку электроэнергии для всех участников. Участники оптового рынка также имеют неограниченный доступ к национальной электросети для транспортировки купленной и проданной электроэнергии. Управление оптовым рынком Казахстана осуществляется АО «Казахстанский оператор рынка энергии и мощностей» («</w:t>
      </w:r>
      <w:r w:rsidRPr="005C53F5">
        <w:rPr>
          <w:rFonts w:ascii="Times New Roman" w:eastAsia="Calibri" w:hAnsi="Times New Roman" w:cs="Times New Roman"/>
          <w:b/>
          <w:bCs/>
          <w:sz w:val="24"/>
          <w:szCs w:val="24"/>
          <w:lang w:eastAsia="ru-RU"/>
        </w:rPr>
        <w:t>KOREM</w:t>
      </w:r>
      <w:r w:rsidRPr="005C53F5">
        <w:rPr>
          <w:rFonts w:ascii="Times New Roman" w:eastAsia="Calibri" w:hAnsi="Times New Roman" w:cs="Times New Roman"/>
          <w:sz w:val="24"/>
          <w:szCs w:val="24"/>
          <w:lang w:eastAsia="ru-RU"/>
        </w:rPr>
        <w:t>») как оператором централизованного торгового рынка и АО «KEGOC» как системным оператором Единой энергетической системы Казахстана.</w:t>
      </w:r>
    </w:p>
    <w:p w14:paraId="52537704" w14:textId="0D1C35CE"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 xml:space="preserve">Розничный рынок состоит из отдельных региональных рынков с собственными электростанциями, электросетями, торговцами и потребителями. Закон Республики Казахстан от 9 июля 2004 года № 588 «Об электроэнергетике» разрешает конкуренцию на розничном рынке между поставщиками. Однако на практике поставки электроэнергии розничным потребителям осуществляются исключительно региональными электроэнергетическими компаниями на основании договоров энергоснабжения. Ценовому регулированию подлежат генерирующие компании, компании по передаче и распределению электрической и тепловой энергии, а также компании по продаже и покупке тепловой энергии, занимающие доминирующее или монопольное положение. </w:t>
      </w:r>
    </w:p>
    <w:p w14:paraId="6709AE11"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 xml:space="preserve">Энергетика остается ключевым фактором промышленного развития и экономического роста Казахстана. Правительство Республики Казахстан утвердило Концепцию развития топливно-энергетического комплекса до 2030 года, которая включает в себя цели и меры по развитию энергетического комплекса. По состоянию на дату утверждения Проспекта ценных бумаг Казахстан не имеет активных мощностей по производству атомной энергии. Единственная в стране атомная электростанция (быстрый реактор с натриевым охлаждением, расположенный недалеко от Актау) прекратила выработку электроэнергии в 1999 году после 26 лет эксплуатации и находится в стадии вывода из эксплуатации. </w:t>
      </w:r>
    </w:p>
    <w:p w14:paraId="7967A54D"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sz w:val="24"/>
          <w:szCs w:val="24"/>
          <w:lang w:eastAsia="ru-RU"/>
        </w:rPr>
        <w:t xml:space="preserve">В 2014 году было создано АО «Казахстанские атомные электростанции», которое принадлежит АО «Самрук-Казына». В настоящее время ведутся исследования двух потенциальных мест размещения новой атомной электростанции – города Курчатова в Восточно-Казахстанской области и района близ села Улькен в Алматинской области. Для уточнения экономических и технических параметров возможной атомной электростанции и выбора реакторной технологии проводится анализ имеющихся на рынке реакторных технологий поколения III+. На дату утверждения Проспекта ценных бумаг решение о строительстве атомной электростанции принято не было. </w:t>
      </w:r>
    </w:p>
    <w:p w14:paraId="183D8717"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b/>
          <w:bCs/>
          <w:sz w:val="24"/>
          <w:szCs w:val="24"/>
          <w:lang w:eastAsia="ru-RU"/>
        </w:rPr>
      </w:pPr>
      <w:r w:rsidRPr="005C53F5">
        <w:rPr>
          <w:rFonts w:ascii="Times New Roman" w:eastAsia="Calibri" w:hAnsi="Times New Roman" w:cs="Times New Roman"/>
          <w:sz w:val="24"/>
          <w:szCs w:val="24"/>
          <w:lang w:eastAsia="ru-RU"/>
        </w:rPr>
        <w:t xml:space="preserve">С 1 января 2019 года в Казахстане начал функционировать рынок электрической мощности, который был внедрен для обеспечения того, чтобы инвесторы получали доходность от своих инвестиций, связанных со строительством или модернизацией генерирующих объектов. Концепция рынка электрической мощности предусматривает, что генерирующие компании будут получать выручку за счет двух тарифов: тарифа на продажу электроэнергии и тарифа на поддержание готовности электрической мощности. </w:t>
      </w:r>
    </w:p>
    <w:p w14:paraId="0B744A9C" w14:textId="77777777" w:rsidR="00DD59AC" w:rsidRPr="005C53F5" w:rsidRDefault="00DD59AC" w:rsidP="00057BE5">
      <w:pPr>
        <w:keepNext/>
        <w:autoSpaceDE w:val="0"/>
        <w:autoSpaceDN w:val="0"/>
        <w:spacing w:after="0" w:line="240" w:lineRule="auto"/>
        <w:ind w:firstLine="708"/>
        <w:rPr>
          <w:rFonts w:ascii="Times New Roman" w:eastAsia="Calibri" w:hAnsi="Times New Roman" w:cs="Times New Roman"/>
          <w:b/>
          <w:bCs/>
          <w:i/>
          <w:iCs/>
          <w:color w:val="000000"/>
          <w:sz w:val="24"/>
          <w:szCs w:val="24"/>
          <w:lang w:eastAsia="ru-RU"/>
        </w:rPr>
      </w:pPr>
      <w:r w:rsidRPr="005C53F5">
        <w:rPr>
          <w:rFonts w:ascii="Times New Roman" w:eastAsia="Calibri" w:hAnsi="Times New Roman" w:cs="Times New Roman"/>
          <w:b/>
          <w:bCs/>
          <w:i/>
          <w:iCs/>
          <w:color w:val="000000"/>
          <w:sz w:val="24"/>
          <w:szCs w:val="24"/>
          <w:lang w:eastAsia="ru-RU"/>
        </w:rPr>
        <w:t xml:space="preserve">Горнодобывающая промышленность </w:t>
      </w:r>
    </w:p>
    <w:p w14:paraId="075F0091"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Казахстан является ведущим производителем многих видов минерального сырья. Несмотря на то, что Казахстан является крупным производителем полезных ископаемых, его добыча была относительно скромной по сравнению с предполагаемыми запасами. Кроме того, известно о существовании других резервов, которые еще не были полностью разведаны.</w:t>
      </w:r>
    </w:p>
    <w:p w14:paraId="62A56F80"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 xml:space="preserve">Помимо своих запасов нефти и газа, Казахстан обладает значительными запасами других энергопроизводящих полезных ископаемых. В 2014 году было добыто 114,6 млн тонн угля, в 2015 году </w:t>
      </w:r>
      <w:r w:rsidRPr="005C53F5">
        <w:rPr>
          <w:rFonts w:ascii="Times New Roman" w:eastAsia="Calibri" w:hAnsi="Times New Roman" w:cs="Times New Roman"/>
          <w:sz w:val="24"/>
          <w:szCs w:val="24"/>
          <w:lang w:eastAsia="ru-RU"/>
        </w:rPr>
        <w:t xml:space="preserve">– </w:t>
      </w:r>
      <w:r w:rsidRPr="005C53F5">
        <w:rPr>
          <w:rFonts w:ascii="Times New Roman" w:eastAsia="Calibri" w:hAnsi="Times New Roman" w:cs="Times New Roman"/>
          <w:color w:val="000000"/>
          <w:sz w:val="24"/>
          <w:szCs w:val="24"/>
          <w:lang w:eastAsia="ru-RU"/>
        </w:rPr>
        <w:t xml:space="preserve">107,3 млн тонн, в 2016 году </w:t>
      </w:r>
      <w:r w:rsidRPr="005C53F5">
        <w:rPr>
          <w:rFonts w:ascii="Times New Roman" w:eastAsia="Calibri" w:hAnsi="Times New Roman" w:cs="Times New Roman"/>
          <w:sz w:val="24"/>
          <w:szCs w:val="24"/>
          <w:lang w:eastAsia="ru-RU"/>
        </w:rPr>
        <w:t xml:space="preserve">– </w:t>
      </w:r>
      <w:r w:rsidRPr="005C53F5">
        <w:rPr>
          <w:rFonts w:ascii="Times New Roman" w:eastAsia="Calibri" w:hAnsi="Times New Roman" w:cs="Times New Roman"/>
          <w:color w:val="000000"/>
          <w:sz w:val="24"/>
          <w:szCs w:val="24"/>
          <w:lang w:eastAsia="ru-RU"/>
        </w:rPr>
        <w:t xml:space="preserve">103,1 млн тонн, в 2017 году </w:t>
      </w:r>
      <w:r w:rsidRPr="005C53F5">
        <w:rPr>
          <w:rFonts w:ascii="Times New Roman" w:eastAsia="Calibri" w:hAnsi="Times New Roman" w:cs="Times New Roman"/>
          <w:sz w:val="24"/>
          <w:szCs w:val="24"/>
          <w:lang w:eastAsia="ru-RU"/>
        </w:rPr>
        <w:t xml:space="preserve">– </w:t>
      </w:r>
      <w:r w:rsidRPr="005C53F5">
        <w:rPr>
          <w:rFonts w:ascii="Times New Roman" w:eastAsia="Calibri" w:hAnsi="Times New Roman" w:cs="Times New Roman"/>
          <w:color w:val="000000"/>
          <w:sz w:val="24"/>
          <w:szCs w:val="24"/>
          <w:lang w:eastAsia="ru-RU"/>
        </w:rPr>
        <w:t xml:space="preserve">112,3 млн тонн, в 2018 году </w:t>
      </w:r>
      <w:r w:rsidRPr="005C53F5">
        <w:rPr>
          <w:rFonts w:ascii="Times New Roman" w:eastAsia="Calibri" w:hAnsi="Times New Roman" w:cs="Times New Roman"/>
          <w:sz w:val="24"/>
          <w:szCs w:val="24"/>
          <w:lang w:eastAsia="ru-RU"/>
        </w:rPr>
        <w:t xml:space="preserve">– </w:t>
      </w:r>
      <w:r w:rsidRPr="005C53F5">
        <w:rPr>
          <w:rFonts w:ascii="Times New Roman" w:eastAsia="Calibri" w:hAnsi="Times New Roman" w:cs="Times New Roman"/>
          <w:color w:val="000000"/>
          <w:sz w:val="24"/>
          <w:szCs w:val="24"/>
          <w:lang w:eastAsia="ru-RU"/>
        </w:rPr>
        <w:t xml:space="preserve">118,5 млн тонн, в 2019 году </w:t>
      </w:r>
      <w:r w:rsidRPr="005C53F5">
        <w:rPr>
          <w:rFonts w:ascii="Times New Roman" w:eastAsia="Calibri" w:hAnsi="Times New Roman" w:cs="Times New Roman"/>
          <w:sz w:val="24"/>
          <w:szCs w:val="24"/>
          <w:lang w:eastAsia="ru-RU"/>
        </w:rPr>
        <w:t>(оперативные данные за январь – декабрь) – 115,4</w:t>
      </w:r>
      <w:r w:rsidRPr="005C53F5">
        <w:rPr>
          <w:rFonts w:ascii="Times New Roman" w:hAnsi="Times New Roman"/>
          <w:sz w:val="24"/>
        </w:rPr>
        <w:t xml:space="preserve"> млн тонн.</w:t>
      </w:r>
    </w:p>
    <w:p w14:paraId="7FB35D82"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 xml:space="preserve">По доказанным запасам, согласно статистическому обзору </w:t>
      </w:r>
      <w:r w:rsidRPr="005C53F5">
        <w:rPr>
          <w:rFonts w:ascii="Times New Roman" w:eastAsia="Calibri" w:hAnsi="Times New Roman" w:cs="Times New Roman"/>
          <w:color w:val="000000"/>
          <w:sz w:val="24"/>
          <w:szCs w:val="24"/>
          <w:lang w:val="en-US" w:eastAsia="ru-RU"/>
        </w:rPr>
        <w:t>BP</w:t>
      </w:r>
      <w:r w:rsidRPr="005C53F5">
        <w:rPr>
          <w:rFonts w:ascii="Times New Roman" w:eastAsia="Calibri" w:hAnsi="Times New Roman" w:cs="Times New Roman"/>
          <w:color w:val="000000"/>
          <w:sz w:val="24"/>
          <w:szCs w:val="24"/>
          <w:lang w:eastAsia="ru-RU"/>
        </w:rPr>
        <w:t xml:space="preserve"> </w:t>
      </w:r>
      <w:r w:rsidRPr="005C53F5">
        <w:rPr>
          <w:rFonts w:ascii="Times New Roman" w:eastAsia="Calibri" w:hAnsi="Times New Roman" w:cs="Times New Roman"/>
          <w:color w:val="000000"/>
          <w:sz w:val="24"/>
          <w:szCs w:val="24"/>
          <w:lang w:val="en-US" w:eastAsia="ru-RU"/>
        </w:rPr>
        <w:t>World</w:t>
      </w:r>
      <w:r w:rsidRPr="005C53F5">
        <w:rPr>
          <w:rFonts w:ascii="Times New Roman" w:eastAsia="Calibri" w:hAnsi="Times New Roman" w:cs="Times New Roman"/>
          <w:color w:val="000000"/>
          <w:sz w:val="24"/>
          <w:szCs w:val="24"/>
          <w:lang w:eastAsia="ru-RU"/>
        </w:rPr>
        <w:t xml:space="preserve"> </w:t>
      </w:r>
      <w:r w:rsidRPr="005C53F5">
        <w:rPr>
          <w:rFonts w:ascii="Times New Roman" w:eastAsia="Calibri" w:hAnsi="Times New Roman" w:cs="Times New Roman"/>
          <w:color w:val="000000"/>
          <w:sz w:val="24"/>
          <w:szCs w:val="24"/>
          <w:lang w:val="en-US" w:eastAsia="ru-RU"/>
        </w:rPr>
        <w:t>Energy</w:t>
      </w:r>
      <w:r w:rsidRPr="005C53F5">
        <w:rPr>
          <w:rFonts w:ascii="Times New Roman" w:eastAsia="Calibri" w:hAnsi="Times New Roman" w:cs="Times New Roman"/>
          <w:color w:val="000000"/>
          <w:sz w:val="24"/>
          <w:szCs w:val="24"/>
          <w:lang w:eastAsia="ru-RU"/>
        </w:rPr>
        <w:t xml:space="preserve"> 2019, Казахстан занимает десятое место в мире по добыче угля по состоянию на 31 декабря 2018 года. По состоянию на ту же дату доказанные запасы Казахстана составляли 25,6 млрд тонн угля, или 2,4% мировых запасов, а в 2018 году было добыто 50,6 млн тонн нефтяного эквивалента, или 1,3% мировой добычи в этом году. В Казахстане имеется 10 залежей черного и бурого угля, а также более 300 разведанных месторождений. Большая часть угольных месторождений находится в Карагандинской, Павлодарской и Костанайской областях. Карагандинский угольный бассейн </w:t>
      </w:r>
      <w:r w:rsidRPr="005C53F5">
        <w:rPr>
          <w:rFonts w:ascii="Times New Roman" w:eastAsia="Calibri" w:hAnsi="Times New Roman" w:cs="Times New Roman"/>
          <w:sz w:val="24"/>
          <w:szCs w:val="24"/>
          <w:lang w:eastAsia="ru-RU"/>
        </w:rPr>
        <w:t>–</w:t>
      </w:r>
      <w:r w:rsidRPr="005C53F5">
        <w:rPr>
          <w:rFonts w:ascii="Times New Roman" w:eastAsia="Calibri" w:hAnsi="Times New Roman" w:cs="Times New Roman"/>
          <w:color w:val="000000"/>
          <w:sz w:val="24"/>
          <w:szCs w:val="24"/>
          <w:lang w:eastAsia="ru-RU"/>
        </w:rPr>
        <w:t xml:space="preserve"> главный угольный бассейн Казахстана, занимающий площадь более 3600 квадратных километров. Вторым по величине угольным бассейном в Казахстане является Экибастуз.</w:t>
      </w:r>
    </w:p>
    <w:p w14:paraId="1F174687"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lang w:eastAsia="ru-RU"/>
        </w:rPr>
        <w:t>По данным UxC, как сообщается в годовом отчете АО «НАК «Казатомпром» за 2019 год, на долю Казахстана в 2018 году пришлось около 40% мирового производства урана. В 2014 году объем производства</w:t>
      </w:r>
      <w:r w:rsidRPr="005C53F5">
        <w:rPr>
          <w:rFonts w:ascii="Times New Roman" w:hAnsi="Times New Roman"/>
          <w:sz w:val="24"/>
        </w:rPr>
        <w:t xml:space="preserve"> </w:t>
      </w:r>
      <w:r w:rsidRPr="005C53F5">
        <w:rPr>
          <w:rFonts w:ascii="Times New Roman" w:eastAsia="Calibri" w:hAnsi="Times New Roman" w:cs="Times New Roman"/>
          <w:iCs/>
          <w:color w:val="000000"/>
          <w:sz w:val="24"/>
          <w:szCs w:val="24"/>
          <w:lang w:eastAsia="ru-RU"/>
        </w:rPr>
        <w:t>U</w:t>
      </w:r>
      <w:r w:rsidRPr="005C53F5">
        <w:rPr>
          <w:rFonts w:ascii="Times New Roman" w:eastAsia="Calibri" w:hAnsi="Times New Roman" w:cs="Times New Roman"/>
          <w:iCs/>
          <w:color w:val="000000"/>
          <w:sz w:val="24"/>
          <w:szCs w:val="24"/>
          <w:vertAlign w:val="subscript"/>
          <w:lang w:eastAsia="ru-RU"/>
        </w:rPr>
        <w:t>3</w:t>
      </w:r>
      <w:r w:rsidRPr="005C53F5">
        <w:rPr>
          <w:rFonts w:ascii="Times New Roman" w:eastAsia="Calibri" w:hAnsi="Times New Roman" w:cs="Times New Roman"/>
          <w:iCs/>
          <w:color w:val="000000"/>
          <w:sz w:val="24"/>
          <w:szCs w:val="24"/>
          <w:lang w:eastAsia="ru-RU"/>
        </w:rPr>
        <w:t>O</w:t>
      </w:r>
      <w:r w:rsidRPr="005C53F5">
        <w:rPr>
          <w:rFonts w:ascii="Times New Roman" w:eastAsia="Calibri" w:hAnsi="Times New Roman" w:cs="Times New Roman"/>
          <w:iCs/>
          <w:color w:val="000000"/>
          <w:sz w:val="24"/>
          <w:szCs w:val="24"/>
          <w:vertAlign w:val="subscript"/>
          <w:lang w:eastAsia="ru-RU"/>
        </w:rPr>
        <w:t>8</w:t>
      </w:r>
      <w:r w:rsidRPr="005C53F5">
        <w:rPr>
          <w:rFonts w:ascii="Times New Roman" w:eastAsia="Calibri" w:hAnsi="Times New Roman" w:cs="Times New Roman"/>
          <w:color w:val="000000"/>
          <w:sz w:val="24"/>
          <w:szCs w:val="24"/>
          <w:lang w:eastAsia="ru-RU"/>
        </w:rPr>
        <w:t xml:space="preserve"> составил 23,1 тыс. тонн, в 2015 году - 23,6 тыс. тонн, в 2016 году – 24,6 тыс. тонн, в 2017 году – 23,3 тыс. тонн, в 2018 году – 21,7 тыс. тонн и в 2019 году – 22,8 тыс. тонн. Снижение объемов добычи урана в 2018 году по сравнению с 2017 годом было обусловлено решением АО «Национальная атомная компания «Казатомпром», являющимся </w:t>
      </w:r>
      <w:r w:rsidRPr="005C53F5">
        <w:rPr>
          <w:rFonts w:ascii="Times New Roman" w:eastAsia="Calibri" w:hAnsi="Times New Roman" w:cs="Times New Roman"/>
          <w:iCs/>
          <w:color w:val="000000"/>
          <w:sz w:val="24"/>
          <w:szCs w:val="24"/>
          <w:lang w:eastAsia="ru-RU"/>
        </w:rPr>
        <w:t>национальным оператором Республики Казахстан по импорту–экспорту урана</w:t>
      </w:r>
      <w:r w:rsidRPr="005C53F5">
        <w:rPr>
          <w:rFonts w:ascii="Times New Roman" w:eastAsia="Calibri" w:hAnsi="Times New Roman" w:cs="Times New Roman"/>
          <w:color w:val="000000"/>
          <w:sz w:val="24"/>
          <w:szCs w:val="24"/>
          <w:lang w:eastAsia="ru-RU"/>
        </w:rPr>
        <w:t xml:space="preserve">, сократить плановые объемы добычи урана на 20% на период с 2018 года по 2020 год (по сравнению с консолидированными плановыми уровнями добычи по лицензиям на недропользование) в связи с конъюнктурой рынка. </w:t>
      </w:r>
      <w:r w:rsidRPr="005C53F5">
        <w:rPr>
          <w:rFonts w:ascii="Times New Roman" w:eastAsia="Calibri" w:hAnsi="Times New Roman" w:cs="Times New Roman"/>
          <w:iCs/>
          <w:color w:val="000000"/>
          <w:sz w:val="24"/>
          <w:szCs w:val="24"/>
          <w:lang w:eastAsia="ru-RU"/>
        </w:rPr>
        <w:t>В 2019 году было произведено на 5% больше U</w:t>
      </w:r>
      <w:r w:rsidRPr="005C53F5">
        <w:rPr>
          <w:rFonts w:ascii="Times New Roman" w:eastAsia="Calibri" w:hAnsi="Times New Roman" w:cs="Times New Roman"/>
          <w:iCs/>
          <w:color w:val="000000"/>
          <w:sz w:val="24"/>
          <w:szCs w:val="24"/>
          <w:vertAlign w:val="subscript"/>
          <w:lang w:eastAsia="ru-RU"/>
        </w:rPr>
        <w:t>3</w:t>
      </w:r>
      <w:r w:rsidRPr="005C53F5">
        <w:rPr>
          <w:rFonts w:ascii="Times New Roman" w:eastAsia="Calibri" w:hAnsi="Times New Roman" w:cs="Times New Roman"/>
          <w:iCs/>
          <w:color w:val="000000"/>
          <w:sz w:val="24"/>
          <w:szCs w:val="24"/>
          <w:lang w:eastAsia="ru-RU"/>
        </w:rPr>
        <w:t>O</w:t>
      </w:r>
      <w:r w:rsidRPr="005C53F5">
        <w:rPr>
          <w:rFonts w:ascii="Times New Roman" w:eastAsia="Calibri" w:hAnsi="Times New Roman" w:cs="Times New Roman"/>
          <w:iCs/>
          <w:color w:val="000000"/>
          <w:sz w:val="24"/>
          <w:szCs w:val="24"/>
          <w:vertAlign w:val="subscript"/>
          <w:lang w:eastAsia="ru-RU"/>
        </w:rPr>
        <w:t>8</w:t>
      </w:r>
      <w:r w:rsidRPr="005C53F5">
        <w:rPr>
          <w:rFonts w:ascii="Times New Roman" w:eastAsia="Calibri" w:hAnsi="Times New Roman" w:cs="Times New Roman"/>
          <w:iCs/>
          <w:color w:val="000000"/>
          <w:sz w:val="24"/>
          <w:szCs w:val="24"/>
          <w:lang w:eastAsia="ru-RU"/>
        </w:rPr>
        <w:t xml:space="preserve"> по сравнению с 2018 годом.</w:t>
      </w:r>
      <w:r w:rsidRPr="005C53F5">
        <w:rPr>
          <w:rFonts w:ascii="Times New Roman" w:eastAsia="Calibri" w:hAnsi="Times New Roman" w:cs="Times New Roman"/>
          <w:color w:val="000000"/>
          <w:sz w:val="24"/>
          <w:szCs w:val="24"/>
          <w:lang w:eastAsia="ru-RU"/>
        </w:rPr>
        <w:t xml:space="preserve"> В настоящее время из-за отсутствия внутреннего спроса весь добываемый в Казахстане уран идет на экспорт.</w:t>
      </w:r>
    </w:p>
    <w:p w14:paraId="5AF97E16"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По данным Казахстанского института геологии, Казахстан обладает значительными запасами цветных металлов, в том числе свинца, цинка и меди. В 2016 году Казахстан произвел 70,5 тыс. тонн свинца (свинец в свинцовом концентрате), 324,8 тыс. тонн цинка (цинк в цинковом концентрате) и 432,4 тыс. тонн меди (медь в медном концентрате). В 2017 году Казахстан произвел 111,2 тыс. тонн свинца, 315,9 тыс. тонн цинка и 515,6 тыс. тонн меди. В 2018 году Казахстан произвел 86,5 тыс. тонн свинца, 304,4 тыс. тонн цинка и 592,8 тыс. тонн меди. В 2019 году Казахстан произвел 55,6 тыс. тонн свинца, 245,7 тыс. тонн цинка и по оперативным данным за январь-февраль 2019 года 568,5 тыс. тонн меди.</w:t>
      </w:r>
    </w:p>
    <w:p w14:paraId="3066F20D"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b/>
          <w:bCs/>
          <w:i/>
          <w:iCs/>
          <w:color w:val="000000"/>
          <w:sz w:val="24"/>
          <w:szCs w:val="24"/>
          <w:lang w:eastAsia="ru-RU"/>
        </w:rPr>
      </w:pPr>
      <w:r w:rsidRPr="005C53F5">
        <w:rPr>
          <w:rFonts w:ascii="Times New Roman" w:eastAsia="Calibri" w:hAnsi="Times New Roman" w:cs="Times New Roman"/>
          <w:color w:val="000000"/>
          <w:sz w:val="24"/>
          <w:szCs w:val="24"/>
          <w:lang w:eastAsia="ru-RU"/>
        </w:rPr>
        <w:t>Черные и цветные металлы, добываемые в Казахстане, экспортируются в основном в Японию, Южную Корею, США, Канаду, Россию, Китай и ЕС.</w:t>
      </w:r>
    </w:p>
    <w:p w14:paraId="7860B150" w14:textId="77777777" w:rsidR="00DD59AC" w:rsidRPr="005C53F5" w:rsidRDefault="00DD59AC" w:rsidP="00057BE5">
      <w:pPr>
        <w:keepNext/>
        <w:autoSpaceDE w:val="0"/>
        <w:autoSpaceDN w:val="0"/>
        <w:spacing w:after="0" w:line="240" w:lineRule="auto"/>
        <w:ind w:firstLine="708"/>
        <w:rPr>
          <w:rFonts w:ascii="Times New Roman" w:eastAsia="Calibri" w:hAnsi="Times New Roman" w:cs="Times New Roman"/>
          <w:b/>
          <w:bCs/>
          <w:i/>
          <w:iCs/>
          <w:color w:val="000000"/>
          <w:sz w:val="24"/>
          <w:szCs w:val="24"/>
          <w:lang w:eastAsia="ru-RU"/>
        </w:rPr>
      </w:pPr>
      <w:r w:rsidRPr="005C53F5">
        <w:rPr>
          <w:rFonts w:ascii="Times New Roman" w:eastAsia="Calibri" w:hAnsi="Times New Roman" w:cs="Times New Roman"/>
          <w:b/>
          <w:bCs/>
          <w:i/>
          <w:iCs/>
          <w:color w:val="000000"/>
          <w:sz w:val="24"/>
          <w:szCs w:val="24"/>
          <w:lang w:eastAsia="ru-RU"/>
        </w:rPr>
        <w:t xml:space="preserve">Строительство </w:t>
      </w:r>
    </w:p>
    <w:p w14:paraId="307F4D0A"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По состоянию на 31 декабря 2018 года в Казахстане действовало около 7654 строительных подрядчика. На долю строительного сектора приходится 5,9%, 6,0%, 5,9%, 5,5%, 5,3% и, по оперативным данным, 5,5% ВВП в 2014, 2015, 2016, 2017, 2018 годах и за январь-декабрь 2019 года соответственно.</w:t>
      </w:r>
    </w:p>
    <w:p w14:paraId="1EBB3F98" w14:textId="7B2103A2"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По оперативным данным за январь-декабрь 2019 года Комитета по статистике Министерства национальной экономики Республики Казахстан, общая площадь введённого в эксплуатацию жилья увеличилось по сравнению с 2018 годом на 4,9% и составила 13 133,8 тыс. кв. м, а общая площадь построенных жилых зданий составила 13,1 млн кв. м, что является увеличением на 5% по сравнению с 2018 годом. Объем инвестиций в жилищное строительство в Казахстане в 2019 год</w:t>
      </w:r>
      <w:r w:rsidRPr="005C53F5">
        <w:rPr>
          <w:rFonts w:ascii="Times New Roman" w:hAnsi="Times New Roman"/>
          <w:color w:val="000000"/>
          <w:sz w:val="24"/>
          <w:lang w:val="kk-KZ"/>
        </w:rPr>
        <w:t>у</w:t>
      </w:r>
      <w:r w:rsidRPr="005C53F5">
        <w:rPr>
          <w:rFonts w:ascii="Times New Roman" w:eastAsia="Calibri" w:hAnsi="Times New Roman" w:cs="Times New Roman"/>
          <w:color w:val="000000"/>
          <w:sz w:val="24"/>
          <w:szCs w:val="24"/>
          <w:lang w:val="kk-KZ" w:eastAsia="ru-RU"/>
        </w:rPr>
        <w:t xml:space="preserve"> </w:t>
      </w:r>
      <w:r w:rsidRPr="005C53F5">
        <w:rPr>
          <w:rFonts w:ascii="Times New Roman" w:eastAsia="Calibri" w:hAnsi="Times New Roman" w:cs="Times New Roman"/>
          <w:color w:val="000000"/>
          <w:sz w:val="24"/>
          <w:szCs w:val="24"/>
          <w:lang w:eastAsia="ru-RU"/>
        </w:rPr>
        <w:t>составил 1 423 млрд тенге, увеличившись по сравнению с 2018 годом на 16,9%.</w:t>
      </w:r>
    </w:p>
    <w:p w14:paraId="10835E39" w14:textId="0CBD78E3" w:rsidR="00DD59AC" w:rsidRPr="005C53F5" w:rsidRDefault="00DD59AC" w:rsidP="00057BE5">
      <w:pPr>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color w:val="000000"/>
          <w:sz w:val="24"/>
          <w:szCs w:val="24"/>
          <w:lang w:eastAsia="ru-RU"/>
        </w:rPr>
        <w:t>По оперативным данным общая стоимость строительных работ и услуг в Казахстане за январь-декабрь 2019 года составил 4 416,8 млрд тенге, что на 12,9% больше данного показателя за 2018 год. По оперативным данным за январь-декабрь 2019 года в Казахстане было построено 47 074 новых зданий, в том числе</w:t>
      </w:r>
      <w:r w:rsidRPr="005C53F5">
        <w:rPr>
          <w:rFonts w:ascii="Times New Roman" w:eastAsia="Times New Roman" w:hAnsi="Times New Roman" w:cs="Times New Roman"/>
          <w:color w:val="000000"/>
          <w:sz w:val="24"/>
          <w:szCs w:val="24"/>
        </w:rPr>
        <w:t xml:space="preserve"> 42 615</w:t>
      </w:r>
      <w:r w:rsidRPr="005C53F5">
        <w:rPr>
          <w:rFonts w:ascii="Calibri" w:eastAsia="Times New Roman" w:hAnsi="Calibri" w:cs="Calibri"/>
          <w:color w:val="000000"/>
          <w:sz w:val="16"/>
          <w:szCs w:val="16"/>
        </w:rPr>
        <w:t xml:space="preserve"> </w:t>
      </w:r>
      <w:r w:rsidRPr="005C53F5">
        <w:rPr>
          <w:rFonts w:ascii="Times New Roman" w:eastAsia="Calibri" w:hAnsi="Times New Roman" w:cs="Times New Roman"/>
          <w:color w:val="000000"/>
          <w:sz w:val="24"/>
          <w:szCs w:val="24"/>
          <w:lang w:eastAsia="ru-RU"/>
        </w:rPr>
        <w:t>жилых домов. В сфере образования и здравоохранения в январе-декабре 2019 году был</w:t>
      </w:r>
      <w:r w:rsidR="006F6A5D" w:rsidRPr="005C53F5">
        <w:rPr>
          <w:rFonts w:ascii="Times New Roman" w:eastAsia="Calibri" w:hAnsi="Times New Roman" w:cs="Times New Roman"/>
          <w:color w:val="000000"/>
          <w:sz w:val="24"/>
          <w:szCs w:val="24"/>
          <w:lang w:eastAsia="ru-RU"/>
        </w:rPr>
        <w:t>и</w:t>
      </w:r>
      <w:r w:rsidRPr="005C53F5">
        <w:rPr>
          <w:rFonts w:ascii="Times New Roman" w:eastAsia="Calibri" w:hAnsi="Times New Roman" w:cs="Times New Roman"/>
          <w:color w:val="000000"/>
          <w:sz w:val="24"/>
          <w:szCs w:val="24"/>
          <w:lang w:eastAsia="ru-RU"/>
        </w:rPr>
        <w:t xml:space="preserve"> введен</w:t>
      </w:r>
      <w:r w:rsidR="006F6A5D" w:rsidRPr="005C53F5">
        <w:rPr>
          <w:rFonts w:ascii="Times New Roman" w:eastAsia="Calibri" w:hAnsi="Times New Roman" w:cs="Times New Roman"/>
          <w:color w:val="000000"/>
          <w:sz w:val="24"/>
          <w:szCs w:val="24"/>
          <w:lang w:eastAsia="ru-RU"/>
        </w:rPr>
        <w:t>ы</w:t>
      </w:r>
      <w:r w:rsidRPr="005C53F5">
        <w:rPr>
          <w:rFonts w:ascii="Times New Roman" w:eastAsia="Calibri" w:hAnsi="Times New Roman" w:cs="Times New Roman"/>
          <w:color w:val="000000"/>
          <w:sz w:val="24"/>
          <w:szCs w:val="24"/>
          <w:lang w:eastAsia="ru-RU"/>
        </w:rPr>
        <w:t xml:space="preserve"> в эксплуатацию</w:t>
      </w:r>
      <w:r w:rsidR="006F6A5D" w:rsidRPr="005C53F5">
        <w:rPr>
          <w:rFonts w:ascii="Times New Roman" w:eastAsia="Calibri" w:hAnsi="Times New Roman" w:cs="Times New Roman"/>
          <w:color w:val="000000"/>
          <w:sz w:val="24"/>
          <w:szCs w:val="24"/>
          <w:lang w:eastAsia="ru-RU"/>
        </w:rPr>
        <w:t>:</w:t>
      </w:r>
      <w:r w:rsidRPr="005C53F5">
        <w:rPr>
          <w:rFonts w:ascii="Times New Roman" w:eastAsia="Calibri" w:hAnsi="Times New Roman" w:cs="Times New Roman"/>
          <w:color w:val="000000"/>
          <w:sz w:val="24"/>
          <w:szCs w:val="24"/>
          <w:lang w:eastAsia="ru-RU"/>
        </w:rPr>
        <w:t xml:space="preserve"> 71 </w:t>
      </w:r>
      <w:r w:rsidR="006F6A5D" w:rsidRPr="005C53F5">
        <w:rPr>
          <w:rFonts w:ascii="Times New Roman" w:eastAsia="Calibri" w:hAnsi="Times New Roman" w:cs="Times New Roman"/>
          <w:color w:val="000000"/>
          <w:sz w:val="24"/>
          <w:szCs w:val="24"/>
          <w:lang w:eastAsia="ru-RU"/>
        </w:rPr>
        <w:t xml:space="preserve">общеобразовательная </w:t>
      </w:r>
      <w:r w:rsidRPr="005C53F5">
        <w:rPr>
          <w:rFonts w:ascii="Times New Roman" w:eastAsia="Calibri" w:hAnsi="Times New Roman" w:cs="Times New Roman"/>
          <w:color w:val="000000"/>
          <w:sz w:val="24"/>
          <w:szCs w:val="24"/>
          <w:lang w:eastAsia="ru-RU"/>
        </w:rPr>
        <w:t>школ</w:t>
      </w:r>
      <w:r w:rsidR="006F6A5D" w:rsidRPr="005C53F5">
        <w:rPr>
          <w:rFonts w:ascii="Times New Roman" w:eastAsia="Calibri" w:hAnsi="Times New Roman" w:cs="Times New Roman"/>
          <w:color w:val="000000"/>
          <w:sz w:val="24"/>
          <w:szCs w:val="24"/>
          <w:lang w:eastAsia="ru-RU"/>
        </w:rPr>
        <w:t>а</w:t>
      </w:r>
      <w:r w:rsidRPr="005C53F5">
        <w:rPr>
          <w:rFonts w:ascii="Times New Roman" w:eastAsia="Calibri" w:hAnsi="Times New Roman" w:cs="Times New Roman"/>
          <w:color w:val="000000"/>
          <w:sz w:val="24"/>
          <w:szCs w:val="24"/>
          <w:lang w:eastAsia="ru-RU"/>
        </w:rPr>
        <w:t xml:space="preserve"> на 33140 ученических мест, 69 дошкольных учреждений на 8181 место, 3 больницы на 605 коек, а также 35 амбулаторных поликлиник на 3158 посещений в смену. </w:t>
      </w:r>
    </w:p>
    <w:p w14:paraId="1AC2666F" w14:textId="77777777" w:rsidR="00DD59AC" w:rsidRPr="005C53F5" w:rsidRDefault="00DD59AC" w:rsidP="00057BE5">
      <w:pPr>
        <w:keepNext/>
        <w:autoSpaceDE w:val="0"/>
        <w:autoSpaceDN w:val="0"/>
        <w:spacing w:after="0" w:line="240" w:lineRule="auto"/>
        <w:ind w:firstLine="708"/>
        <w:rPr>
          <w:rFonts w:ascii="Times New Roman" w:eastAsia="Calibri" w:hAnsi="Times New Roman" w:cs="Times New Roman"/>
          <w:b/>
          <w:bCs/>
          <w:i/>
          <w:iCs/>
          <w:color w:val="000000"/>
          <w:sz w:val="24"/>
          <w:szCs w:val="24"/>
          <w:lang w:eastAsia="ru-RU"/>
        </w:rPr>
      </w:pPr>
      <w:r w:rsidRPr="005C53F5">
        <w:rPr>
          <w:rFonts w:ascii="Times New Roman" w:eastAsia="Calibri" w:hAnsi="Times New Roman" w:cs="Times New Roman"/>
          <w:b/>
          <w:bCs/>
          <w:i/>
          <w:iCs/>
          <w:color w:val="000000"/>
          <w:sz w:val="24"/>
          <w:szCs w:val="24"/>
          <w:lang w:eastAsia="ru-RU"/>
        </w:rPr>
        <w:t xml:space="preserve">Сельское хозяйство </w:t>
      </w:r>
    </w:p>
    <w:p w14:paraId="2EE06CDE"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lang w:eastAsia="ru-RU"/>
        </w:rPr>
        <w:t>Сельское хозяйство традиционно является вторым по величине сектором экономики Казахстана после промышленного сектора, как по уровню занятости, так и по вкладу в ВВП. Однако в последние годы его относительное значение уменьшилось. На долю сельскохозяйственного сектора (сельское хозяйство, лесное хозяйство и рыболовство) приходится 4,4%, 4,8%, 4,6%, 4,6%, 4,4% и, по оперативным данным, 4,5% от общего ВВП Казахстана в 2014, 2015, 2016, 2017, 2018 годах и за январь-декабрь 2019 года</w:t>
      </w:r>
      <w:r w:rsidRPr="005C53F5" w:rsidDel="008A7E35">
        <w:rPr>
          <w:rFonts w:ascii="Times New Roman" w:eastAsia="Calibri" w:hAnsi="Times New Roman" w:cs="Times New Roman"/>
          <w:color w:val="000000"/>
          <w:sz w:val="24"/>
          <w:szCs w:val="24"/>
          <w:lang w:eastAsia="ru-RU"/>
        </w:rPr>
        <w:t xml:space="preserve"> </w:t>
      </w:r>
      <w:r w:rsidRPr="005C53F5">
        <w:rPr>
          <w:rFonts w:ascii="Times New Roman" w:eastAsia="Calibri" w:hAnsi="Times New Roman" w:cs="Times New Roman"/>
          <w:color w:val="000000"/>
          <w:sz w:val="24"/>
          <w:szCs w:val="24"/>
          <w:lang w:eastAsia="ru-RU"/>
        </w:rPr>
        <w:t>соответственно.</w:t>
      </w:r>
    </w:p>
    <w:p w14:paraId="72BD517E"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Сельскохозяйственный сектор Казахстана состоит из растениеводства и животноводства. Казахстан экспортирует значительное количество пшеницы и является одним из крупнейших производителей пшеницы в мире. Другие культуры включают ячмень, хлопок, сахарную свеклу, подсолнечник и лен. В 2019 году зерновыми (с учетом риса) и зернобобовыми культурами было засеяно 15,4 млн га, из них пшеницей - 11,4 млн га. Валовой сбор зерновых культур (с учетом риса) и зернобобовых культур составил в 2019 году 17,4 млн тонн, в том числе пшеницы – 11,5 млн тонн.</w:t>
      </w:r>
    </w:p>
    <w:p w14:paraId="63EC4E99"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 xml:space="preserve">Из общей площади земель страны в 272,5 миллиона гектаров примерно 222 миллиона гектаров относятся к категории сельскохозяйственных угодий. Пастбища составляют 187 миллионов гектаров, или 84% сельскохозяйственных угодий. Засуха и эрозия почв являются существенными проблемами, и значительная часть сельскохозяйственных угодий Казахстана находится под угрозой превращения в пустыню из-за чрезмерно интенсивного земледелия в 1950-е и 1960-е годы во времена СССР и отвлечения источников воды, таких как реки, впадающие в Аральское море. В целях поддержки аграрного сектора правительством реализован ряд программ по улучшению инвестиционного климата для ведения сельского хозяйства в Казахстане. Государственные субсидии сельскому хозяйству составили 146,0 млрд тенге в 2014 году, 34,8 млрд тенге в 2015 году, 92,5 млрд тенге в 2016 году, 115,2 млрд тенге в 2017 году, 226,0 млрд тенге в 2018 году и 323,9 млрд тенге в 2019 году. </w:t>
      </w:r>
    </w:p>
    <w:p w14:paraId="7B903F49"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Валовой выпуск сельскохозяйственной продукции (включая услуги) составил 3,143,7 млрд тенге, 3,307,0 млрд тенге, 3,684,4 млрд тенге, 4,070,9 млрд тенге, 4,474,1 млрд тенге и, по оперативным данным, 5,216,5 млрд тенге в 2014, 2015, 2016, 2017, 2018 годах и за январь-декабрь 2019 года</w:t>
      </w:r>
      <w:r w:rsidRPr="005C53F5" w:rsidDel="008A7E35">
        <w:rPr>
          <w:rFonts w:ascii="Times New Roman" w:eastAsia="Calibri" w:hAnsi="Times New Roman" w:cs="Times New Roman"/>
          <w:color w:val="000000"/>
          <w:sz w:val="24"/>
          <w:szCs w:val="24"/>
          <w:lang w:eastAsia="ru-RU"/>
        </w:rPr>
        <w:t xml:space="preserve"> </w:t>
      </w:r>
      <w:r w:rsidRPr="005C53F5">
        <w:rPr>
          <w:rFonts w:ascii="Times New Roman" w:eastAsia="Calibri" w:hAnsi="Times New Roman" w:cs="Times New Roman"/>
          <w:color w:val="000000"/>
          <w:sz w:val="24"/>
          <w:szCs w:val="24"/>
          <w:lang w:eastAsia="ru-RU"/>
        </w:rPr>
        <w:t>соответственно.</w:t>
      </w:r>
    </w:p>
    <w:p w14:paraId="67D8CF73" w14:textId="5BD35D20"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Times New Roman"/>
          <w:color w:val="000000"/>
          <w:sz w:val="24"/>
          <w:szCs w:val="24"/>
          <w:lang w:eastAsia="ru-RU"/>
        </w:rPr>
        <w:t>Казахстан осуществил ряд мер по поддержке своего сельскохозяйственного сектора, в том числе инвестирование в новые ирригационные технологии, принятие мер по диверсификации растениеводства путем стимулирования выращивания других культур, кроме пшеницы, поддержки модернизации сельскохозяйственной техники и</w:t>
      </w:r>
      <w:r w:rsidR="00A80371" w:rsidRPr="005C53F5">
        <w:rPr>
          <w:rFonts w:ascii="Times New Roman" w:eastAsia="Calibri" w:hAnsi="Times New Roman" w:cs="Times New Roman"/>
          <w:color w:val="000000"/>
          <w:sz w:val="24"/>
          <w:szCs w:val="24"/>
          <w:lang w:eastAsia="ru-RU"/>
        </w:rPr>
        <w:t xml:space="preserve"> иной</w:t>
      </w:r>
      <w:r w:rsidRPr="005C53F5">
        <w:rPr>
          <w:rFonts w:ascii="Times New Roman" w:eastAsia="Calibri" w:hAnsi="Times New Roman" w:cs="Times New Roman"/>
          <w:color w:val="000000"/>
          <w:sz w:val="24"/>
          <w:szCs w:val="24"/>
          <w:lang w:eastAsia="ru-RU"/>
        </w:rPr>
        <w:t xml:space="preserve"> техники, а также предоставления низкопроцентных кредитов компаниям и частным лицам, работающим в сельскохозяйственном секторе. Казахстан также предпринял шаги по поддержке своей рыбной отрасли, в том числе по очистке </w:t>
      </w:r>
      <w:r w:rsidR="00A80371" w:rsidRPr="005C53F5">
        <w:rPr>
          <w:rFonts w:ascii="Times New Roman" w:eastAsia="Calibri" w:hAnsi="Times New Roman" w:cs="Times New Roman"/>
          <w:color w:val="000000"/>
          <w:sz w:val="24"/>
          <w:szCs w:val="24"/>
          <w:lang w:eastAsia="ru-RU"/>
        </w:rPr>
        <w:t xml:space="preserve">от </w:t>
      </w:r>
      <w:r w:rsidRPr="005C53F5">
        <w:rPr>
          <w:rFonts w:ascii="Times New Roman" w:eastAsia="Calibri" w:hAnsi="Times New Roman" w:cs="Times New Roman"/>
          <w:color w:val="000000"/>
          <w:sz w:val="24"/>
          <w:szCs w:val="24"/>
          <w:lang w:eastAsia="ru-RU"/>
        </w:rPr>
        <w:t>нефтепродуктов Каспийского моря и усилению защиты от незаконной промысловой практики.</w:t>
      </w:r>
    </w:p>
    <w:p w14:paraId="039B5968" w14:textId="77777777" w:rsidR="00DD59AC" w:rsidRPr="005C53F5" w:rsidRDefault="00DD59AC" w:rsidP="00057BE5">
      <w:pPr>
        <w:keepNext/>
        <w:autoSpaceDE w:val="0"/>
        <w:autoSpaceDN w:val="0"/>
        <w:spacing w:after="0" w:line="240" w:lineRule="auto"/>
        <w:ind w:firstLine="708"/>
        <w:rPr>
          <w:rFonts w:ascii="Times New Roman" w:eastAsia="Calibri" w:hAnsi="Times New Roman" w:cs="Times New Roman"/>
          <w:b/>
          <w:bCs/>
          <w:i/>
          <w:iCs/>
          <w:color w:val="000000"/>
          <w:sz w:val="24"/>
          <w:szCs w:val="24"/>
          <w:lang w:eastAsia="ru-RU"/>
        </w:rPr>
      </w:pPr>
      <w:r w:rsidRPr="005C53F5">
        <w:rPr>
          <w:rFonts w:ascii="Times New Roman" w:eastAsia="Calibri" w:hAnsi="Times New Roman" w:cs="Times New Roman"/>
          <w:b/>
          <w:bCs/>
          <w:i/>
          <w:iCs/>
          <w:color w:val="000000"/>
          <w:sz w:val="24"/>
          <w:szCs w:val="24"/>
          <w:lang w:eastAsia="ru-RU"/>
        </w:rPr>
        <w:t>Транспорт</w:t>
      </w:r>
    </w:p>
    <w:p w14:paraId="79C18A19"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Казахстан имеет железнодорожную сеть, 24 аэропорта, торговый флот, комплексную дорожную сеть и разветвленную трубопроводную инфраструктуру. Рынок предоставления транспортных услуг был либерализован и реструктурирован, особенно в железнодорожном секторе.</w:t>
      </w:r>
    </w:p>
    <w:p w14:paraId="10DBDE71"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Транспорт считается ключевым стратегическим сектором экономики Казахстана. Так, грузовые перевозки с 2014 года по 2019 год выросли на 25,0% года в основном за счет увеличения перевозок грузов через трубоповоды и воздушным транспортом. Перевозки пассажиров всеми видами транспорта также увеличились на 11,9% за в период с 2014 по 2019 годы. За январь-декабрь 2019 года перевозки грузов всеми видами транспорта составил 4 237 932,99 тыс. тонн, что на 3,27% больше, чем в 2018 году. Перевозка пассажиров всеми видами транспорта на январь-декабрь 2019 года составила 23 832 089,46 тыс. человек, что на 3,52% больше показателей 2018 года.</w:t>
      </w:r>
    </w:p>
    <w:p w14:paraId="5DF1442E" w14:textId="56A88B76"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На 25-м пленарном заседании Совета иностранных инвесторов в сентябре 2012 года Президент Республики Казахстан Нурсултан Назарбаев объявил о начале реализации проекта «Новый Шелковый путь». В соответствии с этим проектом Казахстан будет стремиться возродить свою историческую роль и стать крупнейшим деловым транзитным узлом в Центрально</w:t>
      </w:r>
      <w:r w:rsidR="006F6A5D" w:rsidRPr="005C53F5">
        <w:rPr>
          <w:rFonts w:ascii="Times New Roman" w:eastAsia="Calibri" w:hAnsi="Times New Roman" w:cs="Times New Roman"/>
          <w:color w:val="000000"/>
          <w:sz w:val="24"/>
          <w:szCs w:val="24"/>
          <w:lang w:eastAsia="ru-RU"/>
        </w:rPr>
        <w:t>-А</w:t>
      </w:r>
      <w:r w:rsidRPr="005C53F5">
        <w:rPr>
          <w:rFonts w:ascii="Times New Roman" w:eastAsia="Calibri" w:hAnsi="Times New Roman" w:cs="Times New Roman"/>
          <w:color w:val="000000"/>
          <w:sz w:val="24"/>
          <w:szCs w:val="24"/>
          <w:lang w:eastAsia="ru-RU"/>
        </w:rPr>
        <w:t>зиатском регионе, а также обеспечить уникальную связь между Европой и Азией. Проект заключается в создании благоприятных условий для транзита и снижении существующих физических и нефизических барьеров, с тем чтобы Казахстан служил сухопутным мостом между Востоком и Западом, открывая путь для транзита товаров из Западного Китая в Европу, Россию, страны Персидского залива, Центральную Азию и Кавказ.</w:t>
      </w:r>
    </w:p>
    <w:p w14:paraId="0BD17C38" w14:textId="77777777" w:rsidR="00DD59AC" w:rsidRPr="005C53F5" w:rsidRDefault="00DD59AC" w:rsidP="00057BE5">
      <w:pPr>
        <w:keepNext/>
        <w:autoSpaceDE w:val="0"/>
        <w:autoSpaceDN w:val="0"/>
        <w:spacing w:after="0" w:line="240" w:lineRule="auto"/>
        <w:ind w:firstLine="708"/>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b/>
          <w:bCs/>
          <w:i/>
          <w:iCs/>
          <w:color w:val="000000"/>
          <w:sz w:val="24"/>
          <w:szCs w:val="24"/>
          <w:lang w:eastAsia="ru-RU"/>
        </w:rPr>
        <w:t>Телекоммуникации</w:t>
      </w:r>
    </w:p>
    <w:p w14:paraId="7E972C35"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В Казахстане стремительно развивается телекоммуникационный сектор. Статистические данные о доступе к телекоммуникационным услугам в данном разделе представлены по состоянию на 31 декабря 2019 года.</w:t>
      </w:r>
    </w:p>
    <w:p w14:paraId="0887F27B"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На 100 жителей приходилось 17 абонентов фиксированной телефонной связи, а общая численность абонентов фиксированной телефонной связи по всей стране составляла 3,206 миллиона человек, по предварительным данным за январь-декабрь 2019 года их число составило 3 210,5 миллиона человек. В сельской местности на 100 жителей приходилось 11 абонентов фиксированной связи. За январь-декабрь 2019 года в сельской местности численность абонентов фиксированной телефонной связи по всей стране 834,9 тыс., в 2018 году это число составляло 888,5 тыс.</w:t>
      </w:r>
    </w:p>
    <w:p w14:paraId="626E0AA9"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В Казахстане наблюдается значительно более быстрый рост использования мобильных телефонов, чем стационарных. В 2018 году на 100 жителей приходилось 143 абонента мобильной связи, а в целом по стране таких абонентов насчитывалось 26 065 600. В январе-декабре 2019</w:t>
      </w:r>
      <w:r w:rsidRPr="005C53F5">
        <w:rPr>
          <w:rFonts w:ascii="Times New Roman" w:eastAsia="Calibri" w:hAnsi="Times New Roman" w:cs="Times New Roman"/>
          <w:sz w:val="24"/>
          <w:szCs w:val="24"/>
          <w:lang w:eastAsia="ru-RU"/>
        </w:rPr>
        <w:t xml:space="preserve"> года </w:t>
      </w:r>
      <w:r w:rsidRPr="005C53F5">
        <w:rPr>
          <w:rFonts w:ascii="Times New Roman" w:eastAsia="Calibri" w:hAnsi="Times New Roman" w:cs="Times New Roman"/>
          <w:color w:val="000000"/>
          <w:sz w:val="24"/>
          <w:szCs w:val="24"/>
          <w:lang w:eastAsia="ru-RU"/>
        </w:rPr>
        <w:t>на 100 жителей приходилось 138 абонентов мобильной связи, в целом таких абонентов насчитывалось 25 709 000.  В Казахстане используются как технологии 3</w:t>
      </w:r>
      <w:r w:rsidRPr="005C53F5">
        <w:rPr>
          <w:rFonts w:ascii="Times New Roman" w:eastAsia="Calibri" w:hAnsi="Times New Roman" w:cs="Times New Roman"/>
          <w:color w:val="000000"/>
          <w:sz w:val="24"/>
          <w:szCs w:val="24"/>
          <w:lang w:val="en-US" w:eastAsia="ru-RU"/>
        </w:rPr>
        <w:t>G</w:t>
      </w:r>
      <w:r w:rsidRPr="005C53F5">
        <w:rPr>
          <w:rFonts w:ascii="Times New Roman" w:eastAsia="Calibri" w:hAnsi="Times New Roman" w:cs="Times New Roman"/>
          <w:color w:val="000000"/>
          <w:sz w:val="24"/>
          <w:szCs w:val="24"/>
          <w:lang w:eastAsia="ru-RU"/>
        </w:rPr>
        <w:t>, так и технологии 4</w:t>
      </w:r>
      <w:r w:rsidRPr="005C53F5">
        <w:rPr>
          <w:rFonts w:ascii="Times New Roman" w:eastAsia="Calibri" w:hAnsi="Times New Roman" w:cs="Times New Roman"/>
          <w:color w:val="000000"/>
          <w:sz w:val="24"/>
          <w:szCs w:val="24"/>
          <w:lang w:val="en-US" w:eastAsia="ru-RU"/>
        </w:rPr>
        <w:t>G</w:t>
      </w:r>
      <w:r w:rsidRPr="005C53F5">
        <w:rPr>
          <w:rFonts w:ascii="Times New Roman" w:eastAsia="Calibri" w:hAnsi="Times New Roman" w:cs="Times New Roman"/>
          <w:color w:val="000000"/>
          <w:sz w:val="24"/>
          <w:szCs w:val="24"/>
          <w:lang w:eastAsia="ru-RU"/>
        </w:rPr>
        <w:t xml:space="preserve"> (</w:t>
      </w:r>
      <w:r w:rsidRPr="005C53F5">
        <w:rPr>
          <w:rFonts w:ascii="Times New Roman" w:eastAsia="Calibri" w:hAnsi="Times New Roman" w:cs="Times New Roman"/>
          <w:color w:val="000000"/>
          <w:sz w:val="24"/>
          <w:szCs w:val="24"/>
          <w:lang w:val="en-US" w:eastAsia="ru-RU"/>
        </w:rPr>
        <w:t>LTE</w:t>
      </w:r>
      <w:r w:rsidRPr="005C53F5">
        <w:rPr>
          <w:rFonts w:ascii="Times New Roman" w:eastAsia="Calibri" w:hAnsi="Times New Roman" w:cs="Times New Roman"/>
          <w:color w:val="000000"/>
          <w:sz w:val="24"/>
          <w:szCs w:val="24"/>
          <w:lang w:eastAsia="ru-RU"/>
        </w:rPr>
        <w:t>). В частности, все населенные пункты с населением не менее 10 000 человек имеют доступ к технологии 3</w:t>
      </w:r>
      <w:r w:rsidRPr="005C53F5">
        <w:rPr>
          <w:rFonts w:ascii="Times New Roman" w:eastAsia="Calibri" w:hAnsi="Times New Roman" w:cs="Times New Roman"/>
          <w:color w:val="000000"/>
          <w:sz w:val="24"/>
          <w:szCs w:val="24"/>
          <w:lang w:val="en-US" w:eastAsia="ru-RU"/>
        </w:rPr>
        <w:t>G</w:t>
      </w:r>
      <w:r w:rsidRPr="005C53F5">
        <w:rPr>
          <w:rFonts w:ascii="Times New Roman" w:eastAsia="Calibri" w:hAnsi="Times New Roman" w:cs="Times New Roman"/>
          <w:color w:val="000000"/>
          <w:sz w:val="24"/>
          <w:szCs w:val="24"/>
          <w:lang w:eastAsia="ru-RU"/>
        </w:rPr>
        <w:t>, а все населенные пункты с населением не менее 50 000 человек и все региональные центры имеют доступ к технологии 4</w:t>
      </w:r>
      <w:r w:rsidRPr="005C53F5">
        <w:rPr>
          <w:rFonts w:ascii="Times New Roman" w:eastAsia="Calibri" w:hAnsi="Times New Roman" w:cs="Times New Roman"/>
          <w:color w:val="000000"/>
          <w:sz w:val="24"/>
          <w:szCs w:val="24"/>
          <w:lang w:val="en-US" w:eastAsia="ru-RU"/>
        </w:rPr>
        <w:t>G</w:t>
      </w:r>
      <w:r w:rsidRPr="005C53F5">
        <w:rPr>
          <w:rFonts w:ascii="Times New Roman" w:eastAsia="Calibri" w:hAnsi="Times New Roman" w:cs="Times New Roman"/>
          <w:color w:val="000000"/>
          <w:sz w:val="24"/>
          <w:szCs w:val="24"/>
          <w:lang w:eastAsia="ru-RU"/>
        </w:rPr>
        <w:t>.</w:t>
      </w:r>
    </w:p>
    <w:p w14:paraId="329BD527" w14:textId="77777777" w:rsidR="00DD59AC" w:rsidRPr="005C53F5" w:rsidRDefault="00DD59AC" w:rsidP="00057BE5">
      <w:pPr>
        <w:keepNext/>
        <w:autoSpaceDE w:val="0"/>
        <w:autoSpaceDN w:val="0"/>
        <w:spacing w:after="0" w:line="240" w:lineRule="auto"/>
        <w:ind w:firstLine="708"/>
        <w:jc w:val="both"/>
        <w:rPr>
          <w:rFonts w:ascii="Times New Roman" w:eastAsia="Calibri" w:hAnsi="Times New Roman" w:cs="Times New Roman"/>
          <w:color w:val="000000"/>
          <w:sz w:val="24"/>
          <w:szCs w:val="24"/>
          <w:lang w:eastAsia="ru-RU"/>
        </w:rPr>
      </w:pPr>
      <w:r w:rsidRPr="005C53F5">
        <w:rPr>
          <w:rFonts w:ascii="Times New Roman" w:eastAsia="Calibri" w:hAnsi="Times New Roman" w:cs="Times New Roman"/>
          <w:color w:val="000000"/>
          <w:sz w:val="24"/>
          <w:szCs w:val="24"/>
          <w:lang w:eastAsia="ru-RU"/>
        </w:rPr>
        <w:t xml:space="preserve">По всей стране в 2018 году насчитывалось 2 462 400 абонентов, имеющих доступ к интернету, из которых 2 461 300 были абонентами услуг широкополосного интернета. В 2019 году 84,2% населения Казахстана имели доступ к интернету, в том числе 86,3% - в городах и 81,4% - в сельской местности. В январе-декабре 2019 года насчитывалось 2 493 900 абонентов фиксированного интернета, из которых 2 451 400 были абонентами услуг высокоскоростного широкополосного интернета. Что касается сельской местности, в 2018 году число абонентов фиксированного Интернета составляло 521,7 тыс., а в январе-декабре 2019 года их число возросло до 528,3 тыс.  Казахстан уделяет особое внимание обеспечению доступности интернета с помощью современных технологий </w:t>
      </w:r>
      <w:r w:rsidRPr="005C53F5">
        <w:rPr>
          <w:rFonts w:ascii="Times New Roman" w:eastAsia="Calibri" w:hAnsi="Times New Roman" w:cs="Times New Roman"/>
          <w:color w:val="000000"/>
          <w:sz w:val="24"/>
          <w:szCs w:val="24"/>
          <w:lang w:val="en-US" w:eastAsia="ru-RU"/>
        </w:rPr>
        <w:t>ADSL</w:t>
      </w:r>
      <w:r w:rsidRPr="005C53F5">
        <w:rPr>
          <w:rFonts w:ascii="Times New Roman" w:eastAsia="Calibri" w:hAnsi="Times New Roman" w:cs="Times New Roman"/>
          <w:color w:val="000000"/>
          <w:sz w:val="24"/>
          <w:szCs w:val="24"/>
          <w:lang w:eastAsia="ru-RU"/>
        </w:rPr>
        <w:t xml:space="preserve">, </w:t>
      </w:r>
      <w:r w:rsidRPr="005C53F5">
        <w:rPr>
          <w:rFonts w:ascii="Times New Roman" w:eastAsia="Calibri" w:hAnsi="Times New Roman" w:cs="Times New Roman"/>
          <w:color w:val="000000"/>
          <w:sz w:val="24"/>
          <w:szCs w:val="24"/>
          <w:lang w:val="en-US" w:eastAsia="ru-RU"/>
        </w:rPr>
        <w:t>FTTH</w:t>
      </w:r>
      <w:r w:rsidRPr="005C53F5">
        <w:rPr>
          <w:rFonts w:ascii="Times New Roman" w:eastAsia="Calibri" w:hAnsi="Times New Roman" w:cs="Times New Roman"/>
          <w:color w:val="000000"/>
          <w:sz w:val="24"/>
          <w:szCs w:val="24"/>
          <w:lang w:eastAsia="ru-RU"/>
        </w:rPr>
        <w:t>/</w:t>
      </w:r>
      <w:r w:rsidRPr="005C53F5">
        <w:rPr>
          <w:rFonts w:ascii="Times New Roman" w:eastAsia="Calibri" w:hAnsi="Times New Roman" w:cs="Times New Roman"/>
          <w:color w:val="000000"/>
          <w:sz w:val="24"/>
          <w:szCs w:val="24"/>
          <w:lang w:val="en-US" w:eastAsia="ru-RU"/>
        </w:rPr>
        <w:t>B</w:t>
      </w:r>
      <w:r w:rsidRPr="005C53F5">
        <w:rPr>
          <w:rFonts w:ascii="Times New Roman" w:eastAsia="Calibri" w:hAnsi="Times New Roman" w:cs="Times New Roman"/>
          <w:color w:val="000000"/>
          <w:sz w:val="24"/>
          <w:szCs w:val="24"/>
          <w:lang w:eastAsia="ru-RU"/>
        </w:rPr>
        <w:t xml:space="preserve"> и беспроводных технологий 3</w:t>
      </w:r>
      <w:r w:rsidRPr="005C53F5">
        <w:rPr>
          <w:rFonts w:ascii="Times New Roman" w:eastAsia="Calibri" w:hAnsi="Times New Roman" w:cs="Times New Roman"/>
          <w:color w:val="000000"/>
          <w:sz w:val="24"/>
          <w:szCs w:val="24"/>
          <w:lang w:val="en-US" w:eastAsia="ru-RU"/>
        </w:rPr>
        <w:t>G</w:t>
      </w:r>
      <w:r w:rsidRPr="005C53F5">
        <w:rPr>
          <w:rFonts w:ascii="Times New Roman" w:eastAsia="Calibri" w:hAnsi="Times New Roman" w:cs="Times New Roman"/>
          <w:color w:val="000000"/>
          <w:sz w:val="24"/>
          <w:szCs w:val="24"/>
          <w:lang w:eastAsia="ru-RU"/>
        </w:rPr>
        <w:t xml:space="preserve"> и 4</w:t>
      </w:r>
      <w:r w:rsidRPr="005C53F5">
        <w:rPr>
          <w:rFonts w:ascii="Times New Roman" w:eastAsia="Calibri" w:hAnsi="Times New Roman" w:cs="Times New Roman"/>
          <w:color w:val="000000"/>
          <w:sz w:val="24"/>
          <w:szCs w:val="24"/>
          <w:lang w:val="en-US" w:eastAsia="ru-RU"/>
        </w:rPr>
        <w:t>G</w:t>
      </w:r>
      <w:r w:rsidRPr="005C53F5">
        <w:rPr>
          <w:rFonts w:ascii="Times New Roman" w:eastAsia="Calibri" w:hAnsi="Times New Roman" w:cs="Times New Roman"/>
          <w:color w:val="000000"/>
          <w:sz w:val="24"/>
          <w:szCs w:val="24"/>
          <w:lang w:eastAsia="ru-RU"/>
        </w:rPr>
        <w:t xml:space="preserve">. В крупных городах подключение к интернету осуществляется по оптоволоконным кабелям с технологией </w:t>
      </w:r>
      <w:r w:rsidRPr="005C53F5">
        <w:rPr>
          <w:rFonts w:ascii="Times New Roman" w:eastAsia="Calibri" w:hAnsi="Times New Roman" w:cs="Times New Roman"/>
          <w:color w:val="000000"/>
          <w:sz w:val="24"/>
          <w:szCs w:val="24"/>
          <w:lang w:val="en-US" w:eastAsia="ru-RU"/>
        </w:rPr>
        <w:t>FTTH</w:t>
      </w:r>
      <w:r w:rsidRPr="005C53F5">
        <w:rPr>
          <w:rFonts w:ascii="Times New Roman" w:eastAsia="Calibri" w:hAnsi="Times New Roman" w:cs="Times New Roman"/>
          <w:color w:val="000000"/>
          <w:sz w:val="24"/>
          <w:szCs w:val="24"/>
          <w:lang w:eastAsia="ru-RU"/>
        </w:rPr>
        <w:t xml:space="preserve"> со скоростью 120 Мбит в секунду.</w:t>
      </w:r>
    </w:p>
    <w:p w14:paraId="1F4D1841" w14:textId="77777777" w:rsidR="00DD59AC" w:rsidRPr="005C53F5" w:rsidRDefault="00DD59AC" w:rsidP="00057BE5">
      <w:pPr>
        <w:pStyle w:val="ConsPlusNormal"/>
        <w:ind w:firstLine="708"/>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эмитента и исполнение им обязательств по ценным бумагам:</w:t>
      </w:r>
    </w:p>
    <w:p w14:paraId="6BA83C58" w14:textId="338BF764" w:rsidR="00DD59AC" w:rsidRPr="005C53F5" w:rsidRDefault="00DD59AC" w:rsidP="00057BE5">
      <w:pPr>
        <w:pStyle w:val="ConsPlusNormal"/>
        <w:ind w:firstLine="708"/>
        <w:jc w:val="both"/>
        <w:rPr>
          <w:rFonts w:ascii="Times New Roman" w:eastAsia="Calibri" w:hAnsi="Times New Roman" w:cs="Calibri"/>
          <w:sz w:val="24"/>
          <w:szCs w:val="24"/>
        </w:rPr>
      </w:pPr>
      <w:r w:rsidRPr="005C53F5">
        <w:rPr>
          <w:rFonts w:ascii="Times New Roman" w:eastAsia="Calibri" w:hAnsi="Times New Roman" w:cs="Calibri"/>
          <w:sz w:val="24"/>
          <w:szCs w:val="24"/>
        </w:rPr>
        <w:t>Республика Казахстан подвержена конъюнктуре мировых цен на сырье, однако также обладает развитой производственной базой, которая обеспечивает достаточный уровень экономической диверсификации. В случае неблагоприятного изменения конъюнктуры на сырьевых рынках Республика Казахстан примет необходимые меры для минимизации ущерба и исполнения обязательств по Облигациям.</w:t>
      </w:r>
    </w:p>
    <w:p w14:paraId="301FE7CB" w14:textId="77777777" w:rsidR="00DD59AC" w:rsidRPr="005C53F5" w:rsidRDefault="00DD59AC" w:rsidP="00057BE5">
      <w:pPr>
        <w:spacing w:after="0" w:line="240" w:lineRule="auto"/>
        <w:ind w:firstLine="709"/>
        <w:jc w:val="both"/>
        <w:rPr>
          <w:rFonts w:ascii="Times New Roman" w:eastAsia="Calibri" w:hAnsi="Times New Roman" w:cs="Times New Roman"/>
          <w:i/>
          <w:sz w:val="24"/>
          <w:szCs w:val="24"/>
          <w:lang w:eastAsia="x-none"/>
        </w:rPr>
      </w:pPr>
      <w:r w:rsidRPr="005C53F5">
        <w:rPr>
          <w:rFonts w:ascii="Times New Roman" w:eastAsia="Calibri" w:hAnsi="Times New Roman" w:cs="Times New Roman"/>
          <w:i/>
          <w:sz w:val="24"/>
          <w:szCs w:val="24"/>
          <w:lang w:eastAsia="x-none"/>
        </w:rPr>
        <w:t xml:space="preserve">Существенное изменение цен на сырьевые товары, в частности на нефть и нефтепродукты, может оказать соответствующее влияние на финансовое состояние Республики Казахстан  </w:t>
      </w:r>
    </w:p>
    <w:p w14:paraId="530C18E8" w14:textId="2BDC36FF" w:rsidR="00DD59AC" w:rsidRPr="005C53F5" w:rsidRDefault="00DD59AC"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Республика Казахстан является крупным экспортером сырьевых товаров, включая нефть, природный газ, сталь, медь, железные сплавы, железную руду, алюминий, уголь, свинец, цинк и пшеницу. В 2018 году и </w:t>
      </w:r>
      <w:r w:rsidRPr="005C53F5">
        <w:rPr>
          <w:rFonts w:ascii="Times New Roman" w:eastAsia="Calibri" w:hAnsi="Times New Roman" w:cs="Times New Roman"/>
          <w:sz w:val="24"/>
          <w:szCs w:val="24"/>
          <w:lang w:val="kk-KZ" w:eastAsia="x-none"/>
        </w:rPr>
        <w:t>январь-декабрь</w:t>
      </w:r>
      <w:r w:rsidRPr="005C53F5">
        <w:rPr>
          <w:rFonts w:ascii="Times New Roman" w:hAnsi="Times New Roman"/>
          <w:sz w:val="24"/>
          <w:lang w:val="kk-KZ"/>
        </w:rPr>
        <w:t xml:space="preserve"> </w:t>
      </w:r>
      <w:r w:rsidRPr="005C53F5">
        <w:rPr>
          <w:rFonts w:ascii="Times New Roman" w:eastAsia="Calibri" w:hAnsi="Times New Roman" w:cs="Times New Roman"/>
          <w:sz w:val="24"/>
          <w:szCs w:val="24"/>
          <w:lang w:eastAsia="x-none"/>
        </w:rPr>
        <w:t>2019 года, минеральные продукты составили 74,5% и 72,8% соответственно казахстанского экспорта на основе фактических торговых потоков (или 78,8% и 77,0% соответственно казахстанского экспорта на таможенной основе), и, в частности, топливно-энергетические продукты составили 70,0% и 66,1% соответственно казахстанского экспорта на основе фактических торговых потоков. Таким образом, экономика Республики Казахстан и государственный бюджет зависят от налоговых поступлений от экспорта полезных ископаемых, в частности сырой нефти и нефтепродуктов. Налоги на компании, занимающихся добычей нефти и нефтепродуктов, составляют значительную долю доходов Национального Фонда, который выполняет важную стабилизирующую функцию в экономике Республики Казахстан. В настоящее время Национальный фонд является источником официальных трансфертов в государственный бюджет, которые составили 2,6 трлн тенге в 2018 году, 3 070 млрд тенге в 2019 году и</w:t>
      </w:r>
      <w:r w:rsidRPr="005C53F5">
        <w:rPr>
          <w:rFonts w:ascii="Times New Roman" w:hAnsi="Times New Roman"/>
          <w:sz w:val="28"/>
        </w:rPr>
        <w:t xml:space="preserve"> </w:t>
      </w:r>
      <w:r w:rsidRPr="005C53F5">
        <w:rPr>
          <w:rFonts w:ascii="Times New Roman" w:eastAsia="Calibri" w:hAnsi="Times New Roman" w:cs="Times New Roman"/>
          <w:sz w:val="24"/>
          <w:szCs w:val="24"/>
          <w:lang w:eastAsia="x-none"/>
        </w:rPr>
        <w:t xml:space="preserve">запланированы на 2020 год сумму 4 770 млрд тенге. По состоянию на 1 января 2020 Национальный фонд Республики Казахстан располагал валютными активами в размере 61,8 млрд долларов США. Эти активы позволяют Национальному Фонду выступать в качестве фискального буфера против внешних потрясений экономики и компенсировать убытки, которые могут быть понесены в результате снижения налоговых поступлений от предприятий добывающего сектора. Он также способствует защите Республики Казахстан от девальвации тенге. </w:t>
      </w:r>
    </w:p>
    <w:p w14:paraId="12246509" w14:textId="06E2C1F8" w:rsidR="00DD59AC" w:rsidRPr="005C53F5" w:rsidRDefault="00DD59AC" w:rsidP="00057BE5">
      <w:pPr>
        <w:spacing w:after="0" w:line="240" w:lineRule="auto"/>
        <w:ind w:firstLine="709"/>
        <w:jc w:val="both"/>
        <w:rPr>
          <w:rFonts w:ascii="Times New Roman" w:eastAsia="Calibri" w:hAnsi="Times New Roman" w:cs="Times New Roman"/>
          <w:sz w:val="24"/>
          <w:szCs w:val="24"/>
          <w:lang w:eastAsia="de-DE"/>
        </w:rPr>
      </w:pPr>
      <w:r w:rsidRPr="005C53F5">
        <w:rPr>
          <w:rFonts w:ascii="Times New Roman" w:eastAsia="Calibri" w:hAnsi="Times New Roman" w:cs="Times New Roman"/>
          <w:sz w:val="24"/>
          <w:szCs w:val="24"/>
        </w:rPr>
        <w:t xml:space="preserve">Принимая внимание, что Республики Казахстан </w:t>
      </w:r>
      <w:r w:rsidRPr="005C53F5">
        <w:rPr>
          <w:rFonts w:ascii="Times New Roman" w:eastAsia="Calibri" w:hAnsi="Times New Roman" w:cs="Times New Roman"/>
          <w:sz w:val="24"/>
          <w:szCs w:val="24"/>
          <w:lang w:eastAsia="x-none"/>
        </w:rPr>
        <w:t>является крупным экспортером сырьевых товаров,</w:t>
      </w:r>
      <w:r w:rsidRPr="005C53F5">
        <w:rPr>
          <w:rFonts w:ascii="Times New Roman" w:eastAsia="Calibri" w:hAnsi="Times New Roman" w:cs="Times New Roman"/>
          <w:sz w:val="24"/>
          <w:szCs w:val="24"/>
        </w:rPr>
        <w:t xml:space="preserve"> колебания международных цен на сырую нефть нес</w:t>
      </w:r>
      <w:r w:rsidR="006F6A5D" w:rsidRPr="005C53F5">
        <w:rPr>
          <w:rFonts w:ascii="Times New Roman" w:eastAsia="Calibri" w:hAnsi="Times New Roman" w:cs="Times New Roman"/>
          <w:sz w:val="24"/>
          <w:szCs w:val="24"/>
        </w:rPr>
        <w:t>у</w:t>
      </w:r>
      <w:r w:rsidRPr="005C53F5">
        <w:rPr>
          <w:rFonts w:ascii="Times New Roman" w:eastAsia="Calibri" w:hAnsi="Times New Roman" w:cs="Times New Roman"/>
          <w:sz w:val="24"/>
          <w:szCs w:val="24"/>
        </w:rPr>
        <w:t>т значительные риски. В последние годы цены на нефть сильно колебались в зависимости от глобального спроса и предложения, общих экономических условий, конкуренции со стороны других источников энергии и других факторов. В 2014 году, когда, по данным Агентства энергетической информации США, спот-цена нефти марки Brent в среднем составляла 98,89 доллара США за баррель, выручка от нефтяного сектора составила 4,184 млрд тенге. Однако к 2016 году, когда спот-цена нефти марки Brent в среднем составляла всего 43,74 доллара США за баррель, доходы нефтяного сектора существенно снизились и составили в этом году 1,769 млрд тенге. Закон «О республиканском </w:t>
      </w:r>
      <w:r w:rsidRPr="005C53F5">
        <w:rPr>
          <w:rFonts w:ascii="Times New Roman" w:eastAsia="Calibri" w:hAnsi="Times New Roman" w:cs="Times New Roman"/>
          <w:bCs/>
          <w:sz w:val="24"/>
          <w:szCs w:val="24"/>
        </w:rPr>
        <w:t>бюджете</w:t>
      </w:r>
      <w:r w:rsidRPr="005C53F5">
        <w:rPr>
          <w:rFonts w:ascii="Times New Roman" w:eastAsia="Calibri" w:hAnsi="Times New Roman" w:cs="Times New Roman"/>
          <w:sz w:val="24"/>
          <w:szCs w:val="24"/>
        </w:rPr>
        <w:t> на </w:t>
      </w:r>
      <w:r w:rsidRPr="005C53F5">
        <w:rPr>
          <w:rFonts w:ascii="Times New Roman" w:eastAsia="Calibri" w:hAnsi="Times New Roman" w:cs="Times New Roman"/>
          <w:bCs/>
          <w:sz w:val="24"/>
          <w:szCs w:val="24"/>
        </w:rPr>
        <w:t>2020</w:t>
      </w:r>
      <w:r w:rsidRPr="005C53F5">
        <w:rPr>
          <w:rFonts w:ascii="Times New Roman" w:eastAsia="Calibri" w:hAnsi="Times New Roman" w:cs="Times New Roman"/>
          <w:sz w:val="24"/>
          <w:szCs w:val="24"/>
        </w:rPr>
        <w:t>-2022 годы»</w:t>
      </w:r>
      <w:r w:rsidRPr="005C53F5" w:rsidDel="009E2F90">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предполагает, что средняя цена барреля сырой нефти марки Brent составит 20 долларов США в 2020 и 55 долларов США в 2021 и 2022 годах. Однако не может быть никаких гарантий того, что международные цены на сырую нефть останутся на этом уровне или выше, или что в свете продолжающейся волатильности цен на нефть не потребуется дальнейшего пересмотра государственного бюджета.</w:t>
      </w:r>
    </w:p>
    <w:p w14:paraId="1944BB33" w14:textId="4F84052E" w:rsidR="00DD59AC" w:rsidRPr="005C53F5" w:rsidRDefault="00DD59A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Устойчивое и существенное снижение цен на сырьевые товары, в том числе сырую нефть, может негативно сказаться на экономике Республики Казахстан, снизить доходы бюджета и валютные резервы. В целях нивелирования потенциальных рисков, связанных с зависимостью от сырьевых товаров, Правительством Республики Казахстан был разработан ряд государственных программ, поддерживающих диверсификации экономики.</w:t>
      </w:r>
      <w:r w:rsidRPr="005C53F5">
        <w:t xml:space="preserve"> </w:t>
      </w:r>
      <w:r w:rsidRPr="005C53F5">
        <w:rPr>
          <w:rFonts w:ascii="Times New Roman" w:eastAsia="Calibri" w:hAnsi="Times New Roman" w:cs="Times New Roman"/>
          <w:sz w:val="24"/>
          <w:szCs w:val="24"/>
        </w:rPr>
        <w:t xml:space="preserve">Так, с 2010 года поэтапно реализуется новая индустриальная политика, направленная на создание высокопроизводительной и экспортоориентированной обрабатывающей </w:t>
      </w:r>
      <w:r w:rsidR="00A57B1F" w:rsidRPr="005C53F5">
        <w:rPr>
          <w:rFonts w:ascii="Times New Roman" w:eastAsia="Calibri" w:hAnsi="Times New Roman" w:cs="Times New Roman"/>
          <w:sz w:val="24"/>
          <w:szCs w:val="24"/>
        </w:rPr>
        <w:t>промышленности, в частности:</w:t>
      </w:r>
    </w:p>
    <w:p w14:paraId="140A7A8F" w14:textId="2F3AE29E" w:rsidR="00DD59AC" w:rsidRPr="005C53F5" w:rsidRDefault="00A57B1F" w:rsidP="00057BE5">
      <w:pPr>
        <w:pStyle w:val="a4"/>
        <w:numPr>
          <w:ilvl w:val="0"/>
          <w:numId w:val="31"/>
        </w:numPr>
        <w:jc w:val="both"/>
        <w:rPr>
          <w:rFonts w:eastAsia="Calibri"/>
          <w:sz w:val="24"/>
          <w:szCs w:val="24"/>
          <w:lang w:eastAsia="de-DE"/>
        </w:rPr>
      </w:pPr>
      <w:r w:rsidRPr="005C53F5">
        <w:rPr>
          <w:rFonts w:eastAsia="Calibri"/>
          <w:sz w:val="24"/>
          <w:szCs w:val="24"/>
        </w:rPr>
        <w:t>д</w:t>
      </w:r>
      <w:r w:rsidR="00DD59AC" w:rsidRPr="005C53F5">
        <w:rPr>
          <w:rFonts w:eastAsia="Calibri"/>
          <w:sz w:val="24"/>
          <w:szCs w:val="24"/>
        </w:rPr>
        <w:t xml:space="preserve">о 2022 года </w:t>
      </w:r>
      <w:r w:rsidRPr="005C53F5">
        <w:rPr>
          <w:rFonts w:eastAsia="Calibri"/>
          <w:sz w:val="24"/>
          <w:szCs w:val="24"/>
        </w:rPr>
        <w:t xml:space="preserve">планируется </w:t>
      </w:r>
      <w:r w:rsidR="00DD59AC" w:rsidRPr="005C53F5">
        <w:rPr>
          <w:rFonts w:eastAsia="Calibri"/>
          <w:sz w:val="24"/>
          <w:szCs w:val="24"/>
        </w:rPr>
        <w:t>построить завод по производству кальцинированной соды (инвестиции составляют около 270 миллионов долларов США). Мощность производства составит 400 тыс. тонн продукции в год, с перспективой увеличени</w:t>
      </w:r>
      <w:r w:rsidRPr="005C53F5">
        <w:rPr>
          <w:rFonts w:eastAsia="Calibri"/>
          <w:sz w:val="24"/>
          <w:szCs w:val="24"/>
        </w:rPr>
        <w:t>я до 1,2 млн тонн в год;</w:t>
      </w:r>
    </w:p>
    <w:p w14:paraId="710C8182" w14:textId="337FAAE5" w:rsidR="00DD59AC" w:rsidRPr="005C53F5" w:rsidRDefault="00A57B1F" w:rsidP="00057BE5">
      <w:pPr>
        <w:pStyle w:val="a4"/>
        <w:numPr>
          <w:ilvl w:val="0"/>
          <w:numId w:val="31"/>
        </w:numPr>
        <w:jc w:val="both"/>
        <w:rPr>
          <w:rFonts w:eastAsia="Calibri"/>
          <w:sz w:val="24"/>
          <w:szCs w:val="24"/>
          <w:lang w:eastAsia="de-DE"/>
        </w:rPr>
      </w:pPr>
      <w:r w:rsidRPr="005C53F5">
        <w:rPr>
          <w:rFonts w:eastAsia="Calibri"/>
          <w:sz w:val="24"/>
          <w:szCs w:val="24"/>
        </w:rPr>
        <w:t>в</w:t>
      </w:r>
      <w:r w:rsidR="00DD59AC" w:rsidRPr="005C53F5">
        <w:rPr>
          <w:rFonts w:eastAsia="Calibri"/>
          <w:sz w:val="24"/>
          <w:szCs w:val="24"/>
        </w:rPr>
        <w:t xml:space="preserve"> 2020 году планируется ввод в эксплуатацию завода по производству строительных керамических изделий</w:t>
      </w:r>
      <w:r w:rsidRPr="005C53F5">
        <w:rPr>
          <w:rFonts w:eastAsia="Calibri"/>
          <w:sz w:val="24"/>
          <w:szCs w:val="24"/>
        </w:rPr>
        <w:t>;</w:t>
      </w:r>
    </w:p>
    <w:p w14:paraId="07D155F6" w14:textId="00F030F6" w:rsidR="00DD59AC" w:rsidRPr="005C53F5" w:rsidRDefault="00A57B1F" w:rsidP="00057BE5">
      <w:pPr>
        <w:pStyle w:val="a4"/>
        <w:numPr>
          <w:ilvl w:val="0"/>
          <w:numId w:val="31"/>
        </w:numPr>
        <w:jc w:val="both"/>
        <w:rPr>
          <w:rFonts w:eastAsia="Calibri"/>
          <w:sz w:val="24"/>
          <w:szCs w:val="24"/>
          <w:lang w:eastAsia="de-DE"/>
        </w:rPr>
      </w:pPr>
      <w:r w:rsidRPr="005C53F5">
        <w:rPr>
          <w:rFonts w:eastAsia="Calibri"/>
          <w:sz w:val="24"/>
          <w:szCs w:val="24"/>
        </w:rPr>
        <w:t>в</w:t>
      </w:r>
      <w:r w:rsidR="00DD59AC" w:rsidRPr="005C53F5">
        <w:rPr>
          <w:rFonts w:eastAsia="Calibri"/>
          <w:sz w:val="24"/>
          <w:szCs w:val="24"/>
        </w:rPr>
        <w:t xml:space="preserve"> 2021 году будет построен сахарный завод, ожидаемая мощность предприят</w:t>
      </w:r>
      <w:r w:rsidRPr="005C53F5">
        <w:rPr>
          <w:rFonts w:eastAsia="Calibri"/>
          <w:sz w:val="24"/>
          <w:szCs w:val="24"/>
        </w:rPr>
        <w:t>ия составит 8 тыс. тонн в сутки;</w:t>
      </w:r>
    </w:p>
    <w:p w14:paraId="6000ADFC" w14:textId="77777777" w:rsidR="00A57B1F" w:rsidRPr="005C53F5" w:rsidRDefault="00A57B1F" w:rsidP="00057BE5">
      <w:pPr>
        <w:pStyle w:val="a4"/>
        <w:numPr>
          <w:ilvl w:val="0"/>
          <w:numId w:val="31"/>
        </w:numPr>
        <w:jc w:val="both"/>
        <w:rPr>
          <w:rFonts w:eastAsia="Calibri"/>
          <w:sz w:val="24"/>
          <w:szCs w:val="24"/>
        </w:rPr>
      </w:pPr>
      <w:r w:rsidRPr="005C53F5">
        <w:rPr>
          <w:rFonts w:eastAsia="Calibri"/>
          <w:sz w:val="24"/>
          <w:szCs w:val="24"/>
        </w:rPr>
        <w:t>в</w:t>
      </w:r>
      <w:r w:rsidR="00DD59AC" w:rsidRPr="005C53F5">
        <w:rPr>
          <w:rFonts w:eastAsia="Calibri"/>
          <w:sz w:val="24"/>
          <w:szCs w:val="24"/>
        </w:rPr>
        <w:t>едется строительство тепличного комплекса (общая стоимость – 1 миллиард до</w:t>
      </w:r>
      <w:r w:rsidRPr="005C53F5">
        <w:rPr>
          <w:rFonts w:eastAsia="Calibri"/>
          <w:sz w:val="24"/>
          <w:szCs w:val="24"/>
        </w:rPr>
        <w:t>лларов США). Тепличный комплекс</w:t>
      </w:r>
      <w:r w:rsidR="00DD59AC" w:rsidRPr="005C53F5">
        <w:rPr>
          <w:rFonts w:eastAsia="Calibri"/>
          <w:sz w:val="24"/>
          <w:szCs w:val="24"/>
        </w:rPr>
        <w:t xml:space="preserve"> будет одним из крупнейших в мире, п</w:t>
      </w:r>
      <w:r w:rsidRPr="005C53F5">
        <w:rPr>
          <w:rFonts w:eastAsia="Calibri"/>
          <w:sz w:val="24"/>
          <w:szCs w:val="24"/>
        </w:rPr>
        <w:t>лощадь будет составлять 500 га;</w:t>
      </w:r>
    </w:p>
    <w:p w14:paraId="04DB6A0E" w14:textId="5F1EDAC7" w:rsidR="00DD59AC" w:rsidRPr="005C53F5" w:rsidRDefault="00A57B1F" w:rsidP="00057BE5">
      <w:pPr>
        <w:pStyle w:val="a4"/>
        <w:numPr>
          <w:ilvl w:val="0"/>
          <w:numId w:val="31"/>
        </w:numPr>
        <w:jc w:val="both"/>
        <w:rPr>
          <w:rFonts w:eastAsia="Calibri"/>
          <w:sz w:val="24"/>
          <w:szCs w:val="24"/>
        </w:rPr>
      </w:pPr>
      <w:r w:rsidRPr="005C53F5">
        <w:rPr>
          <w:rFonts w:eastAsia="Calibri"/>
          <w:sz w:val="24"/>
          <w:szCs w:val="24"/>
        </w:rPr>
        <w:t>ведется строительство других заводов и предприятий</w:t>
      </w:r>
      <w:r w:rsidR="00DD59AC" w:rsidRPr="005C53F5">
        <w:rPr>
          <w:rFonts w:eastAsia="Calibri"/>
          <w:sz w:val="24"/>
          <w:szCs w:val="24"/>
        </w:rPr>
        <w:t xml:space="preserve"> для создания конкурентоспособной обрабатывающей промышленности</w:t>
      </w:r>
      <w:r w:rsidRPr="005C53F5">
        <w:rPr>
          <w:rFonts w:eastAsia="Calibri"/>
          <w:sz w:val="24"/>
          <w:szCs w:val="24"/>
        </w:rPr>
        <w:t>.</w:t>
      </w:r>
    </w:p>
    <w:p w14:paraId="70804A96" w14:textId="50E076A1" w:rsidR="00DD59AC" w:rsidRPr="005C53F5" w:rsidRDefault="00DD59A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декабре 2019 года Правительством Республики Казахстан была утверждена «Государственная программа индустриально-инновационного развития Республики Казахстан на 2020-2025 годы»</w:t>
      </w:r>
      <w:r w:rsidR="00B94E5F"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на реализацию программы будет выделено 1,8 миллиардов долларов США.</w:t>
      </w:r>
    </w:p>
    <w:p w14:paraId="04BA62D8" w14:textId="4437FDA4" w:rsidR="00DD59AC" w:rsidRPr="005C53F5" w:rsidRDefault="00DD59A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2014-2015 году и 2016-2020 году были запущены два Комплексных плана приватизации с целью стимулирования частных инвестиций и создания динамично развивающегося частного сектора. Только в 2019 году было продано 38 объектов приватизации на сумму 92,7 млрд тенге и еще 30 находятся на торгах. </w:t>
      </w:r>
    </w:p>
    <w:p w14:paraId="41AA3598" w14:textId="363E92A2" w:rsidR="00DD59AC" w:rsidRPr="005C53F5" w:rsidRDefault="00DD59A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Достижению планов Правительства Республики Казахстан по диверсификации экономики и снижению рисков способствуют объективные достижения</w:t>
      </w:r>
      <w:r w:rsidR="00B94E5F"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такие как благоприятный инвестиционный климат (25 место в рейтинге </w:t>
      </w:r>
      <w:r w:rsidRPr="005C53F5">
        <w:rPr>
          <w:rFonts w:ascii="Times New Roman" w:eastAsia="Calibri" w:hAnsi="Times New Roman" w:cs="Times New Roman"/>
          <w:sz w:val="24"/>
          <w:szCs w:val="24"/>
          <w:lang w:val="en-US"/>
        </w:rPr>
        <w:t>Doing</w:t>
      </w:r>
      <w:r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lang w:val="en-US"/>
        </w:rPr>
        <w:t>Business</w:t>
      </w:r>
      <w:r w:rsidRPr="005C53F5">
        <w:rPr>
          <w:rFonts w:ascii="Times New Roman" w:eastAsia="Calibri" w:hAnsi="Times New Roman" w:cs="Times New Roman"/>
          <w:sz w:val="24"/>
          <w:szCs w:val="24"/>
        </w:rPr>
        <w:t xml:space="preserve"> Всемирного банка в 2020</w:t>
      </w:r>
      <w:r w:rsidR="00B94E5F" w:rsidRPr="005C53F5">
        <w:rPr>
          <w:rFonts w:ascii="Times New Roman" w:eastAsia="Calibri" w:hAnsi="Times New Roman" w:cs="Times New Roman"/>
          <w:sz w:val="24"/>
          <w:szCs w:val="24"/>
        </w:rPr>
        <w:t xml:space="preserve"> году</w:t>
      </w:r>
      <w:r w:rsidRPr="005C53F5">
        <w:rPr>
          <w:rFonts w:ascii="Times New Roman" w:eastAsia="Calibri" w:hAnsi="Times New Roman" w:cs="Times New Roman"/>
          <w:sz w:val="24"/>
          <w:szCs w:val="24"/>
        </w:rPr>
        <w:t>), макроэкономическая стабильность, кредитная устойчивость и высокие темпы рос</w:t>
      </w:r>
      <w:r w:rsidR="00B94E5F" w:rsidRPr="005C53F5">
        <w:rPr>
          <w:rFonts w:ascii="Times New Roman" w:eastAsia="Calibri" w:hAnsi="Times New Roman" w:cs="Times New Roman"/>
          <w:sz w:val="24"/>
          <w:szCs w:val="24"/>
        </w:rPr>
        <w:t>та экономики в последние годы.</w:t>
      </w:r>
    </w:p>
    <w:p w14:paraId="39D6E67B" w14:textId="77777777" w:rsidR="00DD59AC" w:rsidRPr="005C53F5" w:rsidRDefault="00DD59AC" w:rsidP="00057BE5">
      <w:pPr>
        <w:pStyle w:val="ConsPlusNormal"/>
        <w:ind w:firstLine="708"/>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Риски, связанные с возможным изменением цен на продукцию и (или) услуги эмитента (отдельно на внутреннем и внешнем рынках), и их влияние на деятельность эмитента и исполнение им обязательств по ценным бумагам:</w:t>
      </w:r>
    </w:p>
    <w:p w14:paraId="5333F009" w14:textId="7F34A100" w:rsidR="00565365" w:rsidRPr="005C53F5" w:rsidRDefault="00DD59AC" w:rsidP="00057BE5">
      <w:pPr>
        <w:keepNext/>
        <w:autoSpaceDE w:val="0"/>
        <w:autoSpaceDN w:val="0"/>
        <w:spacing w:after="0" w:line="240" w:lineRule="auto"/>
        <w:ind w:firstLine="708"/>
        <w:jc w:val="both"/>
        <w:rPr>
          <w:rFonts w:ascii="Times New Roman" w:eastAsia="Calibri" w:hAnsi="Times New Roman" w:cs="Times New Roman"/>
          <w:sz w:val="24"/>
          <w:szCs w:val="24"/>
          <w:lang w:eastAsia="ru-RU"/>
        </w:rPr>
      </w:pPr>
      <w:r w:rsidRPr="005C53F5">
        <w:rPr>
          <w:rFonts w:ascii="Times New Roman" w:eastAsia="Calibri" w:hAnsi="Times New Roman" w:cs="Calibri"/>
          <w:sz w:val="24"/>
          <w:szCs w:val="24"/>
        </w:rPr>
        <w:t xml:space="preserve">Экономика Республики Казахстан, помимо описанных выше рисков, может быть подвержена ряду других внешних и внутренних рисков, которые более подробно описаны далее в пункте 2.5 Проспекта ценных бумаг. </w:t>
      </w:r>
      <w:r w:rsidRPr="005C53F5">
        <w:rPr>
          <w:rFonts w:ascii="Times New Roman" w:eastAsia="Calibri" w:hAnsi="Times New Roman" w:cs="Times New Roman"/>
          <w:sz w:val="24"/>
          <w:szCs w:val="24"/>
          <w:lang w:eastAsia="ru-RU"/>
        </w:rPr>
        <w:t xml:space="preserve">Республика Казахстан примет необходимые меры для минимизации ущерба от осуществившихся внешних и внутренних рисков для исполнения обязательств по Облигациям. </w:t>
      </w:r>
      <w:r w:rsidR="00565365" w:rsidRPr="005C53F5">
        <w:rPr>
          <w:rFonts w:ascii="Times New Roman" w:eastAsia="Calibri" w:hAnsi="Times New Roman" w:cs="Times New Roman"/>
          <w:sz w:val="24"/>
          <w:szCs w:val="24"/>
          <w:lang w:eastAsia="ru-RU"/>
        </w:rPr>
        <w:t xml:space="preserve"> </w:t>
      </w:r>
    </w:p>
    <w:p w14:paraId="2E9951FF" w14:textId="77777777"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132" w:name="_Toc39616338"/>
      <w:bookmarkStart w:id="133" w:name="_Toc36145576"/>
      <w:r w:rsidRPr="005C53F5">
        <w:rPr>
          <w:rFonts w:ascii="Times New Roman" w:hAnsi="Times New Roman" w:cs="Times New Roman"/>
          <w:b/>
          <w:sz w:val="24"/>
          <w:szCs w:val="24"/>
        </w:rPr>
        <w:t>2.5.2. Страновые и региональные риски</w:t>
      </w:r>
      <w:bookmarkEnd w:id="132"/>
      <w:bookmarkEnd w:id="133"/>
    </w:p>
    <w:p w14:paraId="625330E9" w14:textId="2A281207" w:rsidR="00677C46" w:rsidRPr="005C53F5" w:rsidRDefault="00677C46"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Риски, связанные с политической и экономической ситуацией в стране (странах) и регионе, в которых эмитент зарегистрирован в качестве налогоплательщика и (или) осуществляет основную деятельность, при условии, что основная деятельность эмитента в такой стране (регионе) приносит 10 и более процентов доходов за последний завершенный отчетный период до даты утверждения проспекта ценных бумаг:</w:t>
      </w:r>
    </w:p>
    <w:p w14:paraId="2C885202" w14:textId="5188161C" w:rsidR="00677C46" w:rsidRPr="005C53F5" w:rsidRDefault="00677C46"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Республика Казахстан имеет рейтинги инвестиционного уровня, присвоенные ведущими международными рейтинговыми агентствами. По оценке</w:t>
      </w:r>
      <w:r w:rsidR="0070438A" w:rsidRPr="005C53F5">
        <w:rPr>
          <w:rFonts w:ascii="Times New Roman" w:eastAsia="Calibri" w:hAnsi="Times New Roman" w:cs="Times New Roman"/>
          <w:sz w:val="24"/>
          <w:szCs w:val="24"/>
        </w:rPr>
        <w:t xml:space="preserve"> рейтингового </w:t>
      </w:r>
      <w:r w:rsidRPr="005C53F5">
        <w:rPr>
          <w:rFonts w:ascii="Times New Roman" w:eastAsia="Calibri" w:hAnsi="Times New Roman" w:cs="Times New Roman"/>
          <w:sz w:val="24"/>
          <w:szCs w:val="24"/>
        </w:rPr>
        <w:t>агентства Standard</w:t>
      </w:r>
      <w:r w:rsidR="0070438A"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&amp;</w:t>
      </w:r>
      <w:r w:rsidR="0070438A"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Poor’s (пресс-релиз от 26.03.2020) Республике Казахстан подтверждены долгосрочный и краткосрочный суверенные кредитные рейтинги в иностранной и национальной валютах на уровне «BВВ-/А-3» (прогноз «стабильный»). Согласно оценке рейтингового агентства Fitch Ratings (пресс-релиз от 21.02.2020), долгосрочный и краткосрочный суверенные рейтинги Республики Казахстан в иностранной и национальной валютах подтверждены на уровне «ВВВ/</w:t>
      </w:r>
      <w:r w:rsidRPr="005C53F5">
        <w:rPr>
          <w:rFonts w:ascii="Times New Roman" w:eastAsia="Calibri" w:hAnsi="Times New Roman" w:cs="Times New Roman"/>
          <w:sz w:val="24"/>
          <w:szCs w:val="24"/>
          <w:lang w:val="en-US"/>
        </w:rPr>
        <w:t>F</w:t>
      </w:r>
      <w:r w:rsidRPr="005C53F5">
        <w:rPr>
          <w:rFonts w:ascii="Times New Roman" w:eastAsia="Calibri" w:hAnsi="Times New Roman" w:cs="Times New Roman"/>
          <w:sz w:val="24"/>
          <w:szCs w:val="24"/>
        </w:rPr>
        <w:t xml:space="preserve">2» (прогноз «стабильный»). По оценке рейтингового агентства Moody’s (пресс-релиз от 22.08.2019) долгосрочный суверенный кредитный рейтинг в иностранной и национальной валютах подтвержден на уровне «Bаа3» (прогноз </w:t>
      </w:r>
      <w:r w:rsidRPr="005C53F5">
        <w:rPr>
          <w:rFonts w:ascii="Times New Roman" w:eastAsia="Calibri" w:hAnsi="Times New Roman" w:cs="Times New Roman"/>
          <w:sz w:val="24"/>
          <w:szCs w:val="24"/>
          <w:lang w:val="kk-KZ"/>
        </w:rPr>
        <w:t>улучшен с</w:t>
      </w:r>
      <w:r w:rsidRPr="005C53F5">
        <w:rPr>
          <w:rFonts w:ascii="Times New Roman" w:eastAsia="Calibri" w:hAnsi="Times New Roman" w:cs="Times New Roman"/>
          <w:sz w:val="24"/>
          <w:szCs w:val="24"/>
        </w:rPr>
        <w:t xml:space="preserve"> «стабильного»</w:t>
      </w:r>
      <w:r w:rsidRPr="005C53F5">
        <w:rPr>
          <w:rFonts w:ascii="Times New Roman" w:eastAsia="Calibri" w:hAnsi="Times New Roman" w:cs="Times New Roman"/>
          <w:sz w:val="24"/>
          <w:szCs w:val="24"/>
          <w:lang w:val="kk-KZ"/>
        </w:rPr>
        <w:t xml:space="preserve"> на</w:t>
      </w:r>
      <w:r w:rsidRPr="005C53F5">
        <w:rPr>
          <w:rFonts w:ascii="Times New Roman" w:eastAsia="Calibri" w:hAnsi="Times New Roman" w:cs="Times New Roman"/>
          <w:sz w:val="24"/>
          <w:szCs w:val="24"/>
        </w:rPr>
        <w:t xml:space="preserve"> «позитивный»). Присвоенные Республике Казахстан кредитные рейтинги отражают низкий уровень государственного долга, сильные фискальные и внешнеэкономические показатели, которые являются резервным буфером для противодействия внешним шокам.</w:t>
      </w:r>
    </w:p>
    <w:p w14:paraId="04BED7C5" w14:textId="77777777" w:rsidR="00677C46" w:rsidRPr="005C53F5" w:rsidRDefault="00677C46"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Вместе с тем, указанные уровни кредитных рейтингов не исключают наличие экономических, социальных и политических рисков, которые необходимо принимать во внимание при инвестировании в Облигации. </w:t>
      </w:r>
    </w:p>
    <w:p w14:paraId="437E91E9" w14:textId="5A6DC923" w:rsidR="00677C46" w:rsidRPr="005C53F5" w:rsidRDefault="00677C46" w:rsidP="00057BE5">
      <w:pPr>
        <w:spacing w:after="0" w:line="240" w:lineRule="auto"/>
        <w:ind w:firstLine="709"/>
        <w:jc w:val="both"/>
        <w:rPr>
          <w:rFonts w:ascii="Times New Roman" w:eastAsia="Times New Roman" w:hAnsi="Times New Roman" w:cs="Times New Roman"/>
          <w:sz w:val="24"/>
          <w:szCs w:val="24"/>
          <w:lang w:eastAsia="ru-RU"/>
        </w:rPr>
      </w:pPr>
      <w:r w:rsidRPr="005C53F5">
        <w:rPr>
          <w:rFonts w:ascii="Times New Roman" w:eastAsia="Calibri" w:hAnsi="Times New Roman" w:cs="Times New Roman"/>
          <w:sz w:val="24"/>
          <w:szCs w:val="24"/>
        </w:rPr>
        <w:t>Республика Казахстан интегрирована в мировую экономику, в связи с чем на экономику страны оказывают влияние внешнеэкономические и геополитические события, а также изменения конъюнктуры на глобальных рынках, в том числе колебания нефтяных цен. Реальный темп роста ВВП Республики Казахстан снизился с 4,2% в 2014 году до 1,2% в 2015 году и 1,1% в 2016 году перед тем как вырасти до 4,1% в 2017 и 2018 годах. В соответствии с данными на конец 2019 года реальный темп роста ВВП в сравнении с предыдущим годом составил 4,5%. Ухудшение внешней экономической среды, включая снижение нефтяных цен, и мировое общее замедление экономического роста привели к снижению темпов роста ВВП в 2015-2016 годах.</w:t>
      </w:r>
    </w:p>
    <w:p w14:paraId="69B08350" w14:textId="77777777" w:rsidR="00677C46" w:rsidRPr="005C53F5" w:rsidRDefault="00677C46"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марте 2020 года отсутствие соглашения между членами ОПЕК+ по снижению уровней добычи нефти привело к резкому снижению мировых цен на нефть. Кроме того, дополнительное влияние на снижение нефтяных цен оказало значительное сокращение спроса на рынке в связи с глобальным распространением коронавирусной инфекции COVID-19. </w:t>
      </w:r>
    </w:p>
    <w:p w14:paraId="33AA94F1" w14:textId="5C43DCAE" w:rsidR="00677C46" w:rsidRPr="005C53F5" w:rsidRDefault="00677C46"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этих условиях наблюдалось ослабление валют стран-экспортеров нефти, в том числе казахстанского тенге. При этом плавающий курс тенге может позволить экономике Казахстана быстрее адаптироваться к снижению цен на нефть.</w:t>
      </w:r>
    </w:p>
    <w:p w14:paraId="1CAEC18C" w14:textId="77777777" w:rsidR="00AA3DBD" w:rsidRDefault="00677C46"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целом экономика Казахстана, как и экономики других стран, также может быть восприимчива к внешним изменениям и экономическим показателям своих торговых партнеров. Ухудшение экономического состояния (в том числе торговые войны, санкции) важны</w:t>
      </w:r>
      <w:r w:rsidR="00B94E5F" w:rsidRPr="005C53F5">
        <w:rPr>
          <w:rFonts w:ascii="Times New Roman" w:eastAsia="Calibri" w:hAnsi="Times New Roman" w:cs="Times New Roman"/>
          <w:sz w:val="24"/>
          <w:szCs w:val="24"/>
        </w:rPr>
        <w:t>х торговых партнеров Казахстана</w:t>
      </w:r>
      <w:r w:rsidRPr="005C53F5">
        <w:rPr>
          <w:rFonts w:ascii="Times New Roman" w:eastAsia="Calibri" w:hAnsi="Times New Roman" w:cs="Times New Roman"/>
          <w:sz w:val="24"/>
          <w:szCs w:val="24"/>
        </w:rPr>
        <w:t xml:space="preserve"> может оказать негативное воздействие на торговый баланс и экономический рост Казахстана.</w:t>
      </w:r>
    </w:p>
    <w:p w14:paraId="58814BAA" w14:textId="77777777" w:rsidR="0043119A" w:rsidRPr="005C53F5" w:rsidRDefault="0043119A" w:rsidP="0043119A">
      <w:pPr>
        <w:pStyle w:val="ConsPlusNormal"/>
        <w:ind w:firstLine="709"/>
        <w:jc w:val="both"/>
        <w:rPr>
          <w:rFonts w:ascii="Times New Roman" w:hAnsi="Times New Roman" w:cs="Times New Roman"/>
          <w:sz w:val="24"/>
          <w:szCs w:val="24"/>
        </w:rPr>
      </w:pPr>
      <w:r w:rsidRPr="005C53F5">
        <w:rPr>
          <w:rFonts w:ascii="Times New Roman" w:eastAsia="Calibri" w:hAnsi="Times New Roman" w:cs="Times New Roman"/>
          <w:sz w:val="24"/>
          <w:szCs w:val="24"/>
          <w:lang w:eastAsia="en-US"/>
        </w:rPr>
        <w:t xml:space="preserve">Нет никакой гарантии того, что ситуация в мировой экономике, внешние экономические кризисы или иные подобные события, включая описанные выше, не окажут отрицательного воздействия на экономику Казахстана и на соответствующие инвестиционные решения инвесторов. Вместе с тем, Эмитент своевременно реагирует на внешние изменения и предпринимает соответствующие действия, направленные на улучшение социально-экономической ситуации в стране. </w:t>
      </w:r>
    </w:p>
    <w:p w14:paraId="78680311" w14:textId="6D21511F" w:rsidR="0043119A" w:rsidRDefault="00AA3DBD" w:rsidP="00057BE5">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xml:space="preserve">На дату утверждения Проспекта ценных бумаг политическая ситуация в Республике Казахстан характеризуется как стабильная, соответственно, по мнению Эмитента, </w:t>
      </w:r>
      <w:r w:rsidR="0043119A">
        <w:rPr>
          <w:rFonts w:ascii="Times New Roman" w:eastAsia="Calibri" w:hAnsi="Times New Roman" w:cs="Times New Roman"/>
          <w:sz w:val="24"/>
          <w:szCs w:val="24"/>
        </w:rPr>
        <w:t xml:space="preserve">на дату утверждения Проспекта ценных бумаг и в обозримом будущем </w:t>
      </w:r>
      <w:r>
        <w:rPr>
          <w:rFonts w:ascii="Times New Roman" w:eastAsia="Calibri" w:hAnsi="Times New Roman" w:cs="Times New Roman"/>
          <w:sz w:val="24"/>
          <w:szCs w:val="24"/>
        </w:rPr>
        <w:t xml:space="preserve">отсутствуют какие-либо существенные риски, которые связаны с политической ситуацией в Республике Казахстан и </w:t>
      </w:r>
      <w:r>
        <w:rPr>
          <w:rFonts w:ascii="Times New Roman" w:hAnsi="Times New Roman" w:cs="Times New Roman"/>
          <w:sz w:val="24"/>
          <w:szCs w:val="24"/>
        </w:rPr>
        <w:t xml:space="preserve">которые могли бы оказать негативное влияние на </w:t>
      </w:r>
      <w:r w:rsidRPr="005C53F5">
        <w:rPr>
          <w:rFonts w:ascii="Times New Roman" w:hAnsi="Times New Roman" w:cs="Times New Roman"/>
          <w:sz w:val="24"/>
          <w:szCs w:val="24"/>
        </w:rPr>
        <w:t>выплаты по Облигациям</w:t>
      </w:r>
      <w:r w:rsidR="0043119A">
        <w:rPr>
          <w:rFonts w:ascii="Times New Roman" w:hAnsi="Times New Roman" w:cs="Times New Roman"/>
          <w:sz w:val="24"/>
          <w:szCs w:val="24"/>
        </w:rPr>
        <w:t xml:space="preserve">. Вместе с тем Эмитент отмечает, что одним из наиболее значимых политических событий в Казахстане стала передача президентской власти от Нурсултана Назарбаева к </w:t>
      </w:r>
      <w:r w:rsidR="0043119A" w:rsidRPr="005C53F5">
        <w:rPr>
          <w:rFonts w:ascii="Times New Roman" w:eastAsia="Calibri" w:hAnsi="Times New Roman" w:cs="Times New Roman"/>
          <w:sz w:val="24"/>
          <w:szCs w:val="24"/>
          <w:lang w:eastAsia="x-none"/>
        </w:rPr>
        <w:t>Касым-Жомарт</w:t>
      </w:r>
      <w:r w:rsidR="0043119A">
        <w:rPr>
          <w:rFonts w:ascii="Times New Roman" w:eastAsia="Calibri" w:hAnsi="Times New Roman" w:cs="Times New Roman"/>
          <w:sz w:val="24"/>
          <w:szCs w:val="24"/>
          <w:lang w:eastAsia="x-none"/>
        </w:rPr>
        <w:t>у</w:t>
      </w:r>
      <w:r w:rsidR="0043119A" w:rsidRPr="005C53F5">
        <w:rPr>
          <w:rFonts w:ascii="Times New Roman" w:eastAsia="Calibri" w:hAnsi="Times New Roman" w:cs="Times New Roman"/>
          <w:sz w:val="24"/>
          <w:szCs w:val="24"/>
          <w:lang w:eastAsia="x-none"/>
        </w:rPr>
        <w:t xml:space="preserve"> Токаев</w:t>
      </w:r>
      <w:r w:rsidR="0043119A">
        <w:rPr>
          <w:rFonts w:ascii="Times New Roman" w:eastAsia="Calibri" w:hAnsi="Times New Roman" w:cs="Times New Roman"/>
          <w:sz w:val="24"/>
          <w:szCs w:val="24"/>
          <w:lang w:eastAsia="x-none"/>
        </w:rPr>
        <w:t>у, состоявшаяся в 2019 году.</w:t>
      </w:r>
      <w:r w:rsidR="0043119A">
        <w:rPr>
          <w:rFonts w:ascii="Times New Roman" w:hAnsi="Times New Roman" w:cs="Times New Roman"/>
          <w:sz w:val="24"/>
          <w:szCs w:val="24"/>
        </w:rPr>
        <w:t xml:space="preserve"> </w:t>
      </w:r>
    </w:p>
    <w:p w14:paraId="780F6530" w14:textId="77777777" w:rsidR="0043119A" w:rsidRPr="005C53F5" w:rsidRDefault="0043119A" w:rsidP="0043119A">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Первый Президент Республики Казахстан Нурсултан Назарбаев, которому сейчас 79 лет, занимал свой пост с 1991 года, когда Республика Казахстан стала независимым суверенным государством. Под руководством Президента Назарбаева были заложены основы рыночной экономики, включая приватизацию государственных активов, либерализацию контроля за движением капитала, налоговые реформы и развитие пенсионной системы.</w:t>
      </w:r>
    </w:p>
    <w:p w14:paraId="01A9CEB7" w14:textId="77777777" w:rsidR="0043119A" w:rsidRPr="005C53F5" w:rsidRDefault="0043119A" w:rsidP="0043119A">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В марте 2019 года Президент Назарбаев объявил о своей отставке с поста президента (хотя он остается главой правящей партии «Нур Отан» и советником по вопросам безопасности). Исполняющим обязанности президента был назначен Касым-Жомарт Токаев, который в то время был председателем Сената парламента Республики Казахстан. Последние президентские выборы состоялись 9 июня 2019 года, и Касым-Жомарт Токаев, который конкурировал с шестью другими кандидатами, победил на выборах с 71% голосов.</w:t>
      </w:r>
    </w:p>
    <w:p w14:paraId="296EE348" w14:textId="78A1E8D9" w:rsidR="00677C46" w:rsidRPr="005C53F5" w:rsidRDefault="0043119A" w:rsidP="0043119A">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До этой передачи президентской власти от Нурсултана Назарбаева к Касым-Жомарту Токаеву процессы конституционной преемственности в Республике Казахстан никогда не испытывались. После упомянутой передачи президентской власти социально-экономическая и политическая ситуация в стране будут обусловлены внутренней и внешней политикой государства, формируемой в том числе Президентом Республики Казахстан.</w:t>
      </w:r>
      <w:r w:rsidR="00677C46" w:rsidRPr="005C53F5">
        <w:rPr>
          <w:rFonts w:ascii="Times New Roman" w:eastAsia="Times New Roman" w:hAnsi="Times New Roman" w:cs="Times New Roman"/>
          <w:sz w:val="24"/>
          <w:szCs w:val="24"/>
          <w:lang w:eastAsia="ru-RU"/>
        </w:rPr>
        <w:t xml:space="preserve"> </w:t>
      </w:r>
    </w:p>
    <w:p w14:paraId="36664889" w14:textId="77777777" w:rsidR="00677C46" w:rsidRPr="005C53F5" w:rsidRDefault="00677C46"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Предполагаемые действия эмитента на случай отрицательного влияния изменения ситуации в стране (странах) и регионе на его деятельность:</w:t>
      </w:r>
    </w:p>
    <w:p w14:paraId="0CF9821F" w14:textId="77777777" w:rsidR="00677C46" w:rsidRPr="005C53F5" w:rsidRDefault="00677C46"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случае отрицательного влияния рисков, связанных с политической, экономической и социальной ситуацией в Республике Казахстан, а также рисков, связанных с ухудшением внешнеэкономической конъюнктуры, Эмитент предпримет все возможные меры по ограничению их негативного влияния. Параметры проводимых мероприятий будут зависеть от особенностей создавшейся ситуации в каждом конкретном случае. </w:t>
      </w:r>
    </w:p>
    <w:p w14:paraId="5B018446" w14:textId="77777777" w:rsidR="00677C46" w:rsidRPr="005C53F5" w:rsidRDefault="00677C46"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 (или) осуществляет основную деятельность:</w:t>
      </w:r>
    </w:p>
    <w:p w14:paraId="643C674A" w14:textId="77777777" w:rsidR="00677C46" w:rsidRPr="005C53F5" w:rsidRDefault="00677C46"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Военные конфликты, введение чрезвычайного положения, забастовки, стихийные бедствия могут привести к ухудшению положения всей национальной экономики Республики Казахстан и тем самым привести к ухудшению финансового положения Эмитента и негативно сказаться на возможности Эмитента своевременно и в полном объеме производить платежи по Облигациям. Социальная обстановка в Республике Казахстан характеризуется как спокойная. Отсутствие выраженных межнациональных конфликтов, религиозного экстремизма позволяет осуществлять в Республике Казахстан хозяйственную деятельность с минимальными социально-политическими рисками. В связи с этим, по оценке Эмитента, риски, связанные с возникновением военных конфликтов, введением чрезвычайного положения и забастовками на территории Республики Казахстан минимальны. </w:t>
      </w:r>
    </w:p>
    <w:p w14:paraId="7C53775E" w14:textId="77777777" w:rsidR="00677C46" w:rsidRPr="005C53F5" w:rsidRDefault="00677C46"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Риски, связанные с географическими особенностями страны (стран) и региона, в которых эмитент зарегистрирован в качестве налогоплательщика и (или) осуществляет основную деятельность, в том числе с повышенной опасностью стихийных бедствий, возможным прекращением транспортного сообщения в связи с удаленностью и (или) труднодоступностью и тому подобным:</w:t>
      </w:r>
    </w:p>
    <w:p w14:paraId="4FFC3913" w14:textId="7F677F65" w:rsidR="00677C46" w:rsidRPr="005C53F5" w:rsidRDefault="00677C46"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Республика Казахстан не имеет географических особенностей, способных создать повышенную опасность стихийных бедствий, а также вызвать прекращение транспортного сообщения. В связи с этим, по оценке Эмитента, риск стихийных бедствий, возможного прекращения транспортного сообщения в связи с удаленностью и труднодоступностью регионов, минимален. В случае необходимости Республика Казахстан готова предпринять действия по разработке и осуществлению конкретных антикризисных мер, направленных на мобилизацию бизнеса и минимизацию негативного воздействия указанных страновых и региональных факторов.</w:t>
      </w:r>
    </w:p>
    <w:p w14:paraId="4AEB5FCE" w14:textId="77777777"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134" w:name="_Toc39616339"/>
      <w:bookmarkStart w:id="135" w:name="_Toc36145577"/>
      <w:r w:rsidRPr="005C53F5">
        <w:rPr>
          <w:rFonts w:ascii="Times New Roman" w:hAnsi="Times New Roman" w:cs="Times New Roman"/>
          <w:b/>
          <w:sz w:val="24"/>
          <w:szCs w:val="24"/>
        </w:rPr>
        <w:t>2.5.3. Финансовые риски</w:t>
      </w:r>
      <w:bookmarkEnd w:id="134"/>
      <w:bookmarkEnd w:id="135"/>
    </w:p>
    <w:p w14:paraId="749CABE1" w14:textId="475AA545" w:rsidR="0081644F" w:rsidRPr="005C53F5" w:rsidRDefault="0081644F" w:rsidP="00057BE5">
      <w:pPr>
        <w:pStyle w:val="ConsPlusNormal"/>
        <w:ind w:firstLine="709"/>
        <w:jc w:val="both"/>
        <w:rPr>
          <w:rFonts w:ascii="Times New Roman" w:hAnsi="Times New Roman" w:cs="Times New Roman"/>
          <w:b/>
          <w:i/>
          <w:sz w:val="24"/>
          <w:szCs w:val="24"/>
          <w:u w:val="single"/>
        </w:rPr>
      </w:pPr>
      <w:bookmarkStart w:id="136" w:name="_Toc521609079"/>
      <w:bookmarkStart w:id="137" w:name="_Toc533784829"/>
      <w:r w:rsidRPr="005C53F5">
        <w:rPr>
          <w:rFonts w:ascii="Times New Roman" w:hAnsi="Times New Roman" w:cs="Times New Roman"/>
          <w:b/>
          <w:i/>
          <w:sz w:val="24"/>
          <w:szCs w:val="24"/>
          <w:u w:val="single"/>
        </w:rPr>
        <w:t>Подверженность эмитента рискам, связанным с изменением процентных ставок, курса обмена иностранных валют, в связи с деятельностью эмитента либо в связи с хеджированием, осуществляемым эмитентом в целях снижения неблагоприятных последств</w:t>
      </w:r>
      <w:r w:rsidR="00062F74" w:rsidRPr="005C53F5">
        <w:rPr>
          <w:rFonts w:ascii="Times New Roman" w:hAnsi="Times New Roman" w:cs="Times New Roman"/>
          <w:b/>
          <w:i/>
          <w:sz w:val="24"/>
          <w:szCs w:val="24"/>
          <w:u w:val="single"/>
        </w:rPr>
        <w:t>ий влияния вышеуказанных рисков:</w:t>
      </w:r>
      <w:bookmarkEnd w:id="136"/>
      <w:bookmarkEnd w:id="137"/>
    </w:p>
    <w:p w14:paraId="211B0799" w14:textId="2792F87B" w:rsidR="00387CA1" w:rsidRPr="005C53F5" w:rsidRDefault="00387CA1" w:rsidP="00057BE5">
      <w:pPr>
        <w:spacing w:after="0" w:line="240" w:lineRule="auto"/>
        <w:ind w:firstLine="709"/>
        <w:jc w:val="both"/>
        <w:rPr>
          <w:rFonts w:ascii="Times New Roman" w:eastAsia="Calibri" w:hAnsi="Times New Roman" w:cs="Times New Roman"/>
          <w:i/>
          <w:sz w:val="24"/>
          <w:szCs w:val="24"/>
        </w:rPr>
      </w:pPr>
      <w:r w:rsidRPr="005C53F5">
        <w:rPr>
          <w:rFonts w:ascii="Times New Roman" w:eastAsia="Calibri" w:hAnsi="Times New Roman" w:cs="Times New Roman"/>
          <w:i/>
          <w:sz w:val="24"/>
          <w:szCs w:val="24"/>
        </w:rPr>
        <w:t xml:space="preserve">Изменение процентных ставок </w:t>
      </w:r>
    </w:p>
    <w:p w14:paraId="7B832905" w14:textId="0185985B" w:rsidR="00387CA1" w:rsidRPr="005C53F5" w:rsidRDefault="00387CA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Изменение процентных ставок стоит рассматривать в сравнительном анализе рынков </w:t>
      </w:r>
      <w:r w:rsidR="009C0978" w:rsidRPr="005C53F5">
        <w:rPr>
          <w:rFonts w:ascii="Times New Roman" w:eastAsia="Calibri" w:hAnsi="Times New Roman" w:cs="Times New Roman"/>
          <w:sz w:val="24"/>
          <w:szCs w:val="24"/>
        </w:rPr>
        <w:t>заимствований</w:t>
      </w:r>
      <w:r w:rsidRPr="005C53F5">
        <w:rPr>
          <w:rFonts w:ascii="Times New Roman" w:eastAsia="Calibri" w:hAnsi="Times New Roman" w:cs="Times New Roman"/>
          <w:sz w:val="24"/>
          <w:szCs w:val="24"/>
        </w:rPr>
        <w:t xml:space="preserve"> для Республики Казахстан. </w:t>
      </w:r>
      <w:r w:rsidR="009C0978" w:rsidRPr="005C53F5">
        <w:rPr>
          <w:rFonts w:ascii="Times New Roman" w:eastAsia="Calibri" w:hAnsi="Times New Roman" w:cs="Times New Roman"/>
          <w:sz w:val="24"/>
          <w:szCs w:val="24"/>
        </w:rPr>
        <w:t xml:space="preserve">Изменение процентных ставок на внутреннем рынке может привести как росту, так и снижению стоимости заимствований внутри страны.  </w:t>
      </w:r>
      <w:r w:rsidR="008A20DD" w:rsidRPr="005C53F5">
        <w:rPr>
          <w:rFonts w:ascii="Times New Roman" w:eastAsia="Calibri" w:hAnsi="Times New Roman" w:cs="Times New Roman"/>
          <w:sz w:val="24"/>
          <w:szCs w:val="24"/>
        </w:rPr>
        <w:t xml:space="preserve">Несмотря на то, что в марте 2020 года базовая ставка была повышена до 12%, уже в начале апреля 2020 года ее уровень был снижен до 9,5%. </w:t>
      </w:r>
      <w:r w:rsidR="009C0978" w:rsidRPr="005C53F5">
        <w:rPr>
          <w:rFonts w:ascii="Times New Roman" w:eastAsia="Calibri" w:hAnsi="Times New Roman" w:cs="Times New Roman"/>
          <w:sz w:val="24"/>
          <w:szCs w:val="24"/>
        </w:rPr>
        <w:t xml:space="preserve">В рамках программы заимствований Республики Казахстана на внешних рынках, в частности на российском, значение имеет изменение процентных ставок на российском рынке. На </w:t>
      </w:r>
      <w:r w:rsidR="002A4608" w:rsidRPr="005C53F5">
        <w:rPr>
          <w:rFonts w:ascii="Times New Roman" w:eastAsia="Calibri" w:hAnsi="Times New Roman" w:cs="Times New Roman"/>
          <w:sz w:val="24"/>
          <w:szCs w:val="24"/>
        </w:rPr>
        <w:t>дату утверждения Проспекта ценных бумаг</w:t>
      </w:r>
      <w:r w:rsidR="009C0978" w:rsidRPr="005C53F5">
        <w:rPr>
          <w:rFonts w:ascii="Times New Roman" w:eastAsia="Calibri" w:hAnsi="Times New Roman" w:cs="Times New Roman"/>
          <w:sz w:val="24"/>
          <w:szCs w:val="24"/>
        </w:rPr>
        <w:t xml:space="preserve"> ключевая ставка, установленная Банком России, составляет </w:t>
      </w:r>
      <w:r w:rsidR="00ED322A" w:rsidRPr="005C53F5">
        <w:rPr>
          <w:rFonts w:ascii="Times New Roman" w:eastAsia="Calibri" w:hAnsi="Times New Roman" w:cs="Times New Roman"/>
          <w:sz w:val="24"/>
          <w:szCs w:val="24"/>
        </w:rPr>
        <w:t>5</w:t>
      </w:r>
      <w:r w:rsidR="009C0978" w:rsidRPr="005C53F5">
        <w:rPr>
          <w:rFonts w:ascii="Times New Roman" w:eastAsia="Calibri" w:hAnsi="Times New Roman" w:cs="Times New Roman"/>
          <w:sz w:val="24"/>
          <w:szCs w:val="24"/>
        </w:rPr>
        <w:t>,</w:t>
      </w:r>
      <w:r w:rsidR="00ED322A" w:rsidRPr="005C53F5">
        <w:rPr>
          <w:rFonts w:ascii="Times New Roman" w:eastAsia="Calibri" w:hAnsi="Times New Roman" w:cs="Times New Roman"/>
          <w:sz w:val="24"/>
          <w:szCs w:val="24"/>
        </w:rPr>
        <w:t>5</w:t>
      </w:r>
      <w:r w:rsidR="009C0978" w:rsidRPr="005C53F5">
        <w:rPr>
          <w:rFonts w:ascii="Times New Roman" w:eastAsia="Calibri" w:hAnsi="Times New Roman" w:cs="Times New Roman"/>
          <w:sz w:val="24"/>
          <w:szCs w:val="24"/>
        </w:rPr>
        <w:t xml:space="preserve">%. Рост процентных ставок на российском рынке может привести к удорожанию стоимости заимствований. </w:t>
      </w:r>
    </w:p>
    <w:p w14:paraId="3BCC85DC" w14:textId="54A320E3" w:rsidR="00475E9B" w:rsidRPr="005C53F5" w:rsidRDefault="00347BC2" w:rsidP="00057BE5">
      <w:pPr>
        <w:spacing w:after="0" w:line="240" w:lineRule="auto"/>
        <w:ind w:firstLine="709"/>
        <w:jc w:val="both"/>
        <w:rPr>
          <w:rFonts w:ascii="Times New Roman" w:eastAsia="Calibri" w:hAnsi="Times New Roman" w:cs="Times New Roman"/>
          <w:i/>
          <w:sz w:val="24"/>
          <w:szCs w:val="24"/>
        </w:rPr>
      </w:pPr>
      <w:bookmarkStart w:id="138" w:name="_Toc521609095"/>
      <w:bookmarkStart w:id="139" w:name="_Toc533784845"/>
      <w:r w:rsidRPr="005C53F5">
        <w:rPr>
          <w:rFonts w:ascii="Times New Roman" w:eastAsia="Calibri" w:hAnsi="Times New Roman" w:cs="Times New Roman"/>
          <w:i/>
          <w:sz w:val="24"/>
          <w:szCs w:val="24"/>
        </w:rPr>
        <w:t>Рынок углеводородов оказывает влияние на тенге</w:t>
      </w:r>
      <w:r w:rsidR="00475E9B" w:rsidRPr="005C53F5">
        <w:rPr>
          <w:rFonts w:ascii="Times New Roman" w:eastAsia="Calibri" w:hAnsi="Times New Roman" w:cs="Times New Roman"/>
          <w:i/>
          <w:sz w:val="24"/>
          <w:szCs w:val="24"/>
        </w:rPr>
        <w:t xml:space="preserve"> </w:t>
      </w:r>
    </w:p>
    <w:p w14:paraId="116B7706" w14:textId="294F9998" w:rsidR="007D69FB" w:rsidRPr="005C53F5" w:rsidRDefault="007D69FB" w:rsidP="00057BE5">
      <w:pPr>
        <w:spacing w:after="0" w:line="240" w:lineRule="auto"/>
        <w:ind w:firstLine="709"/>
        <w:jc w:val="both"/>
        <w:rPr>
          <w:rFonts w:ascii="Times New Roman" w:eastAsia="Calibri" w:hAnsi="Times New Roman" w:cs="Times New Roman"/>
          <w:sz w:val="24"/>
          <w:szCs w:val="24"/>
        </w:rPr>
      </w:pPr>
      <w:bookmarkStart w:id="140" w:name="_Toc39616340"/>
      <w:bookmarkStart w:id="141" w:name="_Toc36145578"/>
      <w:bookmarkEnd w:id="138"/>
      <w:bookmarkEnd w:id="139"/>
      <w:r w:rsidRPr="005C53F5">
        <w:rPr>
          <w:rFonts w:ascii="Times New Roman" w:eastAsia="Calibri" w:hAnsi="Times New Roman" w:cs="Times New Roman"/>
          <w:sz w:val="24"/>
          <w:szCs w:val="24"/>
        </w:rPr>
        <w:t xml:space="preserve">Изменения как в глобальном, так и в национальном контексте, включающие в себя, в частности, изменения цен на углеводороды, могут оказать влияние на уровень ликвидности в банковском секторе, а также </w:t>
      </w:r>
      <w:r w:rsidR="0057478B" w:rsidRPr="005C53F5">
        <w:rPr>
          <w:rFonts w:ascii="Times New Roman" w:eastAsia="Calibri" w:hAnsi="Times New Roman" w:cs="Times New Roman"/>
          <w:sz w:val="24"/>
          <w:szCs w:val="24"/>
        </w:rPr>
        <w:t xml:space="preserve">привести </w:t>
      </w:r>
      <w:r w:rsidRPr="005C53F5">
        <w:rPr>
          <w:rFonts w:ascii="Times New Roman" w:eastAsia="Calibri" w:hAnsi="Times New Roman" w:cs="Times New Roman"/>
          <w:sz w:val="24"/>
          <w:szCs w:val="24"/>
        </w:rPr>
        <w:t xml:space="preserve">к ослаблению обменного курса тенге. </w:t>
      </w:r>
    </w:p>
    <w:p w14:paraId="62C1CC1D" w14:textId="77777777"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марте 2020 года отсутствие соглашения между членами ОПЕК+ по снижению уровней добычи нефти привело к обвалу мировых цен на нефть. Цены на нефть упали более чем в 2 раза. Кроме того, ситуация ухудшалась значительным сокращением спроса на рынке в связи с мировыми масштабами распространения коронавирусной инфекции COVID-19. </w:t>
      </w:r>
    </w:p>
    <w:p w14:paraId="3FC05172" w14:textId="77777777"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этих условиях наблюдалось значительное ослабление валют стран-экспортеров нефти, в том числе казахстанского тенге. Это является следствием автоматической адаптации обменного курса тенге под новые экономические реалии в условиях свободного курсообразования. На 30 апреля 2020 года курс тенге к доллару США составил 429,41 тенге за доллар США. </w:t>
      </w:r>
    </w:p>
    <w:p w14:paraId="5001653E" w14:textId="3E278D13"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связи с </w:t>
      </w:r>
      <w:r w:rsidR="00347BC2" w:rsidRPr="005C53F5">
        <w:rPr>
          <w:rFonts w:ascii="Times New Roman" w:eastAsia="Calibri" w:hAnsi="Times New Roman" w:cs="Times New Roman"/>
          <w:sz w:val="24"/>
          <w:szCs w:val="24"/>
        </w:rPr>
        <w:t xml:space="preserve">тем, что добыча углеводородов </w:t>
      </w:r>
      <w:r w:rsidRPr="005C53F5">
        <w:rPr>
          <w:rFonts w:ascii="Times New Roman" w:eastAsia="Calibri" w:hAnsi="Times New Roman" w:cs="Times New Roman"/>
          <w:sz w:val="24"/>
          <w:szCs w:val="24"/>
        </w:rPr>
        <w:t>играет значительную роль в экономики, то ситуация на рынке углеводородов является одним из основных внешних факторов, влияющих на обменный курс тенге. В условиях резко падающей цены на нефть, для ограничения дестабилизирующего влияния внешних факторов на внутренний рынок НБК оставляет за собой право проведения валютных интервенций в целях обеспечения стабилизации валютного рынка и обеспечения финансовой стабильности.</w:t>
      </w:r>
      <w:r w:rsidRPr="005C53F5" w:rsidDel="003E3E32">
        <w:rPr>
          <w:rFonts w:ascii="Times New Roman" w:eastAsia="Calibri" w:hAnsi="Times New Roman" w:cs="Times New Roman"/>
          <w:sz w:val="24"/>
          <w:szCs w:val="24"/>
        </w:rPr>
        <w:t xml:space="preserve"> </w:t>
      </w:r>
    </w:p>
    <w:p w14:paraId="6095EBC4" w14:textId="77777777" w:rsidR="007D69FB" w:rsidRPr="005C53F5" w:rsidRDefault="007D69FB" w:rsidP="00057BE5">
      <w:pPr>
        <w:spacing w:after="0" w:line="240" w:lineRule="auto"/>
        <w:ind w:firstLine="709"/>
        <w:jc w:val="both"/>
        <w:rPr>
          <w:rFonts w:ascii="Times New Roman" w:eastAsia="Calibri" w:hAnsi="Times New Roman" w:cs="Times New Roman"/>
          <w:i/>
          <w:sz w:val="24"/>
          <w:szCs w:val="24"/>
        </w:rPr>
      </w:pPr>
      <w:r w:rsidRPr="005C53F5">
        <w:rPr>
          <w:rFonts w:ascii="Times New Roman" w:eastAsia="Calibri" w:hAnsi="Times New Roman" w:cs="Times New Roman"/>
          <w:i/>
          <w:sz w:val="24"/>
          <w:szCs w:val="24"/>
        </w:rPr>
        <w:t>Несмотря на наличие валютных рисков государственный баланс Республики Казахстан находится в хорошем состоянии</w:t>
      </w:r>
    </w:p>
    <w:p w14:paraId="72829BC9" w14:textId="77777777"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 Риск изменения процентных ставок может оказать существенное влияние на деятельность Эмитента по причине возможного удорожания стоимости как внутренних, так и внешних заимствований для Республики Казахстан, процентная ставка по которым может измениться в результате изменения рыночных условий.</w:t>
      </w:r>
    </w:p>
    <w:p w14:paraId="179F6934" w14:textId="01F704C6"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Финансовая устойчивость Казахстана поддерживается очень низким долговым бременем, высокой доступностью кредита и достаточными бюджетными буферами, которые обеспечивают финансовые ресурсы и своевременное реагирование на экономические шоки, а также учитывают риски условной задолженности. Активы в Национальном фонде Республики Казахстан, которые преимущественно инвестируются в ликвидные инструменты в иностранной валюте, находятся на уровне, достаточном для покрытия примерно в 1,3 раза</w:t>
      </w:r>
      <w:r w:rsidR="00347BC2" w:rsidRPr="005C53F5">
        <w:rPr>
          <w:rFonts w:ascii="Times New Roman" w:eastAsia="Calibri" w:hAnsi="Times New Roman" w:cs="Times New Roman"/>
          <w:sz w:val="24"/>
          <w:szCs w:val="24"/>
        </w:rPr>
        <w:t xml:space="preserve"> общего государственного долга (</w:t>
      </w:r>
      <w:r w:rsidRPr="005C53F5">
        <w:rPr>
          <w:rFonts w:ascii="Times New Roman" w:eastAsia="Calibri" w:hAnsi="Times New Roman" w:cs="Times New Roman"/>
          <w:sz w:val="24"/>
          <w:szCs w:val="24"/>
        </w:rPr>
        <w:t xml:space="preserve">согласно </w:t>
      </w:r>
      <w:r w:rsidR="00347BC2" w:rsidRPr="005C53F5">
        <w:rPr>
          <w:rFonts w:ascii="Times New Roman" w:eastAsia="Calibri" w:hAnsi="Times New Roman" w:cs="Times New Roman"/>
          <w:sz w:val="24"/>
          <w:szCs w:val="24"/>
        </w:rPr>
        <w:t>данным рейтингового агентства</w:t>
      </w:r>
      <w:r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lang w:val="en-US"/>
        </w:rPr>
        <w:t>Moody</w:t>
      </w:r>
      <w:r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lang w:val="en-US"/>
        </w:rPr>
        <w:t>s</w:t>
      </w:r>
      <w:r w:rsidR="00347BC2"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w:t>
      </w:r>
    </w:p>
    <w:p w14:paraId="5993BB0B" w14:textId="014CBCC2"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Государственный долг </w:t>
      </w:r>
      <w:r w:rsidR="00347BC2" w:rsidRPr="005C53F5">
        <w:rPr>
          <w:rFonts w:ascii="Times New Roman" w:eastAsia="Calibri" w:hAnsi="Times New Roman" w:cs="Times New Roman"/>
          <w:sz w:val="24"/>
          <w:szCs w:val="24"/>
        </w:rPr>
        <w:t xml:space="preserve">Республики Казахстан </w:t>
      </w:r>
      <w:r w:rsidRPr="005C53F5">
        <w:rPr>
          <w:rFonts w:ascii="Times New Roman" w:eastAsia="Calibri" w:hAnsi="Times New Roman" w:cs="Times New Roman"/>
          <w:sz w:val="24"/>
          <w:szCs w:val="24"/>
        </w:rPr>
        <w:t xml:space="preserve">низок. Государство имеет крупные чистые активы, государственные депозиты, активы Национального фонда Республики Казахстан и пенсионные накопления. Пенсионные активы составляли 15% ВВП на конец 2019 года и управлялись НБК, при этом 56% были инвестированы в ценные бумаги государственного сектора, что еще больше способствовало гибкости бюджетного финансирования. </w:t>
      </w:r>
    </w:p>
    <w:p w14:paraId="137B75F5" w14:textId="1BB52FBF"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i/>
          <w:sz w:val="24"/>
          <w:szCs w:val="24"/>
        </w:rPr>
        <w:t>В Республике Казахстан установлен режим своб</w:t>
      </w:r>
      <w:r w:rsidR="00347BC2" w:rsidRPr="005C53F5">
        <w:rPr>
          <w:rFonts w:ascii="Times New Roman" w:eastAsia="Calibri" w:hAnsi="Times New Roman" w:cs="Times New Roman"/>
          <w:i/>
          <w:sz w:val="24"/>
          <w:szCs w:val="24"/>
        </w:rPr>
        <w:t>одно плавающего обменного курса</w:t>
      </w:r>
      <w:r w:rsidRPr="005C53F5">
        <w:rPr>
          <w:rFonts w:ascii="Times New Roman" w:eastAsia="Calibri" w:hAnsi="Times New Roman" w:cs="Times New Roman"/>
          <w:sz w:val="24"/>
          <w:szCs w:val="24"/>
        </w:rPr>
        <w:t xml:space="preserve"> </w:t>
      </w:r>
    </w:p>
    <w:p w14:paraId="0268ED22" w14:textId="77777777"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 20 августа 2015 года в Казахстане действует режим свободно плавающего обменного курса, который предполагает формирование обменного курса на основе рыночных факторов. Плавающий обменный курс тенге позволяет участникам рынка мгновенно реагировать на изменения внешней среды, что предотвращает появление экономического дисбаланса внутри страны. Преимуществами режима плавающего обменного курса являются рыночное достижение равновесного уровня реального обменного курса, сохранение конкурентоспособности отечественных товаропроизводителей, предотвращение значительных дисбалансов по счету текущих операций и недопущение снижения международных резервов. </w:t>
      </w:r>
    </w:p>
    <w:p w14:paraId="0E5DDC83" w14:textId="330A5F69"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НБК, как правило, крайне редко вмешивается в процесс курсообразования и оставляет за собой право проводить интервенции для предотвращения чрезмерных изменений курса тенге, а также для обеспечения стабильности финансовой системы. Так, в условиях обвала мировых цен на нефть из-за отсутствия соглашения ОПЕК+ в марте 2020 года НБК в целях ограничения дестабилизирующего влияния внешних факторов на внутренний валютный рынок проводил валютные интервенции, объем которых составил 1,5 млрд долларов США, что позволило обеспечить финансовую стабильность и нормальное функционирование валютного рынка.</w:t>
      </w:r>
    </w:p>
    <w:p w14:paraId="41E1590C" w14:textId="77777777"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НБК непрерывно мониторит ситуацию на внутреннем валютном и денежном рынках, международных финансовых рынках и обладает полным набором инструментов для предотвращения необоснованной волатильности обменного курса и сохранения финансовой стабильности.</w:t>
      </w:r>
    </w:p>
    <w:p w14:paraId="7D21E877" w14:textId="77777777"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i/>
          <w:sz w:val="24"/>
          <w:szCs w:val="24"/>
        </w:rPr>
        <w:t xml:space="preserve">Влияние инфляции </w:t>
      </w:r>
      <w:r w:rsidRPr="005C53F5">
        <w:rPr>
          <w:rFonts w:ascii="Times New Roman" w:eastAsia="Calibri" w:hAnsi="Times New Roman" w:cs="Times New Roman"/>
          <w:sz w:val="24"/>
          <w:szCs w:val="24"/>
        </w:rPr>
        <w:t xml:space="preserve"> </w:t>
      </w:r>
    </w:p>
    <w:p w14:paraId="18E00589" w14:textId="2FFB0906"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Инфляция оказывает влияние</w:t>
      </w:r>
      <w:r w:rsidR="009E463A" w:rsidRPr="005C53F5">
        <w:rPr>
          <w:rFonts w:ascii="Times New Roman" w:eastAsia="Calibri" w:hAnsi="Times New Roman" w:cs="Times New Roman"/>
          <w:sz w:val="24"/>
          <w:szCs w:val="24"/>
        </w:rPr>
        <w:t xml:space="preserve"> на </w:t>
      </w:r>
      <w:r w:rsidRPr="005C53F5">
        <w:rPr>
          <w:rFonts w:ascii="Times New Roman" w:eastAsia="Calibri" w:hAnsi="Times New Roman" w:cs="Times New Roman"/>
          <w:sz w:val="24"/>
          <w:szCs w:val="24"/>
        </w:rPr>
        <w:t>экономику Казахстана. Расходы местных производителей и заработная плата работников имеют определенный уровень чувствительности к инфляции в Казахстане. В частности, зависимость импорта может создать риск для экономики Казахстана в случае повышения уровня инфляции.</w:t>
      </w:r>
    </w:p>
    <w:p w14:paraId="65410640" w14:textId="77777777"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Причинами для роста инфляции может послужить следующее: повышение цен на бензин и дизельное топливо, повышение тарифов на услуги, снижение цен на энергоносители, снижение цен на нефть, углеводородов и горюче-смазочных материалов, рост стоимости импортируемых товаров, рост мировых цен на сырье, рост стоимости товаров производственного назначения, восстановление мировых цен на нефть.</w:t>
      </w:r>
    </w:p>
    <w:p w14:paraId="0A99A8E9" w14:textId="77777777"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Причинами снижения инфляции могут являться пессимистичные ожидания потребителей, снижение реальных доходов, постепенный рост объемов кредитования, ослабление внешнего инфляционного фона, стабильность глобальных сырьевых и продовольственных рынков, а также рыночных условий на внутренних сельскохозяйственных рынках, стабилизация цен на продукцию сельского хозяйства и энергоресурсы, снижение тарифов на регулируемые услуги.</w:t>
      </w:r>
    </w:p>
    <w:p w14:paraId="43F19616" w14:textId="77777777" w:rsidR="007D69FB" w:rsidRPr="005C53F5" w:rsidRDefault="007D69FB" w:rsidP="00057BE5">
      <w:pPr>
        <w:spacing w:after="0" w:line="240" w:lineRule="auto"/>
        <w:ind w:firstLine="709"/>
        <w:jc w:val="both"/>
        <w:rPr>
          <w:rFonts w:ascii="Times New Roman" w:eastAsia="Calibri" w:hAnsi="Times New Roman" w:cs="Times New Roman"/>
          <w:i/>
          <w:sz w:val="24"/>
          <w:szCs w:val="24"/>
        </w:rPr>
      </w:pPr>
      <w:r w:rsidRPr="005C53F5">
        <w:rPr>
          <w:rFonts w:ascii="Times New Roman" w:eastAsia="Calibri" w:hAnsi="Times New Roman" w:cs="Times New Roman"/>
          <w:i/>
          <w:sz w:val="24"/>
          <w:szCs w:val="24"/>
        </w:rPr>
        <w:t xml:space="preserve">Изменения политики обменного курса могут повлиять на экономику Казахстана и государственные финансы </w:t>
      </w:r>
    </w:p>
    <w:p w14:paraId="2617A09C" w14:textId="32DB1C06" w:rsidR="007D69FB" w:rsidRPr="005C53F5" w:rsidRDefault="007D69FB"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течение предыдущего десятилетия тенге, как правило, укреплялся по отношению к доллару США вплоть до его девальвации со стороны НБК в феврале 2009 года. В феврале 2009 года НБК установил валютный коридор в размере 150 тенге: 1 доллар США +/- 3%. Данный валютный коридор был расширен в феврале 2010 года и установлен ​​на асимметричной отметке 150 тенге за доллар США + 1,00 + 10 / -15%. В феврале 2011 года валютный коридор был официально отменен, и официальное соглашение об обменном курсе было изменено с привязки фиксированного валютного курса в рамках горизонтальных полос к режиму управляемого плавающего обменного курса. 11 февраля 2014 года НБК официально девальвировал тенге по отношению к доллару США на 18,9%, объявив, что он установит диапазон обменного курса тенге по отношению к доллару США с новым курсом 185 тенге за 1 доллар США плюс / минус 3 тенге (официальный обменный курс составлял 155,56 тенге за 1 доллар США 11 февраля 2014 года до этого объявления). В сентябре 2014 года НБК восстановил валютный коридор на уровне 170-188 тенге за 1 доллар США. 20 августа 2015 года НБК объявил о принятии политики свободно плавающего обменного курса и среднесрочного таргетирования инфляции, что привело к снижению курса тенге к доллару США на 35,6% (с 188,38 тенге за 1 доллар США 20 августа 2015 года до 255,26 тенге за 1 доллар США 21 августа 2015 года). По окончании 2019 года официальный обменный курс тенге к доллару США составлял 381,18 тенге за 1 доллар США по сравнению с 384,2 тенге за 1 доллар США по состоянию на 31 декабря 2018 года, 332,33 тенге за 1 доллар США по состоянию на 31 декабря 2017 года. 333,29 тенге за 1,00 долл. США по состоянию на 31 декабря 2016 года, 340,01 тенге за 1,00 долл. США по состоянию на 31 декабря 2015 года и 182,35 тенге за 1,00 долл. США по состоянию на 31 декабря 2014 года. На 30 апреля 2020 года курс тенге к доллару США составил 429,41 тенге за 1 доллар США. </w:t>
      </w:r>
    </w:p>
    <w:p w14:paraId="7379599C" w14:textId="1ACEDD56" w:rsidR="007D69FB" w:rsidRPr="005C53F5" w:rsidRDefault="00347BC2" w:rsidP="00057BE5">
      <w:pPr>
        <w:pStyle w:val="ConsPlusNormal"/>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 состоянию на дату</w:t>
      </w:r>
      <w:r w:rsidR="007D69FB"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утверждения Проспекта ценных бумаг</w:t>
      </w:r>
      <w:r w:rsidR="007D69FB" w:rsidRPr="005C53F5">
        <w:rPr>
          <w:rFonts w:ascii="Times New Roman" w:eastAsia="Calibri" w:hAnsi="Times New Roman" w:cs="Times New Roman"/>
          <w:sz w:val="24"/>
          <w:szCs w:val="24"/>
        </w:rPr>
        <w:t xml:space="preserve"> НБК поддержи</w:t>
      </w:r>
      <w:r w:rsidRPr="005C53F5">
        <w:rPr>
          <w:rFonts w:ascii="Times New Roman" w:eastAsia="Calibri" w:hAnsi="Times New Roman" w:cs="Times New Roman"/>
          <w:sz w:val="24"/>
          <w:szCs w:val="24"/>
        </w:rPr>
        <w:t>вает</w:t>
      </w:r>
      <w:r w:rsidR="007D69FB" w:rsidRPr="005C53F5">
        <w:rPr>
          <w:rFonts w:ascii="Times New Roman" w:eastAsia="Calibri" w:hAnsi="Times New Roman" w:cs="Times New Roman"/>
          <w:sz w:val="24"/>
          <w:szCs w:val="24"/>
        </w:rPr>
        <w:t xml:space="preserve"> политику свободно плавающего обменного курса и таргетирования инфляции. Изменение в политике обменного курса </w:t>
      </w:r>
      <w:r w:rsidRPr="005C53F5">
        <w:rPr>
          <w:rFonts w:ascii="Times New Roman" w:eastAsia="Calibri" w:hAnsi="Times New Roman" w:cs="Times New Roman"/>
          <w:sz w:val="24"/>
          <w:szCs w:val="24"/>
        </w:rPr>
        <w:t>со стороны НБК окажет</w:t>
      </w:r>
      <w:r w:rsidR="007D69FB" w:rsidRPr="005C53F5">
        <w:rPr>
          <w:rFonts w:ascii="Times New Roman" w:eastAsia="Calibri" w:hAnsi="Times New Roman" w:cs="Times New Roman"/>
          <w:sz w:val="24"/>
          <w:szCs w:val="24"/>
        </w:rPr>
        <w:t xml:space="preserve"> значительное влияние экономику Казахстана. В настоящее время НБК намерен следовать режиму плавающего обменного курса тенге.</w:t>
      </w:r>
      <w:r w:rsidR="007D69FB" w:rsidRPr="005C53F5">
        <w:t xml:space="preserve"> </w:t>
      </w:r>
      <w:r w:rsidR="007D69FB" w:rsidRPr="005C53F5">
        <w:rPr>
          <w:rFonts w:ascii="Times New Roman" w:eastAsia="Calibri" w:hAnsi="Times New Roman" w:cs="Times New Roman"/>
          <w:sz w:val="24"/>
          <w:szCs w:val="24"/>
        </w:rPr>
        <w:t>Курс тенге формируется на валютном рынке в результате спроса и предложения под воздействием фундаментальных факторов. Плавающий обменный курс выступает в роли автоматического стабилизатора, позволяет оперативно реагировать на внутренние и внешние шоки</w:t>
      </w:r>
      <w:r w:rsidR="009E463A" w:rsidRPr="005C53F5">
        <w:rPr>
          <w:rFonts w:ascii="Times New Roman" w:eastAsia="Calibri" w:hAnsi="Times New Roman" w:cs="Times New Roman"/>
          <w:sz w:val="24"/>
          <w:szCs w:val="24"/>
        </w:rPr>
        <w:t xml:space="preserve"> </w:t>
      </w:r>
      <w:r w:rsidR="007D69FB" w:rsidRPr="005C53F5">
        <w:rPr>
          <w:rFonts w:ascii="Times New Roman" w:eastAsia="Calibri" w:hAnsi="Times New Roman" w:cs="Times New Roman"/>
          <w:sz w:val="24"/>
          <w:szCs w:val="24"/>
        </w:rPr>
        <w:t>и не накапливать дисбалансы в экономике.</w:t>
      </w:r>
    </w:p>
    <w:p w14:paraId="116FA6D1" w14:textId="77777777" w:rsidR="007D69FB" w:rsidRPr="005C53F5" w:rsidRDefault="007D69FB"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Подверженность финансового состояния эмитента, его ликвидности, источников финансирования, результатов деятельности и тому подобного изменению валютного курса (валютные риски):</w:t>
      </w:r>
    </w:p>
    <w:p w14:paraId="035F5E32" w14:textId="77777777" w:rsidR="007D69FB" w:rsidRPr="005C53F5" w:rsidRDefault="007D69FB"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i/>
          <w:sz w:val="24"/>
          <w:szCs w:val="24"/>
        </w:rPr>
        <w:t>Тесные отношения с Россией влияют на финансовое состояние Республики Казахстан</w:t>
      </w:r>
      <w:r w:rsidRPr="005C53F5">
        <w:rPr>
          <w:rFonts w:ascii="Times New Roman" w:hAnsi="Times New Roman"/>
          <w:i/>
          <w:sz w:val="24"/>
        </w:rPr>
        <w:t xml:space="preserve"> </w:t>
      </w:r>
    </w:p>
    <w:p w14:paraId="7CAD5577" w14:textId="77777777" w:rsidR="007D69FB" w:rsidRPr="005C53F5" w:rsidRDefault="007D69FB" w:rsidP="00057BE5">
      <w:pPr>
        <w:pStyle w:val="ConsPlusNormal"/>
        <w:ind w:firstLine="709"/>
        <w:jc w:val="both"/>
        <w:rPr>
          <w:rFonts w:ascii="Times New Roman" w:hAnsi="Times New Roman" w:cs="Times New Roman"/>
          <w:b/>
          <w:i/>
          <w:sz w:val="24"/>
          <w:szCs w:val="24"/>
        </w:rPr>
      </w:pPr>
      <w:r w:rsidRPr="005C53F5">
        <w:rPr>
          <w:rFonts w:ascii="Times New Roman" w:hAnsi="Times New Roman" w:cs="Times New Roman"/>
          <w:sz w:val="24"/>
          <w:szCs w:val="24"/>
        </w:rPr>
        <w:t>Экономическая ситуация в России имеет влияние на экономическую ситуацию в Казахстане. Казахстан и Россия являются активными торговыми партнерами и факторы, которые влияют на российский рубль, также имеют тенденцию влиять на обменный курс тенге. Возможные дальнейшие действия США или других стран в отношении России могут негативно повлиять на российскую экономику, что может привести к определенному влиянию на тенге. Тем не менее, наиболее важным фактором, влияющим на стоимость тенге, является ситуация на рынке нефти. В связи с отсутствием соглашения ОПЕК+ в 2020 году, валюты России и Республики Казахстан, стран, зависимых от цен на энергоресурсы, значительно ослабли по отношению к доллару США.</w:t>
      </w:r>
      <w:r w:rsidRPr="005C53F5">
        <w:rPr>
          <w:rFonts w:ascii="Times New Roman" w:hAnsi="Times New Roman" w:cs="Times New Roman"/>
          <w:b/>
          <w:sz w:val="24"/>
          <w:szCs w:val="24"/>
        </w:rPr>
        <w:t xml:space="preserve"> </w:t>
      </w:r>
    </w:p>
    <w:p w14:paraId="20B4A401" w14:textId="30B758BB" w:rsidR="007D69FB" w:rsidRPr="005C53F5" w:rsidRDefault="007D69FB"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i/>
          <w:sz w:val="24"/>
          <w:szCs w:val="24"/>
        </w:rPr>
        <w:t>Влияние валютного риска на динамику внешнего долга</w:t>
      </w:r>
      <w:r w:rsidRPr="005C53F5">
        <w:rPr>
          <w:rFonts w:ascii="Times New Roman" w:hAnsi="Times New Roman" w:cs="Times New Roman"/>
          <w:sz w:val="24"/>
          <w:szCs w:val="24"/>
        </w:rPr>
        <w:t xml:space="preserve"> </w:t>
      </w:r>
    </w:p>
    <w:p w14:paraId="4D0471E2" w14:textId="647B3212" w:rsidR="007D69FB" w:rsidRPr="005C53F5" w:rsidRDefault="007D69FB" w:rsidP="00057BE5">
      <w:pPr>
        <w:spacing w:after="0" w:line="240" w:lineRule="auto"/>
        <w:ind w:firstLine="708"/>
        <w:jc w:val="both"/>
      </w:pPr>
      <w:r w:rsidRPr="005C53F5">
        <w:rPr>
          <w:rFonts w:ascii="Times New Roman" w:hAnsi="Times New Roman" w:cs="Times New Roman"/>
          <w:sz w:val="24"/>
          <w:szCs w:val="24"/>
        </w:rPr>
        <w:t>Ослабление курса тенге по отношению к доллару США может негативно отразиться на обслуживании Казахстана внешнего долга в иностранных валютах. В России, как и в Казахстане, динамика доли внешнего долга от ВВП придерживалась восходящего тренда с 2012 года до 2016 года. Начиная с 2017 года данный показатель в обеих странах начал снижаться. Ряд внешних факторов, которые находятся вне контроля регуляторов, влияют на стоимость тенге.</w:t>
      </w:r>
      <w:r w:rsidR="00347BC2" w:rsidRPr="005C53F5">
        <w:rPr>
          <w:rFonts w:ascii="Times New Roman" w:eastAsia="Calibri" w:hAnsi="Times New Roman" w:cs="Times New Roman"/>
          <w:sz w:val="24"/>
          <w:szCs w:val="24"/>
        </w:rPr>
        <w:t xml:space="preserve"> Так, на начало 2020 года внешний долг правительства и гарантированный государственный долг Республики Казахстан составил 9,4% от ВВП.</w:t>
      </w:r>
    </w:p>
    <w:p w14:paraId="3E91DBCB" w14:textId="77777777" w:rsidR="007D69FB" w:rsidRPr="005C53F5" w:rsidRDefault="007D69FB"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i/>
          <w:sz w:val="24"/>
          <w:szCs w:val="24"/>
        </w:rPr>
        <w:t>Влияние валютных рисков на платежный баланс и потоки денежных средств Республики Казахстан</w:t>
      </w:r>
      <w:r w:rsidRPr="005C53F5">
        <w:rPr>
          <w:rFonts w:ascii="Times New Roman" w:hAnsi="Times New Roman" w:cs="Times New Roman"/>
          <w:sz w:val="24"/>
          <w:szCs w:val="24"/>
        </w:rPr>
        <w:t xml:space="preserve"> </w:t>
      </w:r>
    </w:p>
    <w:p w14:paraId="7CA9DBC6" w14:textId="77777777" w:rsidR="007D69FB" w:rsidRPr="005C53F5" w:rsidRDefault="007D69FB"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Дальнейшее ухудшение ситуации на нефтяном рынке может вызвать волатильность доходов Казахстана от экспорта нефти, выраженного в долларах США</w:t>
      </w:r>
      <w:r w:rsidRPr="005C53F5">
        <w:rPr>
          <w:rFonts w:ascii="Times New Roman" w:eastAsiaTheme="minorHAnsi" w:hAnsi="Times New Roman" w:cs="Times New Roman"/>
          <w:sz w:val="24"/>
          <w:szCs w:val="24"/>
          <w:lang w:eastAsia="en-US"/>
        </w:rPr>
        <w:t xml:space="preserve"> </w:t>
      </w:r>
      <w:r w:rsidRPr="005C53F5">
        <w:rPr>
          <w:rFonts w:ascii="Times New Roman" w:hAnsi="Times New Roman" w:cs="Times New Roman"/>
          <w:sz w:val="24"/>
          <w:szCs w:val="24"/>
        </w:rPr>
        <w:t>и оказать давление на обменный курс. Значительное ослабление тенге может увеличить долговую нагрузку на Эмитента. Кроме того, любое ослабление тенге может привести к росту инфляции и внутренних процентных ставок, что может оказать неблагоприятное влияние на экономику Казахстана и на качество активов казахстанского банковского сектора.</w:t>
      </w:r>
    </w:p>
    <w:p w14:paraId="1B6143C0" w14:textId="77777777" w:rsidR="007D69FB" w:rsidRPr="005C53F5" w:rsidRDefault="007D69FB" w:rsidP="00057BE5">
      <w:pPr>
        <w:pStyle w:val="ConsPlusNormal"/>
        <w:ind w:firstLine="709"/>
        <w:jc w:val="both"/>
        <w:rPr>
          <w:rFonts w:ascii="Times New Roman" w:hAnsi="Times New Roman" w:cs="Times New Roman"/>
          <w:i/>
          <w:sz w:val="24"/>
          <w:szCs w:val="24"/>
        </w:rPr>
      </w:pPr>
      <w:r w:rsidRPr="005C53F5">
        <w:rPr>
          <w:rFonts w:ascii="Times New Roman" w:hAnsi="Times New Roman" w:cs="Times New Roman"/>
          <w:i/>
          <w:sz w:val="24"/>
          <w:szCs w:val="24"/>
        </w:rPr>
        <w:t>Валютные риски, вызванные высокой долей валютных депозитов</w:t>
      </w:r>
    </w:p>
    <w:p w14:paraId="7D70EA4C" w14:textId="77777777" w:rsidR="007D69FB" w:rsidRPr="005C53F5" w:rsidRDefault="007D69FB"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Уровень депозитов в иностранной валюте продолжает оставаться высоким. В 2019 году 43,1% депозитов в банковской системе в Казахстане были номинированы в иностранной валюте. Существует риск того, что ослабление тенге, вызванное резким падением цен на нефть в начале 2020 года может оказать неблагоприятное воздействие на банковский сектор и экономику Казахстана. </w:t>
      </w:r>
    </w:p>
    <w:p w14:paraId="6FD965BC" w14:textId="77777777" w:rsidR="007D69FB" w:rsidRPr="005C53F5" w:rsidRDefault="007D69FB" w:rsidP="00057BE5">
      <w:pPr>
        <w:pStyle w:val="ConsPlusNormal"/>
        <w:ind w:firstLine="708"/>
        <w:jc w:val="both"/>
        <w:rPr>
          <w:rFonts w:ascii="Times New Roman" w:hAnsi="Times New Roman" w:cs="Times New Roman"/>
          <w:i/>
          <w:sz w:val="24"/>
          <w:szCs w:val="24"/>
        </w:rPr>
      </w:pPr>
      <w:r w:rsidRPr="005C53F5">
        <w:rPr>
          <w:rFonts w:ascii="Times New Roman" w:hAnsi="Times New Roman" w:cs="Times New Roman"/>
          <w:i/>
          <w:sz w:val="24"/>
          <w:szCs w:val="24"/>
        </w:rPr>
        <w:t xml:space="preserve">Меры регуляторов при возникновении валютных рисков </w:t>
      </w:r>
    </w:p>
    <w:p w14:paraId="0220CE85" w14:textId="0D0DE6D7" w:rsidR="007D69FB" w:rsidRPr="005C53F5" w:rsidRDefault="007D69FB" w:rsidP="00057BE5">
      <w:pPr>
        <w:widowControl w:val="0"/>
        <w:autoSpaceDE w:val="0"/>
        <w:autoSpaceDN w:val="0"/>
        <w:spacing w:after="0" w:line="240" w:lineRule="auto"/>
        <w:ind w:firstLine="708"/>
        <w:jc w:val="both"/>
        <w:rPr>
          <w:rFonts w:ascii="Times New Roman" w:hAnsi="Times New Roman" w:cs="Times New Roman"/>
          <w:sz w:val="24"/>
          <w:szCs w:val="24"/>
        </w:rPr>
      </w:pPr>
      <w:r w:rsidRPr="005C53F5">
        <w:rPr>
          <w:rFonts w:ascii="Times New Roman" w:eastAsia="Times New Roman" w:hAnsi="Times New Roman" w:cs="Times New Roman"/>
          <w:sz w:val="24"/>
          <w:szCs w:val="24"/>
          <w:lang w:eastAsia="ru-RU"/>
        </w:rPr>
        <w:t xml:space="preserve">В случаях наличия серьезных угроз для устойчивости платежного баланса и экономической безопасности Республики Казахстан, если ситуация не может быть решена другими мерами экономической политики, Правительство Республики Казахстан, по представлению </w:t>
      </w:r>
      <w:r w:rsidR="009E463A" w:rsidRPr="005C53F5">
        <w:rPr>
          <w:rFonts w:ascii="Times New Roman" w:eastAsia="Times New Roman" w:hAnsi="Times New Roman" w:cs="Times New Roman"/>
          <w:sz w:val="24"/>
          <w:szCs w:val="24"/>
          <w:lang w:eastAsia="ru-RU"/>
        </w:rPr>
        <w:t>НБК</w:t>
      </w:r>
      <w:r w:rsidRPr="005C53F5">
        <w:rPr>
          <w:rFonts w:ascii="Times New Roman" w:eastAsia="Times New Roman" w:hAnsi="Times New Roman" w:cs="Times New Roman"/>
          <w:sz w:val="24"/>
          <w:szCs w:val="24"/>
          <w:lang w:eastAsia="ru-RU"/>
        </w:rPr>
        <w:t xml:space="preserve"> и соответствующих уполномоченных органов, вправе ввести специальный валютный режим.</w:t>
      </w:r>
    </w:p>
    <w:p w14:paraId="3F9F631D" w14:textId="77777777" w:rsidR="007D69FB" w:rsidRPr="005C53F5" w:rsidRDefault="007D69FB" w:rsidP="00057BE5">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5C53F5">
        <w:rPr>
          <w:rFonts w:ascii="Times New Roman" w:eastAsia="Times New Roman" w:hAnsi="Times New Roman" w:cs="Times New Roman"/>
          <w:sz w:val="24"/>
          <w:szCs w:val="24"/>
          <w:lang w:eastAsia="ru-RU"/>
        </w:rPr>
        <w:t>Валютные ограничения, вводимые в рамках специального валютного режима, являются временными мерами, носят недискриминационный характер и отменяются по мере устранения обстоятельств, вызвавших их установление.</w:t>
      </w:r>
    </w:p>
    <w:p w14:paraId="60AA1C1D" w14:textId="77777777" w:rsidR="007D69FB" w:rsidRPr="005C53F5" w:rsidRDefault="007D69FB" w:rsidP="00057BE5">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5C53F5">
        <w:rPr>
          <w:rFonts w:ascii="Times New Roman" w:eastAsia="Times New Roman" w:hAnsi="Times New Roman" w:cs="Times New Roman"/>
          <w:sz w:val="24"/>
          <w:szCs w:val="24"/>
          <w:lang w:eastAsia="ru-RU"/>
        </w:rPr>
        <w:t>Требования специального валютного режима не могут ограничивать исполнение резидентами обязательств перед нерезидентами, которые возникли в результате исполнения нерезидентами обязательств по валютным договорам с резидентами до введения специального валютного режима, а также осуществление нерезидентами переводов дивидендов, вознаграждения и иных доходов, полученных по вкладам (депозитам) и ценным бумагам.</w:t>
      </w:r>
    </w:p>
    <w:p w14:paraId="79056770" w14:textId="77777777" w:rsidR="007D69FB" w:rsidRPr="005C53F5" w:rsidRDefault="007D69FB" w:rsidP="00057BE5">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5C53F5">
        <w:rPr>
          <w:rFonts w:ascii="Times New Roman" w:eastAsia="Times New Roman" w:hAnsi="Times New Roman" w:cs="Times New Roman"/>
          <w:sz w:val="24"/>
          <w:szCs w:val="24"/>
          <w:lang w:eastAsia="ru-RU"/>
        </w:rPr>
        <w:t>К ограничениям, которые могут быть введены в рамках специального валютного режима, относятся:</w:t>
      </w:r>
    </w:p>
    <w:p w14:paraId="5F5E2AE6" w14:textId="695D7B3A" w:rsidR="007D69FB" w:rsidRPr="005C53F5" w:rsidRDefault="007D69FB" w:rsidP="00057BE5">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5C53F5">
        <w:rPr>
          <w:rFonts w:ascii="Times New Roman" w:eastAsia="Times New Roman" w:hAnsi="Times New Roman" w:cs="Times New Roman"/>
          <w:sz w:val="24"/>
          <w:szCs w:val="24"/>
          <w:lang w:eastAsia="ru-RU"/>
        </w:rPr>
        <w:t xml:space="preserve">1) требование размещения без уплаты вознаграждения депозита в определенном размере от суммы валютной операции на установленный срок в уполномоченном банке либо </w:t>
      </w:r>
      <w:r w:rsidR="009E463A" w:rsidRPr="005C53F5">
        <w:rPr>
          <w:rFonts w:ascii="Times New Roman" w:eastAsia="Times New Roman" w:hAnsi="Times New Roman" w:cs="Times New Roman"/>
          <w:sz w:val="24"/>
          <w:szCs w:val="24"/>
          <w:lang w:eastAsia="ru-RU"/>
        </w:rPr>
        <w:t>НБК</w:t>
      </w:r>
      <w:r w:rsidRPr="005C53F5">
        <w:rPr>
          <w:rFonts w:ascii="Times New Roman" w:eastAsia="Times New Roman" w:hAnsi="Times New Roman" w:cs="Times New Roman"/>
          <w:sz w:val="24"/>
          <w:szCs w:val="24"/>
          <w:lang w:eastAsia="ru-RU"/>
        </w:rPr>
        <w:t>;</w:t>
      </w:r>
    </w:p>
    <w:p w14:paraId="3AA09318" w14:textId="77777777" w:rsidR="007D69FB" w:rsidRPr="005C53F5" w:rsidRDefault="007D69FB" w:rsidP="00057BE5">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5C53F5">
        <w:rPr>
          <w:rFonts w:ascii="Times New Roman" w:eastAsia="Times New Roman" w:hAnsi="Times New Roman" w:cs="Times New Roman"/>
          <w:sz w:val="24"/>
          <w:szCs w:val="24"/>
          <w:lang w:eastAsia="ru-RU"/>
        </w:rPr>
        <w:t>2) требование получения специального разрешения от НБК на проведение валютных операций;</w:t>
      </w:r>
    </w:p>
    <w:p w14:paraId="3D37DBE2" w14:textId="77777777" w:rsidR="007D69FB" w:rsidRPr="005C53F5" w:rsidRDefault="007D69FB" w:rsidP="00057BE5">
      <w:pPr>
        <w:widowControl w:val="0"/>
        <w:autoSpaceDE w:val="0"/>
        <w:autoSpaceDN w:val="0"/>
        <w:spacing w:after="0" w:line="240" w:lineRule="auto"/>
        <w:ind w:firstLine="708"/>
        <w:jc w:val="both"/>
        <w:rPr>
          <w:rFonts w:ascii="Times New Roman" w:hAnsi="Times New Roman" w:cs="Times New Roman"/>
          <w:sz w:val="24"/>
          <w:szCs w:val="24"/>
        </w:rPr>
      </w:pPr>
      <w:r w:rsidRPr="005C53F5">
        <w:rPr>
          <w:rFonts w:ascii="Times New Roman" w:eastAsia="Times New Roman" w:hAnsi="Times New Roman" w:cs="Times New Roman"/>
          <w:sz w:val="24"/>
          <w:szCs w:val="24"/>
          <w:lang w:eastAsia="ru-RU"/>
        </w:rPr>
        <w:t>3) требование обязательной продажи иностранной валюты, полученной резидентами Республики Казахстан;</w:t>
      </w:r>
    </w:p>
    <w:p w14:paraId="22FB309D" w14:textId="77777777" w:rsidR="007D69FB" w:rsidRPr="005C53F5" w:rsidRDefault="007D69FB" w:rsidP="00057BE5">
      <w:pPr>
        <w:widowControl w:val="0"/>
        <w:autoSpaceDE w:val="0"/>
        <w:autoSpaceDN w:val="0"/>
        <w:spacing w:after="0" w:line="240" w:lineRule="auto"/>
        <w:ind w:firstLine="708"/>
        <w:jc w:val="both"/>
        <w:rPr>
          <w:rFonts w:ascii="Times New Roman" w:hAnsi="Times New Roman" w:cs="Times New Roman"/>
          <w:sz w:val="24"/>
          <w:szCs w:val="24"/>
        </w:rPr>
      </w:pPr>
      <w:r w:rsidRPr="005C53F5">
        <w:rPr>
          <w:rFonts w:ascii="Times New Roman" w:eastAsia="Times New Roman" w:hAnsi="Times New Roman" w:cs="Times New Roman"/>
          <w:sz w:val="24"/>
          <w:szCs w:val="24"/>
          <w:lang w:eastAsia="ru-RU"/>
        </w:rPr>
        <w:t>4) ограничения по использованию счетов в иностранных банках, установление срока возврата валютной выручки и лимитов на объемы, количество и валюту расчета по валютным операциям.</w:t>
      </w:r>
    </w:p>
    <w:p w14:paraId="1984C3C4" w14:textId="77777777" w:rsidR="007D69FB" w:rsidRPr="005C53F5" w:rsidRDefault="007D69FB" w:rsidP="00057BE5">
      <w:pPr>
        <w:pStyle w:val="ConsPlusNormal"/>
        <w:ind w:firstLine="708"/>
        <w:jc w:val="both"/>
        <w:rPr>
          <w:rFonts w:ascii="Times New Roman" w:hAnsi="Times New Roman" w:cs="Times New Roman"/>
          <w:sz w:val="24"/>
          <w:szCs w:val="24"/>
        </w:rPr>
      </w:pPr>
      <w:r w:rsidRPr="005C53F5">
        <w:rPr>
          <w:rFonts w:ascii="Times New Roman" w:hAnsi="Times New Roman" w:cs="Times New Roman"/>
          <w:sz w:val="24"/>
          <w:szCs w:val="24"/>
        </w:rPr>
        <w:t>На дату утверждения Проспекта ценных бумаг Правительство Казахстана не вводило специальный валютный режим. Кроме того, в истории Республики Казахстан специальный валютный режим никогда не вводился.</w:t>
      </w:r>
    </w:p>
    <w:p w14:paraId="1556E9AF" w14:textId="77777777" w:rsidR="007D69FB" w:rsidRPr="005C53F5" w:rsidRDefault="007D69FB"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Предполагаемые действия эмитента на случай отрицательного влияния изменения валютного курса и процентных ставок на деятельность эмитента:</w:t>
      </w:r>
    </w:p>
    <w:p w14:paraId="424F89E2" w14:textId="77777777" w:rsidR="007D69FB" w:rsidRPr="005C53F5" w:rsidRDefault="007D69FB" w:rsidP="00057BE5">
      <w:pPr>
        <w:pStyle w:val="ConsPlusNormal"/>
        <w:ind w:firstLine="709"/>
        <w:jc w:val="both"/>
        <w:rPr>
          <w:rFonts w:ascii="Times New Roman" w:hAnsi="Times New Roman" w:cs="Times New Roman"/>
          <w:i/>
          <w:sz w:val="24"/>
          <w:szCs w:val="24"/>
        </w:rPr>
      </w:pPr>
      <w:r w:rsidRPr="005C53F5">
        <w:rPr>
          <w:rFonts w:ascii="Times New Roman" w:hAnsi="Times New Roman" w:cs="Times New Roman"/>
          <w:i/>
          <w:sz w:val="24"/>
          <w:szCs w:val="24"/>
        </w:rPr>
        <w:t xml:space="preserve">Предполагаемые действия Эмитента при риске девальвации </w:t>
      </w:r>
    </w:p>
    <w:p w14:paraId="00697C7F" w14:textId="77777777" w:rsidR="007D69FB" w:rsidRPr="005C53F5" w:rsidRDefault="007D69FB"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Выводы о действиях Эмитента, направленных на минимизацию негативного влияния внешних факторов, можно сделать на основании финансово-экономической политики Республики Казахстан, проводимой в последние годы. </w:t>
      </w:r>
    </w:p>
    <w:p w14:paraId="69D9BBFF" w14:textId="665AE7F8" w:rsidR="007D69FB" w:rsidRPr="005C53F5" w:rsidRDefault="007D69FB"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После мирового финансового кризиса в 2008 году рост кредитования в Казахстане замедлился из-за низкого уровня финансирования со стороны финансовых рынков, а депозиты стали нестабильными. Цены на нефть также снизились, что негативно отразилось на обменном курсе тенге. Эти факторы вызвали общую дестабилизацию банковского сектора Казахстана. В результате произошло существенное ухудшение кредитного портфеля банков, которое в некоторых случаях продолжалось до 2018 года и требовало принятия мер по урегулированию неплатежеспособности банков, включая отзыв лицензии и ликвидацию, признание убытков акционерами и некоторыми квалифицированными кредиторами</w:t>
      </w:r>
      <w:r w:rsidR="00436AB5" w:rsidRPr="005C53F5">
        <w:rPr>
          <w:rFonts w:ascii="Times New Roman" w:hAnsi="Times New Roman" w:cs="Times New Roman"/>
          <w:sz w:val="24"/>
          <w:szCs w:val="24"/>
        </w:rPr>
        <w:t xml:space="preserve">, а также </w:t>
      </w:r>
      <w:r w:rsidRPr="005C53F5">
        <w:rPr>
          <w:rFonts w:ascii="Times New Roman" w:hAnsi="Times New Roman" w:cs="Times New Roman"/>
          <w:sz w:val="24"/>
          <w:szCs w:val="24"/>
        </w:rPr>
        <w:t>меры государственной поддержки. Так, в 2017 году Республика Казахстан внесла 2,093 млрд тенге в Фонд проблемных кредитов, а в феврале 2019 года в соответствии с мерами, утвержденными НБК и Правительством по улучшению финансовой устойчивости АО «Цеснабанк», Фонд проблемных кредитов приобрел у АО «Цеснабанк» портфель сельскохозяйственных кредитов на сумму 604 млрд тенге. Казахстан также обеспечил вливание ликвидности в АО «Цеснабанк» и поддержал реструктуризации его внутренних облигаций.</w:t>
      </w:r>
    </w:p>
    <w:p w14:paraId="610E17C1" w14:textId="104CDB53" w:rsidR="007D69FB" w:rsidRPr="005C53F5" w:rsidRDefault="007D69FB" w:rsidP="00057BE5">
      <w:pPr>
        <w:pStyle w:val="ConsPlusNormal"/>
        <w:ind w:firstLine="709"/>
        <w:jc w:val="both"/>
        <w:rPr>
          <w:rFonts w:ascii="Times New Roman" w:hAnsi="Times New Roman" w:cs="Times New Roman"/>
          <w:sz w:val="24"/>
          <w:szCs w:val="24"/>
        </w:rPr>
      </w:pPr>
      <w:r w:rsidRPr="005C53F5">
        <w:rPr>
          <w:rFonts w:ascii="Times New Roman" w:eastAsia="Calibri" w:hAnsi="Times New Roman" w:cs="Times New Roman"/>
          <w:iCs/>
          <w:sz w:val="24"/>
          <w:szCs w:val="24"/>
          <w:lang w:eastAsia="en-US"/>
        </w:rPr>
        <w:t xml:space="preserve">Кредитный портфель </w:t>
      </w:r>
      <w:r w:rsidR="00436AB5" w:rsidRPr="005C53F5">
        <w:rPr>
          <w:rFonts w:ascii="Times New Roman" w:eastAsia="Calibri" w:hAnsi="Times New Roman" w:cs="Times New Roman"/>
          <w:iCs/>
          <w:sz w:val="24"/>
          <w:szCs w:val="24"/>
          <w:lang w:eastAsia="en-US"/>
        </w:rPr>
        <w:t>банков второго уровня</w:t>
      </w:r>
      <w:r w:rsidR="00436AB5" w:rsidRPr="005C53F5" w:rsidDel="00436AB5">
        <w:rPr>
          <w:rFonts w:ascii="Times New Roman" w:eastAsia="Calibri" w:hAnsi="Times New Roman" w:cs="Times New Roman"/>
          <w:iCs/>
          <w:sz w:val="24"/>
          <w:szCs w:val="24"/>
          <w:lang w:eastAsia="en-US"/>
        </w:rPr>
        <w:t xml:space="preserve"> </w:t>
      </w:r>
      <w:r w:rsidRPr="005C53F5">
        <w:rPr>
          <w:rFonts w:ascii="Times New Roman" w:eastAsia="Calibri" w:hAnsi="Times New Roman" w:cs="Times New Roman"/>
          <w:iCs/>
          <w:sz w:val="24"/>
          <w:szCs w:val="24"/>
          <w:lang w:eastAsia="en-US"/>
        </w:rPr>
        <w:t xml:space="preserve"> (</w:t>
      </w:r>
      <w:r w:rsidR="00436AB5" w:rsidRPr="005C53F5">
        <w:rPr>
          <w:rFonts w:ascii="Times New Roman" w:eastAsia="Calibri" w:hAnsi="Times New Roman" w:cs="Times New Roman"/>
          <w:iCs/>
          <w:sz w:val="24"/>
          <w:szCs w:val="24"/>
          <w:lang w:eastAsia="en-US"/>
        </w:rPr>
        <w:t>«</w:t>
      </w:r>
      <w:r w:rsidR="00436AB5" w:rsidRPr="005C53F5">
        <w:rPr>
          <w:rFonts w:ascii="Times New Roman" w:eastAsia="Calibri" w:hAnsi="Times New Roman" w:cs="Times New Roman"/>
          <w:b/>
          <w:iCs/>
          <w:sz w:val="24"/>
          <w:szCs w:val="24"/>
          <w:lang w:eastAsia="en-US"/>
        </w:rPr>
        <w:t>БВУ</w:t>
      </w:r>
      <w:r w:rsidR="00436AB5" w:rsidRPr="005C53F5">
        <w:rPr>
          <w:rFonts w:ascii="Times New Roman" w:eastAsia="Calibri" w:hAnsi="Times New Roman" w:cs="Times New Roman"/>
          <w:iCs/>
          <w:sz w:val="24"/>
          <w:szCs w:val="24"/>
          <w:lang w:eastAsia="en-US"/>
        </w:rPr>
        <w:t>»</w:t>
      </w:r>
      <w:r w:rsidRPr="005C53F5">
        <w:rPr>
          <w:rFonts w:ascii="Times New Roman" w:eastAsia="Calibri" w:hAnsi="Times New Roman" w:cs="Times New Roman"/>
          <w:iCs/>
          <w:sz w:val="24"/>
          <w:szCs w:val="24"/>
          <w:lang w:eastAsia="en-US"/>
        </w:rPr>
        <w:t>) на 1 января 2020 г. составил 13,9 трлн тенге, увеличившись за год на 5,9%</w:t>
      </w:r>
      <w:r w:rsidR="00436AB5" w:rsidRPr="005C53F5">
        <w:rPr>
          <w:rFonts w:ascii="Times New Roman" w:eastAsia="Calibri" w:hAnsi="Times New Roman" w:cs="Times New Roman"/>
          <w:iCs/>
          <w:sz w:val="24"/>
          <w:szCs w:val="24"/>
          <w:lang w:eastAsia="en-US"/>
        </w:rPr>
        <w:t xml:space="preserve"> </w:t>
      </w:r>
      <w:r w:rsidRPr="005C53F5">
        <w:rPr>
          <w:rFonts w:ascii="Times New Roman" w:eastAsia="Calibri" w:hAnsi="Times New Roman" w:cs="Times New Roman"/>
          <w:iCs/>
          <w:sz w:val="24"/>
          <w:szCs w:val="24"/>
          <w:lang w:eastAsia="en-US"/>
        </w:rPr>
        <w:t>или 772,1 млрд тенге. Снижение в 1 квартале 2019</w:t>
      </w:r>
      <w:r w:rsidR="00436AB5" w:rsidRPr="005C53F5">
        <w:rPr>
          <w:rFonts w:ascii="Times New Roman" w:eastAsia="Calibri" w:hAnsi="Times New Roman" w:cs="Times New Roman"/>
          <w:iCs/>
          <w:sz w:val="24"/>
          <w:szCs w:val="24"/>
          <w:lang w:eastAsia="en-US"/>
        </w:rPr>
        <w:t xml:space="preserve"> </w:t>
      </w:r>
      <w:r w:rsidRPr="005C53F5">
        <w:rPr>
          <w:rFonts w:ascii="Times New Roman" w:eastAsia="Calibri" w:hAnsi="Times New Roman" w:cs="Times New Roman"/>
          <w:iCs/>
          <w:sz w:val="24"/>
          <w:szCs w:val="24"/>
          <w:lang w:eastAsia="en-US"/>
        </w:rPr>
        <w:t>г. связано со списанием неработающих займов БВУ на 624 млрд тенге. Кредиты физическим лицам увеличились на 1,4 трлн тенге до 6,7 трлн</w:t>
      </w:r>
      <w:r w:rsidR="00436AB5" w:rsidRPr="005C53F5">
        <w:rPr>
          <w:rFonts w:ascii="Times New Roman" w:eastAsia="Calibri" w:hAnsi="Times New Roman" w:cs="Times New Roman"/>
          <w:iCs/>
          <w:sz w:val="24"/>
          <w:szCs w:val="24"/>
          <w:lang w:eastAsia="en-US"/>
        </w:rPr>
        <w:t xml:space="preserve"> </w:t>
      </w:r>
      <w:r w:rsidRPr="005C53F5">
        <w:rPr>
          <w:rFonts w:ascii="Times New Roman" w:eastAsia="Calibri" w:hAnsi="Times New Roman" w:cs="Times New Roman"/>
          <w:iCs/>
          <w:sz w:val="24"/>
          <w:szCs w:val="24"/>
          <w:lang w:eastAsia="en-US"/>
        </w:rPr>
        <w:t>тенге, юридических лицам снизились на 586,6 млрд тенге до 7,2 трлн тенге.  Долгосрочные кредиты увеличились на 718,2 млрд тенге до 11,8 трлн тенге, краткосрочные кредиты – на 53,9 млрд тенге до 2 трлн тенге. Средневзвешенная ставка по тенговым кредитам для бизнеса в 2019 году снизилась до 12,0% в сравнении с 12,4% в 2018</w:t>
      </w:r>
      <w:r w:rsidR="00436AB5" w:rsidRPr="005C53F5">
        <w:rPr>
          <w:rFonts w:ascii="Times New Roman" w:eastAsia="Calibri" w:hAnsi="Times New Roman" w:cs="Times New Roman"/>
          <w:iCs/>
          <w:sz w:val="24"/>
          <w:szCs w:val="24"/>
          <w:lang w:eastAsia="en-US"/>
        </w:rPr>
        <w:t xml:space="preserve"> </w:t>
      </w:r>
      <w:r w:rsidRPr="005C53F5">
        <w:rPr>
          <w:rFonts w:ascii="Times New Roman" w:eastAsia="Calibri" w:hAnsi="Times New Roman" w:cs="Times New Roman"/>
          <w:iCs/>
          <w:sz w:val="24"/>
          <w:szCs w:val="24"/>
          <w:lang w:eastAsia="en-US"/>
        </w:rPr>
        <w:t>г</w:t>
      </w:r>
      <w:r w:rsidR="00436AB5" w:rsidRPr="005C53F5">
        <w:rPr>
          <w:rFonts w:ascii="Times New Roman" w:eastAsia="Calibri" w:hAnsi="Times New Roman" w:cs="Times New Roman"/>
          <w:iCs/>
          <w:sz w:val="24"/>
          <w:szCs w:val="24"/>
          <w:lang w:eastAsia="en-US"/>
        </w:rPr>
        <w:t>.</w:t>
      </w:r>
    </w:p>
    <w:p w14:paraId="74B22179" w14:textId="77777777" w:rsidR="007D69FB" w:rsidRPr="005C53F5" w:rsidRDefault="007D69FB"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НБК также проводит политику свободного плавающего обменного курса и краткосрочного таргетирования инфляции. </w:t>
      </w:r>
    </w:p>
    <w:p w14:paraId="70BB2168" w14:textId="77777777" w:rsidR="007D69FB" w:rsidRPr="005C53F5" w:rsidRDefault="007D69FB"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Дальнейшее проведение денежно-кредитной, курсовой и бюджетной политики Республики Казахстан будет направлено на поддержание финансовой устойчивости Республики Казахстан и будет основываться на развитии внешнеэкономической ситуации. </w:t>
      </w:r>
    </w:p>
    <w:p w14:paraId="097BA48C" w14:textId="77777777" w:rsidR="007D69FB" w:rsidRPr="005C53F5" w:rsidRDefault="007D69FB" w:rsidP="00057BE5">
      <w:pPr>
        <w:pStyle w:val="ConsPlusNormal"/>
        <w:ind w:firstLine="709"/>
        <w:jc w:val="both"/>
        <w:rPr>
          <w:rFonts w:ascii="Times New Roman" w:hAnsi="Times New Roman" w:cs="Times New Roman"/>
          <w:i/>
          <w:sz w:val="24"/>
          <w:szCs w:val="24"/>
        </w:rPr>
      </w:pPr>
      <w:r w:rsidRPr="005C53F5">
        <w:rPr>
          <w:rFonts w:ascii="Times New Roman" w:hAnsi="Times New Roman" w:cs="Times New Roman"/>
          <w:i/>
          <w:sz w:val="24"/>
          <w:szCs w:val="24"/>
        </w:rPr>
        <w:t>Влияние России на монетарную политику Эмитента</w:t>
      </w:r>
    </w:p>
    <w:p w14:paraId="55FD75C3" w14:textId="4B3B6BA9" w:rsidR="007D69FB" w:rsidRPr="005C53F5" w:rsidRDefault="007D69FB"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Правительство Республики Казахстан старается поддерживать прочные независимые дипломатические отношения с Россией, а также подтверждает свою нейтральную позицию в отношении конфликтов, в которые вовлечена Россия. Россия является одним из основных торговых партнеров Казахстана, кроме того, существует большое сходство в структурах экономик двух стран.</w:t>
      </w:r>
      <w:r w:rsidR="00347BC2" w:rsidRPr="005C53F5">
        <w:rPr>
          <w:rFonts w:ascii="Times New Roman" w:hAnsi="Times New Roman" w:cs="Times New Roman"/>
          <w:sz w:val="24"/>
          <w:szCs w:val="24"/>
        </w:rPr>
        <w:t xml:space="preserve"> Несмотря на перечисленные обстоятельства, </w:t>
      </w:r>
      <w:r w:rsidRPr="005C53F5">
        <w:rPr>
          <w:rFonts w:ascii="Times New Roman" w:hAnsi="Times New Roman" w:cs="Times New Roman"/>
          <w:sz w:val="24"/>
          <w:szCs w:val="24"/>
        </w:rPr>
        <w:t xml:space="preserve">НБК проводит независимую монетарную политику. </w:t>
      </w:r>
    </w:p>
    <w:p w14:paraId="779B91BA" w14:textId="77777777" w:rsidR="007D69FB" w:rsidRPr="005C53F5" w:rsidRDefault="007D69FB"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Указывается, каким образом инфляция может сказаться на выплатах по ценным бумагам, приводятся критические, по мнению эмитента, значения инфляции, а также предполагаемые действия эмитента по уменьшению указанного риска:</w:t>
      </w:r>
    </w:p>
    <w:p w14:paraId="7CAE3555" w14:textId="77777777" w:rsidR="007D69FB" w:rsidRPr="005C53F5" w:rsidRDefault="007D69FB"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В декабре 2019 года инфляция в годовом исчислении составила 5,4%, в основном из-за роста цен в пищевой промышленности и сельском хозяйстве. Инфляционные процессы поддерживались продолжающимся ростом потребительского спроса на фоне восстановления реальных доходов населения, а также положительными темпами роста потребительского кредитования. Значительное снижение регулируемых тарифов в начале года стало сдерживающим фактором для инфляции в 2019 году.</w:t>
      </w:r>
    </w:p>
    <w:p w14:paraId="6D609DCC" w14:textId="64BE60C0" w:rsidR="00347BC2" w:rsidRPr="005C53F5" w:rsidRDefault="007D69FB"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C53F5">
        <w:rPr>
          <w:rFonts w:ascii="Times New Roman" w:eastAsia="Times New Roman" w:hAnsi="Times New Roman" w:cs="Times New Roman"/>
          <w:sz w:val="24"/>
          <w:szCs w:val="24"/>
          <w:lang w:eastAsia="ru-RU"/>
        </w:rPr>
        <w:t>Цель по инфляции в 2020 году находится в пределах 4-6%.</w:t>
      </w:r>
      <w:r w:rsidR="00347BC2" w:rsidRPr="005C53F5">
        <w:rPr>
          <w:rFonts w:ascii="Times New Roman" w:eastAsia="Times New Roman" w:hAnsi="Times New Roman" w:cs="Times New Roman"/>
          <w:sz w:val="24"/>
          <w:szCs w:val="24"/>
          <w:lang w:eastAsia="ru-RU"/>
        </w:rPr>
        <w:t xml:space="preserve"> Динамика роста инфляции в 2020 году в результате реализации внешних шоков будет продолжаться. По итогам 2020 года ожидается, что годовая инфляция сложится в пределах 9-11% с последующим замедлением в 2021 году. В сложившихся условиях стремление к быстрому возврату инфляции в коридор 4-6% способно оказать существенное негативное влияние на экономическую активность. Постепенно, по мере ослабления влияния шока на экономику и ее адаптации к новым условиям НБК будет способствовать возвращению инфляции к установленному среднесрочному таргету в 4%.</w:t>
      </w:r>
    </w:p>
    <w:tbl>
      <w:tblPr>
        <w:tblStyle w:val="30"/>
        <w:tblW w:w="5000" w:type="pct"/>
        <w:tblInd w:w="0" w:type="dxa"/>
        <w:tblLook w:val="04A0" w:firstRow="1" w:lastRow="0" w:firstColumn="1" w:lastColumn="0" w:noHBand="0" w:noVBand="1"/>
      </w:tblPr>
      <w:tblGrid>
        <w:gridCol w:w="1378"/>
        <w:gridCol w:w="942"/>
        <w:gridCol w:w="977"/>
        <w:gridCol w:w="963"/>
        <w:gridCol w:w="963"/>
        <w:gridCol w:w="965"/>
        <w:gridCol w:w="965"/>
        <w:gridCol w:w="1242"/>
        <w:gridCol w:w="1232"/>
      </w:tblGrid>
      <w:tr w:rsidR="00956524" w:rsidRPr="005C53F5" w14:paraId="0B650509" w14:textId="666ACD11" w:rsidTr="00AA3DBD">
        <w:trPr>
          <w:trHeight w:val="671"/>
        </w:trPr>
        <w:tc>
          <w:tcPr>
            <w:tcW w:w="716" w:type="pct"/>
            <w:tcBorders>
              <w:top w:val="single" w:sz="4" w:space="0" w:color="auto"/>
              <w:left w:val="single" w:sz="4" w:space="0" w:color="auto"/>
              <w:bottom w:val="single" w:sz="4" w:space="0" w:color="auto"/>
              <w:right w:val="single" w:sz="4" w:space="0" w:color="auto"/>
            </w:tcBorders>
          </w:tcPr>
          <w:p w14:paraId="4F2D024F" w14:textId="18BBA75A" w:rsidR="00956524" w:rsidRPr="005C53F5" w:rsidRDefault="00956524" w:rsidP="00057BE5">
            <w:pPr>
              <w:widowControl w:val="0"/>
              <w:jc w:val="both"/>
              <w:outlineLvl w:val="2"/>
              <w:rPr>
                <w:rFonts w:ascii="Times New Roman" w:eastAsia="Times New Roman" w:hAnsi="Times New Roman" w:cs="Times New Roman"/>
                <w:b/>
                <w:sz w:val="24"/>
                <w:szCs w:val="24"/>
              </w:rPr>
            </w:pPr>
            <w:r w:rsidRPr="005C53F5">
              <w:rPr>
                <w:rFonts w:ascii="Times New Roman" w:eastAsia="Times New Roman" w:hAnsi="Times New Roman" w:cs="Times New Roman"/>
                <w:b/>
                <w:sz w:val="24"/>
                <w:szCs w:val="24"/>
              </w:rPr>
              <w:t>Год</w:t>
            </w:r>
          </w:p>
        </w:tc>
        <w:tc>
          <w:tcPr>
            <w:tcW w:w="490" w:type="pct"/>
            <w:tcBorders>
              <w:top w:val="single" w:sz="4" w:space="0" w:color="auto"/>
              <w:left w:val="single" w:sz="4" w:space="0" w:color="auto"/>
              <w:bottom w:val="single" w:sz="4" w:space="0" w:color="auto"/>
              <w:right w:val="single" w:sz="4" w:space="0" w:color="auto"/>
            </w:tcBorders>
            <w:hideMark/>
          </w:tcPr>
          <w:p w14:paraId="0CBE6945"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b/>
                <w:bCs/>
                <w:color w:val="000000"/>
                <w:sz w:val="24"/>
                <w:szCs w:val="24"/>
                <w:lang w:val="en-US"/>
              </w:rPr>
              <w:t>2014</w:t>
            </w:r>
          </w:p>
        </w:tc>
        <w:tc>
          <w:tcPr>
            <w:tcW w:w="508" w:type="pct"/>
            <w:tcBorders>
              <w:top w:val="single" w:sz="4" w:space="0" w:color="auto"/>
              <w:left w:val="single" w:sz="4" w:space="0" w:color="auto"/>
              <w:bottom w:val="single" w:sz="4" w:space="0" w:color="auto"/>
              <w:right w:val="single" w:sz="4" w:space="0" w:color="auto"/>
            </w:tcBorders>
            <w:hideMark/>
          </w:tcPr>
          <w:p w14:paraId="7FD92400"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b/>
                <w:bCs/>
                <w:color w:val="000000"/>
                <w:sz w:val="24"/>
                <w:szCs w:val="24"/>
                <w:lang w:val="en-US"/>
              </w:rPr>
              <w:t>2015</w:t>
            </w:r>
          </w:p>
        </w:tc>
        <w:tc>
          <w:tcPr>
            <w:tcW w:w="500" w:type="pct"/>
            <w:tcBorders>
              <w:top w:val="single" w:sz="4" w:space="0" w:color="auto"/>
              <w:left w:val="single" w:sz="4" w:space="0" w:color="auto"/>
              <w:bottom w:val="single" w:sz="4" w:space="0" w:color="auto"/>
              <w:right w:val="single" w:sz="4" w:space="0" w:color="auto"/>
            </w:tcBorders>
            <w:hideMark/>
          </w:tcPr>
          <w:p w14:paraId="48470D15"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b/>
                <w:bCs/>
                <w:color w:val="000000"/>
                <w:sz w:val="24"/>
                <w:szCs w:val="24"/>
                <w:lang w:val="en-US"/>
              </w:rPr>
              <w:t>2016</w:t>
            </w:r>
          </w:p>
        </w:tc>
        <w:tc>
          <w:tcPr>
            <w:tcW w:w="500" w:type="pct"/>
            <w:tcBorders>
              <w:top w:val="single" w:sz="4" w:space="0" w:color="auto"/>
              <w:left w:val="single" w:sz="4" w:space="0" w:color="auto"/>
              <w:bottom w:val="single" w:sz="4" w:space="0" w:color="auto"/>
              <w:right w:val="single" w:sz="4" w:space="0" w:color="auto"/>
            </w:tcBorders>
            <w:hideMark/>
          </w:tcPr>
          <w:p w14:paraId="68CDCCD9"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b/>
                <w:bCs/>
                <w:color w:val="000000"/>
                <w:sz w:val="24"/>
                <w:szCs w:val="24"/>
                <w:lang w:val="en-US"/>
              </w:rPr>
              <w:t>2017</w:t>
            </w:r>
          </w:p>
        </w:tc>
        <w:tc>
          <w:tcPr>
            <w:tcW w:w="501" w:type="pct"/>
            <w:tcBorders>
              <w:top w:val="single" w:sz="4" w:space="0" w:color="auto"/>
              <w:left w:val="single" w:sz="4" w:space="0" w:color="auto"/>
              <w:bottom w:val="single" w:sz="4" w:space="0" w:color="auto"/>
              <w:right w:val="single" w:sz="4" w:space="0" w:color="auto"/>
            </w:tcBorders>
            <w:hideMark/>
          </w:tcPr>
          <w:p w14:paraId="3A388217"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b/>
                <w:bCs/>
                <w:color w:val="000000"/>
                <w:sz w:val="24"/>
                <w:szCs w:val="24"/>
                <w:lang w:val="en-US"/>
              </w:rPr>
              <w:t>2018</w:t>
            </w:r>
          </w:p>
        </w:tc>
        <w:tc>
          <w:tcPr>
            <w:tcW w:w="501" w:type="pct"/>
            <w:tcBorders>
              <w:top w:val="single" w:sz="4" w:space="0" w:color="auto"/>
              <w:left w:val="single" w:sz="4" w:space="0" w:color="auto"/>
              <w:bottom w:val="single" w:sz="4" w:space="0" w:color="auto"/>
              <w:right w:val="single" w:sz="4" w:space="0" w:color="auto"/>
            </w:tcBorders>
            <w:hideMark/>
          </w:tcPr>
          <w:p w14:paraId="24E37D5B"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b/>
                <w:bCs/>
                <w:color w:val="000000"/>
                <w:sz w:val="24"/>
                <w:szCs w:val="24"/>
                <w:lang w:val="en-US"/>
              </w:rPr>
              <w:t>2019</w:t>
            </w:r>
          </w:p>
        </w:tc>
        <w:tc>
          <w:tcPr>
            <w:tcW w:w="645" w:type="pct"/>
            <w:tcBorders>
              <w:top w:val="single" w:sz="4" w:space="0" w:color="auto"/>
              <w:left w:val="single" w:sz="4" w:space="0" w:color="auto"/>
              <w:bottom w:val="single" w:sz="4" w:space="0" w:color="auto"/>
              <w:right w:val="single" w:sz="4" w:space="0" w:color="auto"/>
            </w:tcBorders>
            <w:hideMark/>
          </w:tcPr>
          <w:p w14:paraId="464CCD19"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b/>
                <w:bCs/>
                <w:color w:val="000000"/>
                <w:sz w:val="24"/>
                <w:szCs w:val="24"/>
                <w:lang w:val="en-US"/>
              </w:rPr>
              <w:t>2020 (</w:t>
            </w:r>
            <w:r w:rsidRPr="005C53F5">
              <w:rPr>
                <w:rFonts w:ascii="Times New Roman" w:eastAsia="Times New Roman" w:hAnsi="Times New Roman" w:cs="Times New Roman"/>
                <w:b/>
                <w:bCs/>
                <w:color w:val="000000"/>
                <w:sz w:val="24"/>
                <w:szCs w:val="24"/>
              </w:rPr>
              <w:t>целевая</w:t>
            </w:r>
            <w:r w:rsidRPr="005C53F5">
              <w:rPr>
                <w:rFonts w:ascii="Times New Roman" w:eastAsia="Times New Roman" w:hAnsi="Times New Roman" w:cs="Times New Roman"/>
                <w:b/>
                <w:bCs/>
                <w:color w:val="000000"/>
                <w:sz w:val="24"/>
                <w:szCs w:val="24"/>
                <w:lang w:val="en-US"/>
              </w:rPr>
              <w:t>)</w:t>
            </w:r>
          </w:p>
        </w:tc>
        <w:tc>
          <w:tcPr>
            <w:tcW w:w="640" w:type="pct"/>
            <w:tcBorders>
              <w:top w:val="single" w:sz="4" w:space="0" w:color="auto"/>
              <w:left w:val="single" w:sz="4" w:space="0" w:color="auto"/>
              <w:bottom w:val="single" w:sz="4" w:space="0" w:color="auto"/>
              <w:right w:val="single" w:sz="4" w:space="0" w:color="auto"/>
            </w:tcBorders>
          </w:tcPr>
          <w:p w14:paraId="6BD94BA7" w14:textId="77777777" w:rsidR="00956524" w:rsidRPr="005C53F5" w:rsidRDefault="00956524" w:rsidP="00057BE5">
            <w:pPr>
              <w:widowControl w:val="0"/>
              <w:jc w:val="center"/>
              <w:rPr>
                <w:rFonts w:ascii="Times New Roman" w:eastAsia="Times New Roman" w:hAnsi="Times New Roman" w:cs="Times New Roman"/>
                <w:b/>
                <w:bCs/>
                <w:color w:val="000000"/>
                <w:sz w:val="24"/>
                <w:szCs w:val="24"/>
                <w:lang w:val="en-US"/>
              </w:rPr>
            </w:pPr>
            <w:r w:rsidRPr="005C53F5">
              <w:rPr>
                <w:rFonts w:ascii="Times New Roman" w:eastAsia="Times New Roman" w:hAnsi="Times New Roman" w:cs="Times New Roman"/>
                <w:b/>
                <w:bCs/>
                <w:color w:val="000000"/>
                <w:sz w:val="24"/>
                <w:szCs w:val="24"/>
                <w:lang w:val="en-US"/>
              </w:rPr>
              <w:t>2020</w:t>
            </w:r>
          </w:p>
          <w:p w14:paraId="2A49E037" w14:textId="1CD77A08" w:rsidR="00956524" w:rsidRPr="005C53F5" w:rsidRDefault="00956524" w:rsidP="00057BE5">
            <w:pPr>
              <w:widowControl w:val="0"/>
              <w:jc w:val="center"/>
              <w:rPr>
                <w:rFonts w:ascii="Times New Roman" w:eastAsia="Times New Roman" w:hAnsi="Times New Roman" w:cs="Times New Roman"/>
                <w:b/>
                <w:bCs/>
                <w:color w:val="000000"/>
                <w:sz w:val="24"/>
                <w:szCs w:val="24"/>
              </w:rPr>
            </w:pPr>
            <w:r w:rsidRPr="005C53F5">
              <w:rPr>
                <w:rFonts w:ascii="Times New Roman" w:eastAsia="Times New Roman" w:hAnsi="Times New Roman" w:cs="Times New Roman"/>
                <w:b/>
                <w:bCs/>
                <w:color w:val="000000"/>
                <w:sz w:val="24"/>
                <w:szCs w:val="24"/>
                <w:lang w:val="en-US"/>
              </w:rPr>
              <w:t>(прогноз)</w:t>
            </w:r>
          </w:p>
        </w:tc>
      </w:tr>
      <w:tr w:rsidR="00956524" w:rsidRPr="005C53F5" w14:paraId="722B738B" w14:textId="6F2B6C0E" w:rsidTr="00AA3DBD">
        <w:tc>
          <w:tcPr>
            <w:tcW w:w="716" w:type="pct"/>
            <w:tcBorders>
              <w:top w:val="single" w:sz="4" w:space="0" w:color="auto"/>
              <w:left w:val="single" w:sz="4" w:space="0" w:color="auto"/>
              <w:bottom w:val="single" w:sz="4" w:space="0" w:color="auto"/>
              <w:right w:val="single" w:sz="4" w:space="0" w:color="auto"/>
            </w:tcBorders>
            <w:hideMark/>
          </w:tcPr>
          <w:p w14:paraId="3D7EF2A7" w14:textId="77777777" w:rsidR="00956524" w:rsidRPr="005C53F5" w:rsidRDefault="00956524" w:rsidP="00057BE5">
            <w:pPr>
              <w:widowControl w:val="0"/>
              <w:jc w:val="both"/>
              <w:rPr>
                <w:rFonts w:ascii="Times New Roman" w:eastAsia="Times New Roman" w:hAnsi="Times New Roman" w:cs="Times New Roman"/>
                <w:b/>
                <w:i/>
                <w:sz w:val="24"/>
                <w:szCs w:val="24"/>
              </w:rPr>
            </w:pPr>
            <w:r w:rsidRPr="005C53F5">
              <w:rPr>
                <w:rFonts w:ascii="Times New Roman" w:eastAsia="Times New Roman" w:hAnsi="Times New Roman" w:cs="Times New Roman"/>
                <w:b/>
                <w:bCs/>
                <w:color w:val="000000"/>
                <w:sz w:val="24"/>
                <w:szCs w:val="24"/>
              </w:rPr>
              <w:t>Инфляция</w:t>
            </w:r>
          </w:p>
        </w:tc>
        <w:tc>
          <w:tcPr>
            <w:tcW w:w="490" w:type="pct"/>
            <w:tcBorders>
              <w:top w:val="single" w:sz="4" w:space="0" w:color="auto"/>
              <w:left w:val="single" w:sz="4" w:space="0" w:color="auto"/>
              <w:bottom w:val="single" w:sz="4" w:space="0" w:color="auto"/>
              <w:right w:val="single" w:sz="4" w:space="0" w:color="auto"/>
            </w:tcBorders>
            <w:hideMark/>
          </w:tcPr>
          <w:p w14:paraId="4A2FB5FA"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color w:val="000000"/>
                <w:sz w:val="24"/>
                <w:szCs w:val="24"/>
                <w:lang w:val="en-US"/>
              </w:rPr>
              <w:t>7</w:t>
            </w:r>
            <w:r w:rsidRPr="005C53F5">
              <w:rPr>
                <w:rFonts w:ascii="Times New Roman" w:eastAsia="Times New Roman" w:hAnsi="Times New Roman" w:cs="Times New Roman"/>
                <w:color w:val="000000"/>
                <w:sz w:val="24"/>
                <w:szCs w:val="24"/>
              </w:rPr>
              <w:t>,</w:t>
            </w:r>
            <w:r w:rsidRPr="005C53F5">
              <w:rPr>
                <w:rFonts w:ascii="Times New Roman" w:eastAsia="Times New Roman" w:hAnsi="Times New Roman" w:cs="Times New Roman"/>
                <w:color w:val="000000"/>
                <w:sz w:val="24"/>
                <w:szCs w:val="24"/>
                <w:lang w:val="en-US"/>
              </w:rPr>
              <w:t>40%</w:t>
            </w:r>
          </w:p>
        </w:tc>
        <w:tc>
          <w:tcPr>
            <w:tcW w:w="508" w:type="pct"/>
            <w:tcBorders>
              <w:top w:val="single" w:sz="4" w:space="0" w:color="auto"/>
              <w:left w:val="single" w:sz="4" w:space="0" w:color="auto"/>
              <w:bottom w:val="single" w:sz="4" w:space="0" w:color="auto"/>
              <w:right w:val="single" w:sz="4" w:space="0" w:color="auto"/>
            </w:tcBorders>
            <w:hideMark/>
          </w:tcPr>
          <w:p w14:paraId="23651256"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color w:val="000000"/>
                <w:sz w:val="24"/>
                <w:szCs w:val="24"/>
                <w:lang w:val="en-US"/>
              </w:rPr>
              <w:t>13</w:t>
            </w:r>
            <w:r w:rsidRPr="005C53F5">
              <w:rPr>
                <w:rFonts w:ascii="Times New Roman" w:eastAsia="Times New Roman" w:hAnsi="Times New Roman" w:cs="Times New Roman"/>
                <w:color w:val="000000"/>
                <w:sz w:val="24"/>
                <w:szCs w:val="24"/>
              </w:rPr>
              <w:t>,</w:t>
            </w:r>
            <w:r w:rsidRPr="005C53F5">
              <w:rPr>
                <w:rFonts w:ascii="Times New Roman" w:eastAsia="Times New Roman" w:hAnsi="Times New Roman" w:cs="Times New Roman"/>
                <w:color w:val="000000"/>
                <w:sz w:val="24"/>
                <w:szCs w:val="24"/>
                <w:lang w:val="en-US"/>
              </w:rPr>
              <w:t>60%</w:t>
            </w:r>
          </w:p>
        </w:tc>
        <w:tc>
          <w:tcPr>
            <w:tcW w:w="500" w:type="pct"/>
            <w:tcBorders>
              <w:top w:val="single" w:sz="4" w:space="0" w:color="auto"/>
              <w:left w:val="single" w:sz="4" w:space="0" w:color="auto"/>
              <w:bottom w:val="single" w:sz="4" w:space="0" w:color="auto"/>
              <w:right w:val="single" w:sz="4" w:space="0" w:color="auto"/>
            </w:tcBorders>
            <w:hideMark/>
          </w:tcPr>
          <w:p w14:paraId="777D30E6"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color w:val="000000"/>
                <w:sz w:val="24"/>
                <w:szCs w:val="24"/>
                <w:lang w:val="en-US"/>
              </w:rPr>
              <w:t>8</w:t>
            </w:r>
            <w:r w:rsidRPr="005C53F5">
              <w:rPr>
                <w:rFonts w:ascii="Times New Roman" w:eastAsia="Times New Roman" w:hAnsi="Times New Roman" w:cs="Times New Roman"/>
                <w:color w:val="000000"/>
                <w:sz w:val="24"/>
                <w:szCs w:val="24"/>
              </w:rPr>
              <w:t>,</w:t>
            </w:r>
            <w:r w:rsidRPr="005C53F5">
              <w:rPr>
                <w:rFonts w:ascii="Times New Roman" w:eastAsia="Times New Roman" w:hAnsi="Times New Roman" w:cs="Times New Roman"/>
                <w:color w:val="000000"/>
                <w:sz w:val="24"/>
                <w:szCs w:val="24"/>
                <w:lang w:val="en-US"/>
              </w:rPr>
              <w:t>50%</w:t>
            </w:r>
          </w:p>
        </w:tc>
        <w:tc>
          <w:tcPr>
            <w:tcW w:w="500" w:type="pct"/>
            <w:tcBorders>
              <w:top w:val="single" w:sz="4" w:space="0" w:color="auto"/>
              <w:left w:val="single" w:sz="4" w:space="0" w:color="auto"/>
              <w:bottom w:val="single" w:sz="4" w:space="0" w:color="auto"/>
              <w:right w:val="single" w:sz="4" w:space="0" w:color="auto"/>
            </w:tcBorders>
            <w:hideMark/>
          </w:tcPr>
          <w:p w14:paraId="18C9E895"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color w:val="000000"/>
                <w:sz w:val="24"/>
                <w:szCs w:val="24"/>
                <w:lang w:val="en-US"/>
              </w:rPr>
              <w:t>7</w:t>
            </w:r>
            <w:r w:rsidRPr="005C53F5">
              <w:rPr>
                <w:rFonts w:ascii="Times New Roman" w:eastAsia="Times New Roman" w:hAnsi="Times New Roman" w:cs="Times New Roman"/>
                <w:color w:val="000000"/>
                <w:sz w:val="24"/>
                <w:szCs w:val="24"/>
              </w:rPr>
              <w:t>,</w:t>
            </w:r>
            <w:r w:rsidRPr="005C53F5">
              <w:rPr>
                <w:rFonts w:ascii="Times New Roman" w:eastAsia="Times New Roman" w:hAnsi="Times New Roman" w:cs="Times New Roman"/>
                <w:color w:val="000000"/>
                <w:sz w:val="24"/>
                <w:szCs w:val="24"/>
                <w:lang w:val="en-US"/>
              </w:rPr>
              <w:t>10%</w:t>
            </w:r>
          </w:p>
        </w:tc>
        <w:tc>
          <w:tcPr>
            <w:tcW w:w="501" w:type="pct"/>
            <w:tcBorders>
              <w:top w:val="single" w:sz="4" w:space="0" w:color="auto"/>
              <w:left w:val="single" w:sz="4" w:space="0" w:color="auto"/>
              <w:bottom w:val="single" w:sz="4" w:space="0" w:color="auto"/>
              <w:right w:val="single" w:sz="4" w:space="0" w:color="auto"/>
            </w:tcBorders>
            <w:hideMark/>
          </w:tcPr>
          <w:p w14:paraId="14EC6DE1"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color w:val="000000"/>
                <w:sz w:val="24"/>
                <w:szCs w:val="24"/>
                <w:lang w:val="en-US"/>
              </w:rPr>
              <w:t>5</w:t>
            </w:r>
            <w:r w:rsidRPr="005C53F5">
              <w:rPr>
                <w:rFonts w:ascii="Times New Roman" w:eastAsia="Times New Roman" w:hAnsi="Times New Roman" w:cs="Times New Roman"/>
                <w:color w:val="000000"/>
                <w:sz w:val="24"/>
                <w:szCs w:val="24"/>
              </w:rPr>
              <w:t>,</w:t>
            </w:r>
            <w:r w:rsidRPr="005C53F5">
              <w:rPr>
                <w:rFonts w:ascii="Times New Roman" w:eastAsia="Times New Roman" w:hAnsi="Times New Roman" w:cs="Times New Roman"/>
                <w:color w:val="000000"/>
                <w:sz w:val="24"/>
                <w:szCs w:val="24"/>
                <w:lang w:val="en-US"/>
              </w:rPr>
              <w:t>30%</w:t>
            </w:r>
          </w:p>
        </w:tc>
        <w:tc>
          <w:tcPr>
            <w:tcW w:w="501" w:type="pct"/>
            <w:tcBorders>
              <w:top w:val="single" w:sz="4" w:space="0" w:color="auto"/>
              <w:left w:val="single" w:sz="4" w:space="0" w:color="auto"/>
              <w:bottom w:val="single" w:sz="4" w:space="0" w:color="auto"/>
              <w:right w:val="single" w:sz="4" w:space="0" w:color="auto"/>
            </w:tcBorders>
            <w:hideMark/>
          </w:tcPr>
          <w:p w14:paraId="4D400ABB"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color w:val="000000"/>
                <w:sz w:val="24"/>
                <w:szCs w:val="24"/>
                <w:lang w:val="en-US"/>
              </w:rPr>
              <w:t>5</w:t>
            </w:r>
            <w:r w:rsidRPr="005C53F5">
              <w:rPr>
                <w:rFonts w:ascii="Times New Roman" w:eastAsia="Times New Roman" w:hAnsi="Times New Roman" w:cs="Times New Roman"/>
                <w:color w:val="000000"/>
                <w:sz w:val="24"/>
                <w:szCs w:val="24"/>
              </w:rPr>
              <w:t>,4</w:t>
            </w:r>
            <w:r w:rsidRPr="005C53F5">
              <w:rPr>
                <w:rFonts w:ascii="Times New Roman" w:eastAsia="Times New Roman" w:hAnsi="Times New Roman" w:cs="Times New Roman"/>
                <w:color w:val="000000"/>
                <w:sz w:val="24"/>
                <w:szCs w:val="24"/>
                <w:lang w:val="en-US"/>
              </w:rPr>
              <w:t>%</w:t>
            </w:r>
          </w:p>
        </w:tc>
        <w:tc>
          <w:tcPr>
            <w:tcW w:w="645" w:type="pct"/>
            <w:tcBorders>
              <w:top w:val="single" w:sz="4" w:space="0" w:color="auto"/>
              <w:left w:val="single" w:sz="4" w:space="0" w:color="auto"/>
              <w:bottom w:val="single" w:sz="4" w:space="0" w:color="auto"/>
              <w:right w:val="single" w:sz="4" w:space="0" w:color="auto"/>
            </w:tcBorders>
            <w:hideMark/>
          </w:tcPr>
          <w:p w14:paraId="2CE89867" w14:textId="77777777" w:rsidR="00956524" w:rsidRPr="005C53F5" w:rsidRDefault="00956524" w:rsidP="00057BE5">
            <w:pPr>
              <w:widowControl w:val="0"/>
              <w:jc w:val="center"/>
              <w:rPr>
                <w:rFonts w:ascii="Times New Roman" w:eastAsia="Times New Roman" w:hAnsi="Times New Roman" w:cs="Times New Roman"/>
                <w:b/>
                <w:i/>
                <w:sz w:val="24"/>
                <w:szCs w:val="24"/>
              </w:rPr>
            </w:pPr>
            <w:r w:rsidRPr="005C53F5">
              <w:rPr>
                <w:rFonts w:ascii="Times New Roman" w:eastAsia="Times New Roman" w:hAnsi="Times New Roman" w:cs="Times New Roman"/>
                <w:color w:val="000000"/>
                <w:sz w:val="24"/>
                <w:szCs w:val="24"/>
              </w:rPr>
              <w:t>4-6</w:t>
            </w:r>
            <w:r w:rsidRPr="005C53F5">
              <w:rPr>
                <w:rFonts w:ascii="Times New Roman" w:eastAsia="Times New Roman" w:hAnsi="Times New Roman" w:cs="Times New Roman"/>
                <w:color w:val="000000"/>
                <w:sz w:val="24"/>
                <w:szCs w:val="24"/>
                <w:lang w:val="en-US"/>
              </w:rPr>
              <w:t>%</w:t>
            </w:r>
          </w:p>
        </w:tc>
        <w:tc>
          <w:tcPr>
            <w:tcW w:w="640" w:type="pct"/>
            <w:tcBorders>
              <w:top w:val="single" w:sz="4" w:space="0" w:color="auto"/>
              <w:left w:val="single" w:sz="4" w:space="0" w:color="auto"/>
              <w:bottom w:val="single" w:sz="4" w:space="0" w:color="auto"/>
              <w:right w:val="single" w:sz="4" w:space="0" w:color="auto"/>
            </w:tcBorders>
          </w:tcPr>
          <w:p w14:paraId="6FDD3943" w14:textId="42F3BAAC" w:rsidR="00956524" w:rsidRPr="005C53F5" w:rsidRDefault="00956524" w:rsidP="00057BE5">
            <w:pPr>
              <w:widowControl w:val="0"/>
              <w:jc w:val="center"/>
              <w:rPr>
                <w:rFonts w:ascii="Times New Roman" w:eastAsia="Times New Roman" w:hAnsi="Times New Roman" w:cs="Times New Roman"/>
                <w:color w:val="000000"/>
                <w:sz w:val="24"/>
                <w:szCs w:val="24"/>
              </w:rPr>
            </w:pPr>
            <w:r w:rsidRPr="005C53F5">
              <w:rPr>
                <w:rFonts w:ascii="Times New Roman" w:eastAsia="Times New Roman" w:hAnsi="Times New Roman" w:cs="Times New Roman"/>
                <w:color w:val="000000"/>
                <w:sz w:val="24"/>
                <w:szCs w:val="24"/>
              </w:rPr>
              <w:t>9-11%</w:t>
            </w:r>
          </w:p>
        </w:tc>
      </w:tr>
    </w:tbl>
    <w:p w14:paraId="23341B1C" w14:textId="68D49204" w:rsidR="00AA3DBD" w:rsidRDefault="00AA3DBD" w:rsidP="00AA3DBD">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sz w:val="24"/>
          <w:szCs w:val="24"/>
        </w:rPr>
        <w:t>Темпы роста инфляции не окажут существенного влияния на выплаты по Облигациям, поскольку Правительство Республики Казахстан и НБК будут предпринимать комплекс мер по ограничению роста инфляции.</w:t>
      </w:r>
      <w:r>
        <w:rPr>
          <w:rFonts w:ascii="Times New Roman" w:hAnsi="Times New Roman" w:cs="Times New Roman"/>
          <w:sz w:val="24"/>
          <w:szCs w:val="24"/>
        </w:rPr>
        <w:t xml:space="preserve"> Критический уровень инфляции, который может оказать негативное влияние на </w:t>
      </w:r>
      <w:r w:rsidRPr="005C53F5">
        <w:rPr>
          <w:rFonts w:ascii="Times New Roman" w:hAnsi="Times New Roman" w:cs="Times New Roman"/>
          <w:sz w:val="24"/>
          <w:szCs w:val="24"/>
        </w:rPr>
        <w:t>выплаты по Облигациям</w:t>
      </w:r>
      <w:r>
        <w:rPr>
          <w:rFonts w:ascii="Times New Roman" w:hAnsi="Times New Roman" w:cs="Times New Roman"/>
          <w:sz w:val="24"/>
          <w:szCs w:val="24"/>
        </w:rPr>
        <w:t>, по мнению Эмитента, находится на уровне гиперинфляции, что значительно выше прогнозных значений по инфляции.</w:t>
      </w:r>
    </w:p>
    <w:p w14:paraId="07FC8A52" w14:textId="77777777" w:rsidR="007D69FB" w:rsidRPr="005C53F5" w:rsidRDefault="007D69FB"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Указывается, какие из показателей финансовой отчетности эмитента наиболее подвержены изменению в результате влияния указанных финансовых рисков, в том числе указываются риски, вероятность их возникновения и характер изменений в отчетности:</w:t>
      </w:r>
    </w:p>
    <w:p w14:paraId="7E5311C6" w14:textId="77777777" w:rsidR="007D69FB" w:rsidRPr="005C53F5" w:rsidRDefault="007D69FB"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C53F5">
        <w:rPr>
          <w:rFonts w:ascii="Times New Roman" w:eastAsia="Times New Roman" w:hAnsi="Times New Roman" w:cs="Times New Roman"/>
          <w:sz w:val="24"/>
          <w:szCs w:val="24"/>
          <w:lang w:eastAsia="ru-RU"/>
        </w:rPr>
        <w:t>Указанная информация приведена в нижеследующей таблице:</w:t>
      </w:r>
    </w:p>
    <w:tbl>
      <w:tblPr>
        <w:tblStyle w:val="40"/>
        <w:tblW w:w="5000" w:type="pct"/>
        <w:tblInd w:w="0" w:type="dxa"/>
        <w:tblLook w:val="04A0" w:firstRow="1" w:lastRow="0" w:firstColumn="1" w:lastColumn="0" w:noHBand="0" w:noVBand="1"/>
      </w:tblPr>
      <w:tblGrid>
        <w:gridCol w:w="3026"/>
        <w:gridCol w:w="4723"/>
        <w:gridCol w:w="1878"/>
      </w:tblGrid>
      <w:tr w:rsidR="007D69FB" w:rsidRPr="005C53F5" w14:paraId="51BA9693" w14:textId="77777777" w:rsidTr="007D69FB">
        <w:tc>
          <w:tcPr>
            <w:tcW w:w="1590" w:type="pct"/>
            <w:tcBorders>
              <w:top w:val="single" w:sz="4" w:space="0" w:color="auto"/>
              <w:left w:val="single" w:sz="4" w:space="0" w:color="auto"/>
              <w:bottom w:val="single" w:sz="4" w:space="0" w:color="auto"/>
              <w:right w:val="single" w:sz="4" w:space="0" w:color="auto"/>
            </w:tcBorders>
            <w:hideMark/>
          </w:tcPr>
          <w:p w14:paraId="53DDDCA7" w14:textId="77777777" w:rsidR="007D69FB" w:rsidRPr="005C53F5" w:rsidRDefault="007D69FB" w:rsidP="00057BE5">
            <w:pPr>
              <w:widowControl w:val="0"/>
              <w:jc w:val="center"/>
              <w:rPr>
                <w:rFonts w:ascii="Times New Roman" w:eastAsia="Times New Roman" w:hAnsi="Times New Roman" w:cs="Times New Roman"/>
                <w:b/>
                <w:bCs/>
                <w:sz w:val="24"/>
                <w:szCs w:val="24"/>
              </w:rPr>
            </w:pPr>
            <w:r w:rsidRPr="005C53F5">
              <w:rPr>
                <w:rFonts w:ascii="Times New Roman" w:eastAsia="Times New Roman" w:hAnsi="Times New Roman" w:cs="Times New Roman"/>
                <w:b/>
                <w:bCs/>
                <w:sz w:val="24"/>
                <w:szCs w:val="24"/>
              </w:rPr>
              <w:t>Показатель</w:t>
            </w:r>
          </w:p>
        </w:tc>
        <w:tc>
          <w:tcPr>
            <w:tcW w:w="2471" w:type="pct"/>
            <w:tcBorders>
              <w:top w:val="single" w:sz="4" w:space="0" w:color="auto"/>
              <w:left w:val="single" w:sz="4" w:space="0" w:color="auto"/>
              <w:bottom w:val="single" w:sz="4" w:space="0" w:color="auto"/>
              <w:right w:val="single" w:sz="4" w:space="0" w:color="auto"/>
            </w:tcBorders>
            <w:hideMark/>
          </w:tcPr>
          <w:p w14:paraId="0166D919" w14:textId="77777777" w:rsidR="007D69FB" w:rsidRPr="005C53F5" w:rsidRDefault="007D69FB" w:rsidP="00057BE5">
            <w:pPr>
              <w:widowControl w:val="0"/>
              <w:jc w:val="center"/>
              <w:rPr>
                <w:rFonts w:ascii="Times New Roman" w:eastAsia="Times New Roman" w:hAnsi="Times New Roman" w:cs="Times New Roman"/>
                <w:b/>
                <w:bCs/>
                <w:sz w:val="24"/>
                <w:szCs w:val="24"/>
              </w:rPr>
            </w:pPr>
            <w:r w:rsidRPr="005C53F5">
              <w:rPr>
                <w:rFonts w:ascii="Times New Roman" w:eastAsia="Times New Roman" w:hAnsi="Times New Roman" w:cs="Times New Roman"/>
                <w:b/>
                <w:bCs/>
                <w:sz w:val="24"/>
                <w:szCs w:val="24"/>
              </w:rPr>
              <w:t>Риск и характер изменений</w:t>
            </w:r>
          </w:p>
        </w:tc>
        <w:tc>
          <w:tcPr>
            <w:tcW w:w="938" w:type="pct"/>
            <w:tcBorders>
              <w:top w:val="single" w:sz="4" w:space="0" w:color="auto"/>
              <w:left w:val="single" w:sz="4" w:space="0" w:color="auto"/>
              <w:bottom w:val="single" w:sz="4" w:space="0" w:color="auto"/>
              <w:right w:val="single" w:sz="4" w:space="0" w:color="auto"/>
            </w:tcBorders>
            <w:hideMark/>
          </w:tcPr>
          <w:p w14:paraId="61A3532C" w14:textId="77777777" w:rsidR="007D69FB" w:rsidRPr="005C53F5" w:rsidRDefault="007D69FB" w:rsidP="00057BE5">
            <w:pPr>
              <w:widowControl w:val="0"/>
              <w:jc w:val="center"/>
              <w:rPr>
                <w:rFonts w:ascii="Times New Roman" w:eastAsia="Times New Roman" w:hAnsi="Times New Roman" w:cs="Times New Roman"/>
                <w:b/>
                <w:bCs/>
                <w:sz w:val="24"/>
                <w:szCs w:val="24"/>
              </w:rPr>
            </w:pPr>
            <w:r w:rsidRPr="005C53F5">
              <w:rPr>
                <w:rFonts w:ascii="Times New Roman" w:eastAsia="Times New Roman" w:hAnsi="Times New Roman" w:cs="Times New Roman"/>
                <w:b/>
                <w:bCs/>
                <w:sz w:val="24"/>
                <w:szCs w:val="24"/>
              </w:rPr>
              <w:t>Вероятность возникновения</w:t>
            </w:r>
          </w:p>
        </w:tc>
      </w:tr>
      <w:tr w:rsidR="007D69FB" w:rsidRPr="005C53F5" w14:paraId="6ACAA9FC" w14:textId="77777777" w:rsidTr="007D69FB">
        <w:tc>
          <w:tcPr>
            <w:tcW w:w="1590" w:type="pct"/>
            <w:tcBorders>
              <w:top w:val="single" w:sz="4" w:space="0" w:color="auto"/>
              <w:left w:val="single" w:sz="4" w:space="0" w:color="auto"/>
              <w:bottom w:val="single" w:sz="4" w:space="0" w:color="auto"/>
              <w:right w:val="single" w:sz="4" w:space="0" w:color="auto"/>
            </w:tcBorders>
            <w:hideMark/>
          </w:tcPr>
          <w:p w14:paraId="7E2F77AA" w14:textId="77777777" w:rsidR="007D69FB" w:rsidRPr="005C53F5" w:rsidRDefault="007D69FB" w:rsidP="00057BE5">
            <w:pPr>
              <w:widowControl w:val="0"/>
              <w:jc w:val="both"/>
              <w:rPr>
                <w:rFonts w:ascii="Times New Roman" w:eastAsia="Times New Roman" w:hAnsi="Times New Roman" w:cs="Times New Roman"/>
                <w:sz w:val="24"/>
                <w:szCs w:val="24"/>
              </w:rPr>
            </w:pPr>
            <w:r w:rsidRPr="005C53F5">
              <w:rPr>
                <w:rFonts w:ascii="Times New Roman" w:eastAsia="Times New Roman" w:hAnsi="Times New Roman" w:cs="Times New Roman"/>
                <w:sz w:val="24"/>
                <w:szCs w:val="24"/>
              </w:rPr>
              <w:t>Валютная выручка</w:t>
            </w:r>
          </w:p>
        </w:tc>
        <w:tc>
          <w:tcPr>
            <w:tcW w:w="2471" w:type="pct"/>
            <w:tcBorders>
              <w:top w:val="single" w:sz="4" w:space="0" w:color="auto"/>
              <w:left w:val="single" w:sz="4" w:space="0" w:color="auto"/>
              <w:bottom w:val="single" w:sz="4" w:space="0" w:color="auto"/>
              <w:right w:val="single" w:sz="4" w:space="0" w:color="auto"/>
            </w:tcBorders>
            <w:hideMark/>
          </w:tcPr>
          <w:p w14:paraId="7E0EB508" w14:textId="77777777" w:rsidR="007D69FB" w:rsidRPr="005C53F5" w:rsidRDefault="007D69FB" w:rsidP="00057BE5">
            <w:pPr>
              <w:widowControl w:val="0"/>
              <w:jc w:val="both"/>
              <w:rPr>
                <w:rFonts w:ascii="Times New Roman" w:eastAsia="Times New Roman" w:hAnsi="Times New Roman" w:cs="Times New Roman"/>
                <w:sz w:val="24"/>
                <w:szCs w:val="24"/>
              </w:rPr>
            </w:pPr>
            <w:r w:rsidRPr="005C53F5">
              <w:rPr>
                <w:rFonts w:ascii="Times New Roman" w:eastAsia="Times New Roman" w:hAnsi="Times New Roman" w:cs="Times New Roman"/>
                <w:sz w:val="24"/>
                <w:szCs w:val="24"/>
              </w:rPr>
              <w:t>Риск снижения валютной выручки из-за высокой степени зависимости Эмитента от цен на сырье</w:t>
            </w:r>
          </w:p>
        </w:tc>
        <w:tc>
          <w:tcPr>
            <w:tcW w:w="938" w:type="pct"/>
            <w:tcBorders>
              <w:top w:val="single" w:sz="4" w:space="0" w:color="auto"/>
              <w:left w:val="single" w:sz="4" w:space="0" w:color="auto"/>
              <w:bottom w:val="single" w:sz="4" w:space="0" w:color="auto"/>
              <w:right w:val="single" w:sz="4" w:space="0" w:color="auto"/>
            </w:tcBorders>
            <w:hideMark/>
          </w:tcPr>
          <w:p w14:paraId="1543F2EA" w14:textId="77777777" w:rsidR="007D69FB" w:rsidRPr="005C53F5" w:rsidRDefault="007D69FB" w:rsidP="00057BE5">
            <w:pPr>
              <w:widowControl w:val="0"/>
              <w:jc w:val="both"/>
              <w:rPr>
                <w:rFonts w:ascii="Times New Roman" w:eastAsia="Times New Roman" w:hAnsi="Times New Roman" w:cs="Times New Roman"/>
                <w:sz w:val="24"/>
                <w:szCs w:val="24"/>
              </w:rPr>
            </w:pPr>
            <w:r w:rsidRPr="005C53F5">
              <w:rPr>
                <w:rFonts w:ascii="Times New Roman" w:eastAsia="Times New Roman" w:hAnsi="Times New Roman" w:cs="Times New Roman"/>
                <w:sz w:val="24"/>
                <w:szCs w:val="24"/>
              </w:rPr>
              <w:t>Высокая</w:t>
            </w:r>
          </w:p>
        </w:tc>
      </w:tr>
      <w:tr w:rsidR="007D69FB" w:rsidRPr="005C53F5" w14:paraId="585DDF71" w14:textId="77777777" w:rsidTr="007D69FB">
        <w:tc>
          <w:tcPr>
            <w:tcW w:w="1590" w:type="pct"/>
            <w:tcBorders>
              <w:top w:val="single" w:sz="4" w:space="0" w:color="auto"/>
              <w:left w:val="single" w:sz="4" w:space="0" w:color="auto"/>
              <w:bottom w:val="single" w:sz="4" w:space="0" w:color="auto"/>
              <w:right w:val="single" w:sz="4" w:space="0" w:color="auto"/>
            </w:tcBorders>
            <w:hideMark/>
          </w:tcPr>
          <w:p w14:paraId="7BE8247A" w14:textId="77777777" w:rsidR="007D69FB" w:rsidRPr="005C53F5" w:rsidRDefault="007D69FB" w:rsidP="00057BE5">
            <w:pPr>
              <w:widowControl w:val="0"/>
              <w:jc w:val="both"/>
              <w:rPr>
                <w:rFonts w:ascii="Times New Roman" w:eastAsia="Times New Roman" w:hAnsi="Times New Roman" w:cs="Times New Roman"/>
                <w:sz w:val="24"/>
                <w:szCs w:val="24"/>
              </w:rPr>
            </w:pPr>
            <w:r w:rsidRPr="005C53F5">
              <w:rPr>
                <w:rFonts w:ascii="Times New Roman" w:eastAsia="Times New Roman" w:hAnsi="Times New Roman" w:cs="Times New Roman"/>
                <w:sz w:val="24"/>
                <w:szCs w:val="24"/>
              </w:rPr>
              <w:t>Доходы государственного бюджета</w:t>
            </w:r>
          </w:p>
        </w:tc>
        <w:tc>
          <w:tcPr>
            <w:tcW w:w="2471" w:type="pct"/>
            <w:tcBorders>
              <w:top w:val="single" w:sz="4" w:space="0" w:color="auto"/>
              <w:left w:val="single" w:sz="4" w:space="0" w:color="auto"/>
              <w:bottom w:val="single" w:sz="4" w:space="0" w:color="auto"/>
              <w:right w:val="single" w:sz="4" w:space="0" w:color="auto"/>
            </w:tcBorders>
            <w:hideMark/>
          </w:tcPr>
          <w:p w14:paraId="13CC46F2" w14:textId="77777777" w:rsidR="007D69FB" w:rsidRPr="005C53F5" w:rsidRDefault="007D69FB" w:rsidP="00057BE5">
            <w:pPr>
              <w:widowControl w:val="0"/>
              <w:jc w:val="both"/>
              <w:rPr>
                <w:rFonts w:ascii="Times New Roman" w:eastAsia="Times New Roman" w:hAnsi="Times New Roman" w:cs="Times New Roman"/>
                <w:sz w:val="24"/>
                <w:szCs w:val="24"/>
              </w:rPr>
            </w:pPr>
            <w:r w:rsidRPr="005C53F5">
              <w:rPr>
                <w:rFonts w:ascii="Times New Roman" w:eastAsia="Times New Roman" w:hAnsi="Times New Roman" w:cs="Times New Roman"/>
                <w:sz w:val="24"/>
                <w:szCs w:val="24"/>
              </w:rPr>
              <w:t>Риск снижения доходов бюджета из-за шоков, связанных со снижением мировых цен на нефть</w:t>
            </w:r>
          </w:p>
        </w:tc>
        <w:tc>
          <w:tcPr>
            <w:tcW w:w="938" w:type="pct"/>
            <w:tcBorders>
              <w:top w:val="single" w:sz="4" w:space="0" w:color="auto"/>
              <w:left w:val="single" w:sz="4" w:space="0" w:color="auto"/>
              <w:bottom w:val="single" w:sz="4" w:space="0" w:color="auto"/>
              <w:right w:val="single" w:sz="4" w:space="0" w:color="auto"/>
            </w:tcBorders>
            <w:hideMark/>
          </w:tcPr>
          <w:p w14:paraId="1ECA77AD" w14:textId="77777777" w:rsidR="007D69FB" w:rsidRPr="005C53F5" w:rsidRDefault="007D69FB" w:rsidP="00057BE5">
            <w:pPr>
              <w:widowControl w:val="0"/>
              <w:jc w:val="both"/>
              <w:rPr>
                <w:rFonts w:ascii="Times New Roman" w:eastAsia="Times New Roman" w:hAnsi="Times New Roman" w:cs="Times New Roman"/>
                <w:sz w:val="24"/>
                <w:szCs w:val="24"/>
              </w:rPr>
            </w:pPr>
            <w:r w:rsidRPr="005C53F5">
              <w:rPr>
                <w:rFonts w:ascii="Times New Roman" w:eastAsia="Times New Roman" w:hAnsi="Times New Roman" w:cs="Times New Roman"/>
                <w:sz w:val="24"/>
                <w:szCs w:val="24"/>
              </w:rPr>
              <w:t>Средняя</w:t>
            </w:r>
          </w:p>
        </w:tc>
      </w:tr>
      <w:tr w:rsidR="007D69FB" w:rsidRPr="005C53F5" w14:paraId="50A107D4" w14:textId="77777777" w:rsidTr="007D69FB">
        <w:tc>
          <w:tcPr>
            <w:tcW w:w="1590" w:type="pct"/>
            <w:tcBorders>
              <w:top w:val="single" w:sz="4" w:space="0" w:color="auto"/>
              <w:left w:val="single" w:sz="4" w:space="0" w:color="auto"/>
              <w:bottom w:val="single" w:sz="4" w:space="0" w:color="auto"/>
              <w:right w:val="single" w:sz="4" w:space="0" w:color="auto"/>
            </w:tcBorders>
            <w:hideMark/>
          </w:tcPr>
          <w:p w14:paraId="2451E9B7" w14:textId="77777777" w:rsidR="007D69FB" w:rsidRPr="005C53F5" w:rsidRDefault="007D69FB" w:rsidP="00057BE5">
            <w:pPr>
              <w:widowControl w:val="0"/>
              <w:jc w:val="both"/>
              <w:rPr>
                <w:rFonts w:ascii="Times New Roman" w:eastAsia="Times New Roman" w:hAnsi="Times New Roman" w:cs="Times New Roman"/>
                <w:sz w:val="24"/>
                <w:szCs w:val="24"/>
              </w:rPr>
            </w:pPr>
            <w:r w:rsidRPr="005C53F5">
              <w:rPr>
                <w:rFonts w:ascii="Times New Roman" w:eastAsia="Times New Roman" w:hAnsi="Times New Roman" w:cs="Times New Roman"/>
                <w:sz w:val="24"/>
                <w:szCs w:val="24"/>
              </w:rPr>
              <w:t>Государственный долг</w:t>
            </w:r>
          </w:p>
        </w:tc>
        <w:tc>
          <w:tcPr>
            <w:tcW w:w="2471" w:type="pct"/>
            <w:tcBorders>
              <w:top w:val="single" w:sz="4" w:space="0" w:color="auto"/>
              <w:left w:val="single" w:sz="4" w:space="0" w:color="auto"/>
              <w:bottom w:val="single" w:sz="4" w:space="0" w:color="auto"/>
              <w:right w:val="single" w:sz="4" w:space="0" w:color="auto"/>
            </w:tcBorders>
            <w:hideMark/>
          </w:tcPr>
          <w:p w14:paraId="757FC806" w14:textId="77777777" w:rsidR="007D69FB" w:rsidRPr="005C53F5" w:rsidRDefault="007D69FB" w:rsidP="00057BE5">
            <w:pPr>
              <w:widowControl w:val="0"/>
              <w:jc w:val="both"/>
              <w:rPr>
                <w:rFonts w:ascii="Times New Roman" w:eastAsia="Times New Roman" w:hAnsi="Times New Roman" w:cs="Times New Roman"/>
                <w:sz w:val="24"/>
                <w:szCs w:val="24"/>
              </w:rPr>
            </w:pPr>
            <w:r w:rsidRPr="005C53F5">
              <w:rPr>
                <w:rFonts w:ascii="Times New Roman" w:eastAsia="Times New Roman" w:hAnsi="Times New Roman" w:cs="Times New Roman"/>
                <w:sz w:val="24"/>
                <w:szCs w:val="24"/>
              </w:rPr>
              <w:t>Ухудшение способности страны обслуживать внешний долг</w:t>
            </w:r>
          </w:p>
        </w:tc>
        <w:tc>
          <w:tcPr>
            <w:tcW w:w="938" w:type="pct"/>
            <w:tcBorders>
              <w:top w:val="single" w:sz="4" w:space="0" w:color="auto"/>
              <w:left w:val="single" w:sz="4" w:space="0" w:color="auto"/>
              <w:bottom w:val="single" w:sz="4" w:space="0" w:color="auto"/>
              <w:right w:val="single" w:sz="4" w:space="0" w:color="auto"/>
            </w:tcBorders>
            <w:hideMark/>
          </w:tcPr>
          <w:p w14:paraId="42299760" w14:textId="77777777" w:rsidR="007D69FB" w:rsidRPr="005C53F5" w:rsidRDefault="007D69FB" w:rsidP="00057BE5">
            <w:pPr>
              <w:widowControl w:val="0"/>
              <w:jc w:val="both"/>
              <w:rPr>
                <w:rFonts w:ascii="Times New Roman" w:eastAsia="Times New Roman" w:hAnsi="Times New Roman" w:cs="Times New Roman"/>
                <w:sz w:val="24"/>
                <w:szCs w:val="24"/>
              </w:rPr>
            </w:pPr>
            <w:r w:rsidRPr="005C53F5">
              <w:rPr>
                <w:rFonts w:ascii="Times New Roman" w:eastAsia="Times New Roman" w:hAnsi="Times New Roman" w:cs="Times New Roman"/>
                <w:sz w:val="24"/>
                <w:szCs w:val="24"/>
              </w:rPr>
              <w:t>Средняя</w:t>
            </w:r>
          </w:p>
        </w:tc>
      </w:tr>
      <w:tr w:rsidR="007D69FB" w:rsidRPr="005C53F5" w14:paraId="4190F1E0" w14:textId="77777777" w:rsidTr="007D69FB">
        <w:tc>
          <w:tcPr>
            <w:tcW w:w="1590" w:type="pct"/>
            <w:tcBorders>
              <w:top w:val="single" w:sz="4" w:space="0" w:color="auto"/>
              <w:left w:val="single" w:sz="4" w:space="0" w:color="auto"/>
              <w:bottom w:val="single" w:sz="4" w:space="0" w:color="auto"/>
              <w:right w:val="single" w:sz="4" w:space="0" w:color="auto"/>
            </w:tcBorders>
            <w:hideMark/>
          </w:tcPr>
          <w:p w14:paraId="4CB63492" w14:textId="77777777" w:rsidR="007D69FB" w:rsidRPr="005C53F5" w:rsidRDefault="007D69FB" w:rsidP="00057BE5">
            <w:pPr>
              <w:widowControl w:val="0"/>
              <w:jc w:val="both"/>
              <w:rPr>
                <w:rFonts w:ascii="Times New Roman" w:eastAsia="Times New Roman" w:hAnsi="Times New Roman" w:cs="Times New Roman"/>
                <w:sz w:val="24"/>
                <w:szCs w:val="24"/>
              </w:rPr>
            </w:pPr>
            <w:r w:rsidRPr="005C53F5">
              <w:rPr>
                <w:rFonts w:ascii="Times New Roman" w:eastAsia="Times New Roman" w:hAnsi="Times New Roman" w:cs="Times New Roman"/>
                <w:sz w:val="24"/>
                <w:szCs w:val="24"/>
              </w:rPr>
              <w:t>Инфляция</w:t>
            </w:r>
          </w:p>
        </w:tc>
        <w:tc>
          <w:tcPr>
            <w:tcW w:w="2471" w:type="pct"/>
            <w:tcBorders>
              <w:top w:val="single" w:sz="4" w:space="0" w:color="auto"/>
              <w:left w:val="single" w:sz="4" w:space="0" w:color="auto"/>
              <w:bottom w:val="single" w:sz="4" w:space="0" w:color="auto"/>
              <w:right w:val="single" w:sz="4" w:space="0" w:color="auto"/>
            </w:tcBorders>
            <w:hideMark/>
          </w:tcPr>
          <w:p w14:paraId="050B95BE" w14:textId="77777777" w:rsidR="007D69FB" w:rsidRPr="005C53F5" w:rsidRDefault="007D69FB" w:rsidP="00057BE5">
            <w:pPr>
              <w:widowControl w:val="0"/>
              <w:jc w:val="both"/>
              <w:rPr>
                <w:rFonts w:ascii="Times New Roman" w:eastAsia="Times New Roman" w:hAnsi="Times New Roman" w:cs="Times New Roman"/>
                <w:sz w:val="24"/>
                <w:szCs w:val="24"/>
              </w:rPr>
            </w:pPr>
            <w:r w:rsidRPr="005C53F5">
              <w:rPr>
                <w:rFonts w:ascii="Times New Roman" w:eastAsia="Times New Roman" w:hAnsi="Times New Roman" w:cs="Times New Roman"/>
                <w:sz w:val="24"/>
                <w:szCs w:val="24"/>
              </w:rPr>
              <w:t>Риск роста инфляции при экономических шоках, связанных с высокой волатильностью цен на сырье</w:t>
            </w:r>
          </w:p>
        </w:tc>
        <w:tc>
          <w:tcPr>
            <w:tcW w:w="938" w:type="pct"/>
            <w:tcBorders>
              <w:top w:val="single" w:sz="4" w:space="0" w:color="auto"/>
              <w:left w:val="single" w:sz="4" w:space="0" w:color="auto"/>
              <w:bottom w:val="single" w:sz="4" w:space="0" w:color="auto"/>
              <w:right w:val="single" w:sz="4" w:space="0" w:color="auto"/>
            </w:tcBorders>
            <w:hideMark/>
          </w:tcPr>
          <w:p w14:paraId="287C3F31" w14:textId="77777777" w:rsidR="007D69FB" w:rsidRPr="005C53F5" w:rsidRDefault="007D69FB" w:rsidP="00057BE5">
            <w:pPr>
              <w:widowControl w:val="0"/>
              <w:jc w:val="both"/>
              <w:rPr>
                <w:rFonts w:ascii="Times New Roman" w:eastAsia="Times New Roman" w:hAnsi="Times New Roman" w:cs="Times New Roman"/>
                <w:sz w:val="24"/>
                <w:szCs w:val="24"/>
              </w:rPr>
            </w:pPr>
            <w:r w:rsidRPr="005C53F5">
              <w:rPr>
                <w:rFonts w:ascii="Times New Roman" w:eastAsia="Times New Roman" w:hAnsi="Times New Roman" w:cs="Times New Roman"/>
                <w:sz w:val="24"/>
                <w:szCs w:val="24"/>
              </w:rPr>
              <w:t>Средняя</w:t>
            </w:r>
          </w:p>
        </w:tc>
      </w:tr>
    </w:tbl>
    <w:p w14:paraId="42C73635" w14:textId="7E5B65F9" w:rsidR="00BF5F06" w:rsidRPr="005C53F5" w:rsidRDefault="00BF5F06" w:rsidP="00057BE5">
      <w:pPr>
        <w:pStyle w:val="ConsPlusNormal"/>
        <w:ind w:firstLine="709"/>
        <w:jc w:val="both"/>
        <w:outlineLvl w:val="2"/>
        <w:rPr>
          <w:rFonts w:ascii="Times New Roman" w:hAnsi="Times New Roman" w:cs="Times New Roman"/>
          <w:b/>
          <w:sz w:val="24"/>
          <w:szCs w:val="24"/>
        </w:rPr>
      </w:pPr>
      <w:r w:rsidRPr="005C53F5">
        <w:rPr>
          <w:rFonts w:ascii="Times New Roman" w:hAnsi="Times New Roman" w:cs="Times New Roman"/>
          <w:b/>
          <w:sz w:val="24"/>
          <w:szCs w:val="24"/>
        </w:rPr>
        <w:t>2.5.4. Правовые риски</w:t>
      </w:r>
      <w:bookmarkEnd w:id="140"/>
      <w:bookmarkEnd w:id="141"/>
    </w:p>
    <w:p w14:paraId="300054C5" w14:textId="27C50412" w:rsidR="003A1D6B" w:rsidRPr="005C53F5" w:rsidRDefault="000E6D59"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42" w:name="_Toc521609141"/>
      <w:bookmarkStart w:id="143" w:name="_Toc533784894"/>
      <w:bookmarkStart w:id="144" w:name="_Toc521609142"/>
      <w:bookmarkStart w:id="145" w:name="_Toc533784895"/>
      <w:r w:rsidRPr="005C53F5">
        <w:rPr>
          <w:rFonts w:ascii="Times New Roman" w:eastAsia="Times New Roman" w:hAnsi="Times New Roman" w:cs="Times New Roman"/>
          <w:sz w:val="24"/>
          <w:szCs w:val="24"/>
          <w:lang w:eastAsia="ru-RU"/>
        </w:rPr>
        <w:t>По мнению Эмитента, в обозримой перспективе правовые риски, в том числе риски, связанные с изменением валютного регулирования, налогового законодательства, правил таможенного контроля и пошлин, требований по лицензированию, судебной практики по вопросам, связанным с деятельностью Эмитента (в том числе по вопросам лицензирования), которая может негативно сказаться на результатах его деятельности, а также на результатах текущих судебных процессов, в которых участвует Эмитент, не являются значительными.</w:t>
      </w:r>
      <w:bookmarkEnd w:id="142"/>
      <w:bookmarkEnd w:id="143"/>
    </w:p>
    <w:p w14:paraId="3418D21E" w14:textId="6B016804" w:rsidR="002E6296" w:rsidRPr="005C53F5" w:rsidRDefault="002E6296"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Риски, связанные с изменением валютного регулирования:</w:t>
      </w:r>
      <w:bookmarkEnd w:id="144"/>
      <w:bookmarkEnd w:id="145"/>
    </w:p>
    <w:p w14:paraId="73CA6689" w14:textId="77777777" w:rsidR="000E6D59" w:rsidRPr="005C53F5" w:rsidRDefault="000E6D59" w:rsidP="00057BE5">
      <w:pPr>
        <w:keepNext/>
        <w:spacing w:after="0" w:line="240" w:lineRule="auto"/>
        <w:ind w:firstLine="709"/>
        <w:jc w:val="both"/>
        <w:rPr>
          <w:rFonts w:ascii="Times New Roman" w:eastAsia="Calibri" w:hAnsi="Times New Roman" w:cs="Times New Roman"/>
          <w:i/>
          <w:sz w:val="24"/>
          <w:szCs w:val="24"/>
          <w:lang w:eastAsia="x-none"/>
        </w:rPr>
      </w:pPr>
      <w:bookmarkStart w:id="146" w:name="_Toc521609158"/>
      <w:bookmarkStart w:id="147" w:name="_Toc533784906"/>
      <w:r w:rsidRPr="005C53F5">
        <w:rPr>
          <w:rFonts w:ascii="Times New Roman" w:eastAsia="Calibri" w:hAnsi="Times New Roman" w:cs="Times New Roman"/>
          <w:i/>
          <w:sz w:val="24"/>
          <w:szCs w:val="24"/>
          <w:lang w:eastAsia="x-none"/>
        </w:rPr>
        <w:t xml:space="preserve">Закон Республики Казахстан о валютном регулировании и валютном контроле позволяет Правительству вводить меры валютного контроля </w:t>
      </w:r>
    </w:p>
    <w:p w14:paraId="36CC9825" w14:textId="1CAA3794" w:rsidR="000E6D59" w:rsidRPr="005C53F5" w:rsidRDefault="000E6D59" w:rsidP="00057BE5">
      <w:pPr>
        <w:keepNext/>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Закон Республики Казахстан </w:t>
      </w:r>
      <w:r w:rsidR="00924170" w:rsidRPr="005C53F5">
        <w:rPr>
          <w:rFonts w:ascii="Times New Roman" w:eastAsia="Calibri" w:hAnsi="Times New Roman" w:cs="Times New Roman"/>
          <w:sz w:val="24"/>
          <w:szCs w:val="24"/>
          <w:lang w:eastAsia="x-none"/>
        </w:rPr>
        <w:t xml:space="preserve">от 2 июля 2018 года № 167-VІ ЗРК </w:t>
      </w:r>
      <w:r w:rsidRPr="005C53F5">
        <w:rPr>
          <w:rFonts w:ascii="Times New Roman" w:eastAsia="Calibri" w:hAnsi="Times New Roman" w:cs="Times New Roman"/>
          <w:sz w:val="24"/>
          <w:szCs w:val="24"/>
          <w:lang w:eastAsia="x-none"/>
        </w:rPr>
        <w:t>«О валютном регулировании и валютном контроле» («</w:t>
      </w:r>
      <w:r w:rsidRPr="005C53F5">
        <w:rPr>
          <w:rFonts w:ascii="Times New Roman" w:eastAsia="Calibri" w:hAnsi="Times New Roman" w:cs="Times New Roman"/>
          <w:b/>
          <w:sz w:val="24"/>
          <w:szCs w:val="24"/>
          <w:lang w:eastAsia="x-none"/>
        </w:rPr>
        <w:t>Закон о валютном контроле</w:t>
      </w:r>
      <w:r w:rsidRPr="005C53F5">
        <w:rPr>
          <w:rFonts w:ascii="Times New Roman" w:eastAsia="Calibri" w:hAnsi="Times New Roman" w:cs="Times New Roman"/>
          <w:sz w:val="24"/>
          <w:szCs w:val="24"/>
          <w:lang w:eastAsia="x-none"/>
        </w:rPr>
        <w:t xml:space="preserve">») предусматривает, что платежи и денежные переводы между резидентами могут осуществляться только в тенге (за исключением некоторых предусмотренных Законом о валютном контроле исключений), при этом отсутствуют ограничения на платежи и денежные переводы между резидентами и нерезидентами. Нерезиденты могут без ограничения получать и передавать дивиденды, проценты и иные доходы, полученные по депозитам, ценным бумагам, кредитам и иным валютным операциям с резидентами, в порядке, установленном валютным законодательством. </w:t>
      </w:r>
    </w:p>
    <w:p w14:paraId="61F59F60" w14:textId="411DEDE2" w:rsidR="000E6D59" w:rsidRPr="005C53F5" w:rsidRDefault="000E6D59" w:rsidP="00057BE5">
      <w:pPr>
        <w:keepNext/>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НБК устанавливает пороговые значения и условия, при которых определенные валютные контракты подпадают под </w:t>
      </w:r>
      <w:r w:rsidR="003F5CEB" w:rsidRPr="005C53F5">
        <w:rPr>
          <w:rFonts w:ascii="Times New Roman" w:eastAsia="Calibri" w:hAnsi="Times New Roman" w:cs="Times New Roman"/>
          <w:sz w:val="24"/>
          <w:szCs w:val="24"/>
          <w:lang w:eastAsia="x-none"/>
        </w:rPr>
        <w:t xml:space="preserve">учетную регистрацию. Учетная регистрация валютного договора по движению капитала предусматривает присвоение этому договору учетного номера и последующее представление резидентом-участником валютного договора в </w:t>
      </w:r>
      <w:r w:rsidR="00D47B8F" w:rsidRPr="005C53F5">
        <w:rPr>
          <w:rFonts w:ascii="Times New Roman" w:eastAsia="Calibri" w:hAnsi="Times New Roman" w:cs="Times New Roman"/>
          <w:sz w:val="24"/>
          <w:szCs w:val="24"/>
          <w:lang w:eastAsia="x-none"/>
        </w:rPr>
        <w:t>НБК</w:t>
      </w:r>
      <w:r w:rsidR="003F5CEB" w:rsidRPr="005C53F5">
        <w:rPr>
          <w:rFonts w:ascii="Times New Roman" w:eastAsia="Calibri" w:hAnsi="Times New Roman" w:cs="Times New Roman"/>
          <w:sz w:val="24"/>
          <w:szCs w:val="24"/>
          <w:lang w:eastAsia="x-none"/>
        </w:rPr>
        <w:t xml:space="preserve"> сведений и отчетов по нему.</w:t>
      </w:r>
    </w:p>
    <w:p w14:paraId="59B3F5A7" w14:textId="77777777" w:rsidR="003F5CEB" w:rsidRPr="005C53F5" w:rsidRDefault="003F5CEB" w:rsidP="00057BE5">
      <w:pPr>
        <w:keepNext/>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Требования учетной регистрации распространяются на валютные договоры по движению капитала, участниками которых являются резиденты (за исключением уполномоченных банков и филиалов (представительств) иностранных организаций).</w:t>
      </w:r>
    </w:p>
    <w:p w14:paraId="3C606949" w14:textId="486DB92B" w:rsidR="003F5CEB" w:rsidRPr="005C53F5" w:rsidRDefault="003F5CEB" w:rsidP="00057BE5">
      <w:pPr>
        <w:keepNext/>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Закон о валютном контроле наделяет Правительство Казахстана специальными </w:t>
      </w:r>
      <w:r w:rsidR="00D47B8F" w:rsidRPr="005C53F5">
        <w:rPr>
          <w:rFonts w:ascii="Times New Roman" w:eastAsia="Calibri" w:hAnsi="Times New Roman" w:cs="Times New Roman"/>
          <w:sz w:val="24"/>
          <w:szCs w:val="24"/>
          <w:lang w:eastAsia="x-none"/>
        </w:rPr>
        <w:t xml:space="preserve">полномочиями </w:t>
      </w:r>
      <w:r w:rsidRPr="005C53F5">
        <w:rPr>
          <w:rFonts w:ascii="Times New Roman" w:eastAsia="Calibri" w:hAnsi="Times New Roman" w:cs="Times New Roman"/>
          <w:sz w:val="24"/>
          <w:szCs w:val="24"/>
          <w:lang w:eastAsia="x-none"/>
        </w:rPr>
        <w:t xml:space="preserve">и в условиях, когда экономическая стабильность Республики Казахстан находится под угрозой, Правительство Казахстана на основе совместного представления </w:t>
      </w:r>
      <w:r w:rsidR="00D47B8F" w:rsidRPr="005C53F5">
        <w:rPr>
          <w:rFonts w:ascii="Times New Roman" w:eastAsia="Calibri" w:hAnsi="Times New Roman" w:cs="Times New Roman"/>
          <w:sz w:val="24"/>
          <w:szCs w:val="24"/>
          <w:lang w:eastAsia="x-none"/>
        </w:rPr>
        <w:t>НБК</w:t>
      </w:r>
      <w:r w:rsidRPr="005C53F5">
        <w:rPr>
          <w:rFonts w:ascii="Times New Roman" w:eastAsia="Calibri" w:hAnsi="Times New Roman" w:cs="Times New Roman"/>
          <w:sz w:val="24"/>
          <w:szCs w:val="24"/>
          <w:lang w:eastAsia="x-none"/>
        </w:rPr>
        <w:t xml:space="preserve"> и соответствующих уполномоченных органов может ввести специальный валютный режим.</w:t>
      </w:r>
    </w:p>
    <w:p w14:paraId="6536C757" w14:textId="77777777" w:rsidR="000E6D59" w:rsidRPr="005C53F5" w:rsidRDefault="000E6D59" w:rsidP="00057BE5">
      <w:pPr>
        <w:keepNext/>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В 1994 году Республика Казахстан первоначально согласовала программу экономической стабилизации с Международным валютным фондом («</w:t>
      </w:r>
      <w:r w:rsidRPr="005C53F5">
        <w:rPr>
          <w:rFonts w:ascii="Times New Roman" w:eastAsia="Calibri" w:hAnsi="Times New Roman" w:cs="Times New Roman"/>
          <w:b/>
          <w:sz w:val="24"/>
          <w:szCs w:val="24"/>
          <w:lang w:eastAsia="x-none"/>
        </w:rPr>
        <w:t>МВФ</w:t>
      </w:r>
      <w:r w:rsidRPr="005C53F5">
        <w:rPr>
          <w:rFonts w:ascii="Times New Roman" w:eastAsia="Calibri" w:hAnsi="Times New Roman" w:cs="Times New Roman"/>
          <w:sz w:val="24"/>
          <w:szCs w:val="24"/>
          <w:lang w:eastAsia="x-none"/>
        </w:rPr>
        <w:t>») при поддержке однолетнего резервного соглашения, подписанного в январе 1994 года.</w:t>
      </w:r>
      <w:r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lang w:eastAsia="x-none"/>
        </w:rPr>
        <w:t>В настоящее время Республика Казахстан не имеет непогашенных заимствований у МВФ. В марте 2003 года Республика Казахстан стала 53-м подписчиком Специального стандарта распространения данных МВФ.</w:t>
      </w:r>
    </w:p>
    <w:p w14:paraId="502A3D97" w14:textId="03ED542F" w:rsidR="003A1D6B" w:rsidRPr="005C53F5" w:rsidRDefault="000E6D59" w:rsidP="00057BE5">
      <w:pPr>
        <w:pStyle w:val="ConsPlusNormal"/>
        <w:ind w:firstLine="709"/>
        <w:jc w:val="both"/>
        <w:rPr>
          <w:rFonts w:ascii="Times New Roman" w:hAnsi="Times New Roman" w:cs="Times New Roman"/>
          <w:sz w:val="24"/>
          <w:szCs w:val="22"/>
        </w:rPr>
      </w:pPr>
      <w:r w:rsidRPr="005C53F5">
        <w:rPr>
          <w:rFonts w:ascii="Times New Roman" w:eastAsia="Calibri" w:hAnsi="Times New Roman" w:cs="Times New Roman"/>
          <w:sz w:val="24"/>
          <w:szCs w:val="24"/>
          <w:lang w:eastAsia="x-none"/>
        </w:rPr>
        <w:t xml:space="preserve">Для того, чтобы Республика Казахстан продолжала выполнять свои членские обязательства по уставу МВФ, валютный режим не может ограничивать резидентов от погашения обязательств, выраженных в иностранной валюте. </w:t>
      </w:r>
      <w:r w:rsidRPr="005C53F5">
        <w:rPr>
          <w:rFonts w:ascii="Times New Roman" w:eastAsiaTheme="minorHAnsi" w:hAnsi="Times New Roman" w:cs="Times New Roman"/>
          <w:sz w:val="24"/>
          <w:szCs w:val="24"/>
          <w:lang w:eastAsia="en-US"/>
        </w:rPr>
        <w:t xml:space="preserve">На дату утверждения Проспекта ценных бумаг Правительство Казахстана не вводило специальный валютный режим. </w:t>
      </w:r>
    </w:p>
    <w:p w14:paraId="06FE33E9" w14:textId="26F2EAE6" w:rsidR="00623280" w:rsidRPr="005C53F5" w:rsidRDefault="002E6296"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Риски, связанные с изменением налогового законодательства:</w:t>
      </w:r>
      <w:bookmarkEnd w:id="146"/>
      <w:bookmarkEnd w:id="147"/>
    </w:p>
    <w:p w14:paraId="3D343FC5" w14:textId="43243BBF" w:rsidR="000E6D59" w:rsidRPr="005C53F5" w:rsidRDefault="000E6D59"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Несмотря на то что с начала 1995 года в Республике Казахстан было принято значительное количество нормативных актов (включая новые налоговые кодексы, принятые в январе 2002 года, январе 2009 года и декабре 2017 года, а также новые законы или поправки относительно международного арбитража и иностранных инвестиций, дополнительного регулирования банковского сектора, иные законодательные акты, охватывающие вопросы регулирования фондовой биржи, товариществ и компаний, а также включая реформу государственных предприятий и приватизацию в течение всего указанного периода), правовая база в Республике Казахстан (хотя и является одной из наиболее развитых среди стран бывшего Советского Союза) все еще находится в стадии развития по сравнению со странами с установившейся рыночной экономикой.</w:t>
      </w:r>
    </w:p>
    <w:p w14:paraId="7702F2F0" w14:textId="5E17DDF7" w:rsidR="007E2EEF" w:rsidRPr="005C53F5" w:rsidRDefault="000E6D59"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Судебная система, судебные должностные лица и другие государственные служащие в Республике Казахстан не могут быть полностью независимы от внешних социальных, экономических и политических </w:t>
      </w:r>
      <w:r w:rsidR="00D219E4" w:rsidRPr="005C53F5">
        <w:rPr>
          <w:rFonts w:ascii="Times New Roman" w:eastAsia="Calibri" w:hAnsi="Times New Roman" w:cs="Times New Roman"/>
          <w:sz w:val="24"/>
          <w:szCs w:val="24"/>
          <w:lang w:eastAsia="x-none"/>
        </w:rPr>
        <w:t>факторов</w:t>
      </w:r>
      <w:r w:rsidRPr="005C53F5">
        <w:rPr>
          <w:rFonts w:ascii="Times New Roman" w:eastAsia="Calibri" w:hAnsi="Times New Roman" w:cs="Times New Roman"/>
          <w:sz w:val="24"/>
          <w:szCs w:val="24"/>
          <w:lang w:eastAsia="x-none"/>
        </w:rPr>
        <w:t xml:space="preserve">. </w:t>
      </w:r>
      <w:r w:rsidR="00CE425C" w:rsidRPr="005C53F5">
        <w:rPr>
          <w:rFonts w:ascii="Times New Roman" w:eastAsia="Calibri" w:hAnsi="Times New Roman" w:cs="Times New Roman"/>
          <w:sz w:val="24"/>
          <w:szCs w:val="24"/>
          <w:lang w:eastAsia="x-none"/>
        </w:rPr>
        <w:t xml:space="preserve">С учетом относительной непродолжительности истории законодательства Республики Казахстан, которое время от времени подвергается реформированию и находится в процессе развития, ему присуща некоторая неопределенность по отдельным правовым вопросам по сравнению с юрисдикциями с более развитой правовой системой. Неопределенность законодательства может порождать непредсказуемую правоприменительную практику, поскольку правовые нормы, которые допускают множественное толкование, могут применяться </w:t>
      </w:r>
      <w:r w:rsidR="00D219E4" w:rsidRPr="005C53F5">
        <w:rPr>
          <w:rFonts w:ascii="Times New Roman" w:eastAsia="Calibri" w:hAnsi="Times New Roman" w:cs="Times New Roman"/>
          <w:sz w:val="24"/>
          <w:szCs w:val="24"/>
          <w:lang w:eastAsia="x-none"/>
        </w:rPr>
        <w:t>соответствующими судебными и иными государственными органами в зависимости от их усмотрения</w:t>
      </w:r>
      <w:r w:rsidRPr="005C53F5">
        <w:rPr>
          <w:rFonts w:ascii="Times New Roman" w:eastAsia="Calibri" w:hAnsi="Times New Roman" w:cs="Times New Roman"/>
          <w:sz w:val="24"/>
          <w:szCs w:val="24"/>
          <w:lang w:eastAsia="x-none"/>
        </w:rPr>
        <w:t xml:space="preserve">. </w:t>
      </w:r>
    </w:p>
    <w:p w14:paraId="187F3452" w14:textId="0EFC101D" w:rsidR="000E6D59" w:rsidRPr="005C53F5" w:rsidRDefault="000E6D59"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Правовая система Казахстана базируется на континентальной (романо-германской) системе права, и поэтому в Казахстане судебные прецеденты не имеют обязательной силы для принятия последующих решений.</w:t>
      </w:r>
    </w:p>
    <w:p w14:paraId="6306F9C4" w14:textId="4993CB6E" w:rsidR="000E6D59" w:rsidRPr="005C53F5" w:rsidRDefault="000E6D59"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Кроме того, органы власти, включая налоговые органы, могут выносить </w:t>
      </w:r>
      <w:r w:rsidR="00D219E4" w:rsidRPr="005C53F5">
        <w:rPr>
          <w:rFonts w:ascii="Times New Roman" w:eastAsia="Calibri" w:hAnsi="Times New Roman" w:cs="Times New Roman"/>
          <w:sz w:val="24"/>
          <w:szCs w:val="24"/>
          <w:lang w:eastAsia="x-none"/>
        </w:rPr>
        <w:t>решения, основанные на их собственном толковании правовых норм, которое может не совпадать с замыслом законодателя, периодически изменяться и, как следствие, быть непоследовательным</w:t>
      </w:r>
      <w:r w:rsidRPr="005C53F5">
        <w:rPr>
          <w:rFonts w:ascii="Times New Roman" w:eastAsia="Calibri" w:hAnsi="Times New Roman" w:cs="Times New Roman"/>
          <w:sz w:val="24"/>
          <w:szCs w:val="24"/>
          <w:lang w:eastAsia="x-none"/>
        </w:rPr>
        <w:t xml:space="preserve">, а также </w:t>
      </w:r>
      <w:r w:rsidR="00D219E4" w:rsidRPr="005C53F5">
        <w:rPr>
          <w:rFonts w:ascii="Times New Roman" w:eastAsia="Calibri" w:hAnsi="Times New Roman" w:cs="Times New Roman"/>
          <w:sz w:val="24"/>
          <w:szCs w:val="24"/>
          <w:lang w:eastAsia="x-none"/>
        </w:rPr>
        <w:t xml:space="preserve">могут </w:t>
      </w:r>
      <w:r w:rsidRPr="005C53F5">
        <w:rPr>
          <w:rFonts w:ascii="Times New Roman" w:eastAsia="Calibri" w:hAnsi="Times New Roman" w:cs="Times New Roman"/>
          <w:sz w:val="24"/>
          <w:szCs w:val="24"/>
          <w:lang w:eastAsia="x-none"/>
        </w:rPr>
        <w:t>оспаривать предыдущие решения и расчеты сумм налогов, тем самым затрудняя компаниям установление того, несут ли они обязанность по уплате доначисленных налогов, штрафов и процентов. В результате этих неопределенностей, включая, в частности, неопределенность вокруг судебных решений, вынесенных на основании положений предыдущего Налогового кодекса, введенного в действие с 1 января 2009 года и теперь замененного с 1 января 2018 года новым Налоговым кодексом, а также отсутствие устоявшейся системы прецедентов или последовательности в правовом толковании, правовые и налоговые риски, связанные с ведением бизнеса в Республике Казахстан, являются более значительными, чем в юрисдикциях с более развитой правовой и налоговой системой.</w:t>
      </w:r>
    </w:p>
    <w:p w14:paraId="018EE1E9" w14:textId="5774AFA0" w:rsidR="002E6296" w:rsidRPr="005C53F5" w:rsidRDefault="000E6D59" w:rsidP="00057BE5">
      <w:pPr>
        <w:pStyle w:val="ConsPlusNormal"/>
        <w:ind w:firstLine="709"/>
        <w:jc w:val="both"/>
        <w:rPr>
          <w:rFonts w:ascii="Times New Roman" w:hAnsi="Times New Roman" w:cs="Times New Roman"/>
          <w:sz w:val="24"/>
          <w:szCs w:val="24"/>
        </w:rPr>
      </w:pPr>
      <w:r w:rsidRPr="005C53F5">
        <w:rPr>
          <w:rFonts w:ascii="Times New Roman" w:eastAsia="Calibri" w:hAnsi="Times New Roman" w:cs="Times New Roman"/>
          <w:sz w:val="24"/>
          <w:szCs w:val="24"/>
          <w:lang w:eastAsia="x-none"/>
        </w:rPr>
        <w:t>Налоговая система Республики Казахстан все еще находится на переходном этапе, и ожидается, что налоговое законодательство в Республике Казахстан будет продолжать развиваться. С 1 января 2018 года новый Налоговый кодекс (в целом) вступил в силу. Он содержит ряд новшеств, таких как понятие презумпции невиновности, в соответствии с котор</w:t>
      </w:r>
      <w:r w:rsidR="00B062FD" w:rsidRPr="005C53F5">
        <w:rPr>
          <w:rFonts w:ascii="Times New Roman" w:eastAsia="Calibri" w:hAnsi="Times New Roman" w:cs="Times New Roman"/>
          <w:sz w:val="24"/>
          <w:szCs w:val="24"/>
          <w:lang w:eastAsia="x-none"/>
        </w:rPr>
        <w:t>ой</w:t>
      </w:r>
      <w:r w:rsidRPr="005C53F5">
        <w:rPr>
          <w:rFonts w:ascii="Times New Roman" w:eastAsia="Calibri" w:hAnsi="Times New Roman" w:cs="Times New Roman"/>
          <w:sz w:val="24"/>
          <w:szCs w:val="24"/>
          <w:lang w:eastAsia="x-none"/>
        </w:rPr>
        <w:t xml:space="preserve"> любые неясности, возникающие при применении закона в процессе налоговой проверки, должны толковаться в пользу налогоплательщика. Новый Налоговый кодекс</w:t>
      </w:r>
      <w:r w:rsidR="00924170" w:rsidRPr="005C53F5">
        <w:rPr>
          <w:rFonts w:ascii="Times New Roman" w:eastAsia="Calibri" w:hAnsi="Times New Roman" w:cs="Times New Roman"/>
          <w:sz w:val="24"/>
          <w:szCs w:val="24"/>
          <w:lang w:eastAsia="x-none"/>
        </w:rPr>
        <w:t xml:space="preserve"> Республики Казахстан</w:t>
      </w:r>
      <w:r w:rsidRPr="005C53F5">
        <w:rPr>
          <w:rFonts w:ascii="Times New Roman" w:eastAsia="Calibri" w:hAnsi="Times New Roman" w:cs="Times New Roman"/>
          <w:sz w:val="24"/>
          <w:szCs w:val="24"/>
          <w:lang w:eastAsia="x-none"/>
        </w:rPr>
        <w:t xml:space="preserve"> также предусматривает более высокую степень предсказуемости налогового регулирования, устанавливая, что все поправки к Налоговому кодексу в любом определенном году должны быть приняты не позднее 1 декабря данного года и вступить в силу не ранее 1 января следующего года. Кроме того, новый Налоговый кодекс изменил налоговую политику, отменив неэффективные налоги и налоговые льготы в соответствии с требованиями Всемирной торговой организации, снизив налоговую нагрузку на сектор финансовых услуг и стремясь улучшить налогообложение инвестиционных проектов в особых экономических зонах. Принятие нового Налогового кодекса также направлено на улучшение налогового администрирования, в том числе путем уменьшения срока исковой давности по налоговым претензиям.</w:t>
      </w:r>
    </w:p>
    <w:p w14:paraId="07D58AC4" w14:textId="77777777" w:rsidR="002A6A46" w:rsidRPr="005C53F5" w:rsidRDefault="002E6296" w:rsidP="00057BE5">
      <w:pPr>
        <w:pStyle w:val="ConsPlusNormal"/>
        <w:ind w:firstLine="709"/>
        <w:jc w:val="both"/>
        <w:rPr>
          <w:rFonts w:ascii="Times New Roman" w:hAnsi="Times New Roman" w:cs="Times New Roman"/>
          <w:b/>
          <w:i/>
          <w:sz w:val="24"/>
          <w:szCs w:val="24"/>
          <w:u w:val="single"/>
        </w:rPr>
      </w:pPr>
      <w:bookmarkStart w:id="148" w:name="_Toc521609167"/>
      <w:bookmarkStart w:id="149" w:name="_Toc533784915"/>
      <w:r w:rsidRPr="005C53F5">
        <w:rPr>
          <w:rFonts w:ascii="Times New Roman" w:hAnsi="Times New Roman" w:cs="Times New Roman"/>
          <w:b/>
          <w:i/>
          <w:sz w:val="24"/>
          <w:szCs w:val="24"/>
          <w:u w:val="single"/>
        </w:rPr>
        <w:t>Риски, связанные с изменением правил таможенного контроля и пошлин:</w:t>
      </w:r>
      <w:bookmarkEnd w:id="148"/>
      <w:bookmarkEnd w:id="149"/>
    </w:p>
    <w:p w14:paraId="263AFF06" w14:textId="77777777" w:rsidR="000E6D59" w:rsidRPr="005C53F5" w:rsidRDefault="000E6D59"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Экспорт является важным источником валютных поступлений для Республики Казахстан. В настоящее время в Казахстане действуют различные экспортные ограничения, такие как экспортные квоты, экспортные тарифы и добровольные экспортные ограничения.</w:t>
      </w:r>
    </w:p>
    <w:p w14:paraId="40565D06" w14:textId="77777777" w:rsidR="000E6D59" w:rsidRPr="005C53F5" w:rsidRDefault="000E6D59"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C53F5">
        <w:rPr>
          <w:rFonts w:ascii="Times New Roman" w:eastAsia="Times New Roman" w:hAnsi="Times New Roman" w:cs="Times New Roman"/>
          <w:sz w:val="24"/>
          <w:szCs w:val="24"/>
          <w:lang w:eastAsia="ru-RU"/>
        </w:rPr>
        <w:t xml:space="preserve">Республика Казахстан стремится поддерживать стабильные политические и экономические отношения со своими партнерами по экспорту и принимает меры, направленные на стимулирование экспортно-импортных операций. </w:t>
      </w:r>
    </w:p>
    <w:p w14:paraId="4C3B92D5" w14:textId="77777777" w:rsidR="000E6D59" w:rsidRPr="005C53F5" w:rsidRDefault="000E6D59"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В июле 2010 года вступил в силу Таможенный кодекс Таможенного союза в отношении Республики Беларусь, Республики Казахстана и Российской Федерации. А в ноябре 2011 года стороны заключили соглашения по созданию Единого экономического пространства («</w:t>
      </w:r>
      <w:r w:rsidRPr="005C53F5">
        <w:rPr>
          <w:rFonts w:ascii="Times New Roman" w:eastAsia="Calibri" w:hAnsi="Times New Roman" w:cs="Times New Roman"/>
          <w:b/>
          <w:sz w:val="24"/>
          <w:szCs w:val="24"/>
          <w:lang w:eastAsia="x-none"/>
        </w:rPr>
        <w:t>ЕЭП</w:t>
      </w:r>
      <w:r w:rsidRPr="005C53F5">
        <w:rPr>
          <w:rFonts w:ascii="Times New Roman" w:eastAsia="Calibri" w:hAnsi="Times New Roman" w:cs="Times New Roman"/>
          <w:sz w:val="24"/>
          <w:szCs w:val="24"/>
          <w:lang w:eastAsia="x-none"/>
        </w:rPr>
        <w:t>»). Соглашения предусматривают свободное перемещение товаров, услуг, капитала и рабочей силы и устанавливают общие принципы в отношении конкуренции, отраслевых субсидий и валютной политики. 1 января 2012 года ЕЭП вступило в силу после ратификации каждой из трех стран базового пакета из 20 соглашений. Таможенный союз предусматривает беспошлинную торговлю между государствами-членами и единый таможенный тариф, применимый к торговле государств-членов с другими странами.</w:t>
      </w:r>
    </w:p>
    <w:p w14:paraId="247CE58C" w14:textId="4EEBAC74" w:rsidR="000E6D59" w:rsidRPr="005C53F5" w:rsidRDefault="000E6D59"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29 мая 2014 года президенты Республики Казахстан, Республики Беларусь и Российской Федерации подписали Соглашение о Евразийском экономическом союзе («</w:t>
      </w:r>
      <w:r w:rsidRPr="005C53F5">
        <w:rPr>
          <w:rFonts w:ascii="Times New Roman" w:eastAsia="Calibri" w:hAnsi="Times New Roman" w:cs="Times New Roman"/>
          <w:b/>
          <w:sz w:val="24"/>
          <w:szCs w:val="24"/>
          <w:lang w:eastAsia="x-none"/>
        </w:rPr>
        <w:t>ЕАЭС</w:t>
      </w:r>
      <w:r w:rsidRPr="005C53F5">
        <w:rPr>
          <w:rFonts w:ascii="Times New Roman" w:eastAsia="Calibri" w:hAnsi="Times New Roman" w:cs="Times New Roman"/>
          <w:sz w:val="24"/>
          <w:szCs w:val="24"/>
          <w:lang w:eastAsia="x-none"/>
        </w:rPr>
        <w:t xml:space="preserve">»), а ЕАЭС был создан 1 января 2015 года. Большинство существующих соглашений о ЕЭП кодифицированы в Соглашении о </w:t>
      </w:r>
      <w:r w:rsidR="00B062FD" w:rsidRPr="005C53F5">
        <w:rPr>
          <w:rFonts w:ascii="Times New Roman" w:eastAsia="Calibri" w:hAnsi="Times New Roman" w:cs="Times New Roman"/>
          <w:sz w:val="24"/>
          <w:szCs w:val="24"/>
          <w:lang w:eastAsia="x-none"/>
        </w:rPr>
        <w:t>ЕАЭС</w:t>
      </w:r>
      <w:r w:rsidRPr="005C53F5">
        <w:rPr>
          <w:rFonts w:ascii="Times New Roman" w:eastAsia="Calibri" w:hAnsi="Times New Roman" w:cs="Times New Roman"/>
          <w:sz w:val="24"/>
          <w:szCs w:val="24"/>
          <w:lang w:eastAsia="x-none"/>
        </w:rPr>
        <w:t>. На основании этого соглашения с 1 января 2018 года вступил в силу новый Таможенный кодекс ЕАЭС. Новый кодекс упрощает некоторые процедуры таможенного оформления. Договор о вступлении Армении был подписан 10 октября 2014 года (вступил в силу 2 января 2015 года), а Кыргызстан подписал договор о вступлении 23 декабря 2014 года и ратифицировал его 20 мая 2015 года. Соглашение о вступлении Кыргызстана было ратифицировано более ранними членами ЕАЭС 12 декабря 2014 года.</w:t>
      </w:r>
    </w:p>
    <w:p w14:paraId="667F0279" w14:textId="3DE1483B" w:rsidR="000E6D59" w:rsidRPr="005C53F5" w:rsidRDefault="000E6D59"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C53F5">
        <w:rPr>
          <w:rFonts w:ascii="Times New Roman" w:eastAsia="Calibri" w:hAnsi="Times New Roman" w:cs="Times New Roman"/>
          <w:sz w:val="24"/>
          <w:szCs w:val="24"/>
          <w:lang w:eastAsia="x-none"/>
        </w:rPr>
        <w:t xml:space="preserve"> </w:t>
      </w:r>
      <w:bookmarkStart w:id="150" w:name="_Toc521609174"/>
      <w:bookmarkStart w:id="151" w:name="_Toc533784922"/>
      <w:r w:rsidRPr="005C53F5">
        <w:rPr>
          <w:rFonts w:ascii="Times New Roman" w:eastAsia="Times New Roman" w:hAnsi="Times New Roman" w:cs="Times New Roman"/>
          <w:sz w:val="24"/>
          <w:szCs w:val="24"/>
          <w:lang w:eastAsia="ru-RU"/>
        </w:rPr>
        <w:t>В настоящий момент Эмитент является членом ЕАЭС. В ЕАЭС осуществляется единое таможенное регулирование, включающее в себя установление порядка и условий перемещения товаров через таможенную границу ЕАЭС, их нахождения и использования на таможенной территории ЕАЭС или за ее пределами, порядка совершения таможенных операций, связанных с прибытием товаров на таможенную территорию ЕАЭС, их убытием с таможенной территории ЕАЭС, временным хранением товаров, их таможенным декларированием и выпуском, иных таможенных операций, порядка уплаты таможенных платежей, специальных, антидемпинговых, компенсационных пошлин и проведения таможенного контроля, а также регламентацию властных отношений между таможенными органами и лицами, реализующими права владения, пользования и (или) распоряжения товарами на таможенной территории ЕАЭС или за ее пределами.</w:t>
      </w:r>
      <w:bookmarkEnd w:id="150"/>
      <w:bookmarkEnd w:id="151"/>
    </w:p>
    <w:p w14:paraId="318EDB43" w14:textId="233CD993" w:rsidR="000E6D59" w:rsidRPr="005C53F5" w:rsidRDefault="000E6D59"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52" w:name="_Toc521609175"/>
      <w:bookmarkStart w:id="153" w:name="_Toc533784923"/>
      <w:r w:rsidRPr="005C53F5">
        <w:rPr>
          <w:rFonts w:ascii="Times New Roman" w:eastAsia="Times New Roman" w:hAnsi="Times New Roman" w:cs="Times New Roman"/>
          <w:sz w:val="24"/>
          <w:szCs w:val="24"/>
          <w:lang w:eastAsia="ru-RU"/>
        </w:rPr>
        <w:t xml:space="preserve">Таможенное регулирование в ЕАЭС осуществляется в соответствии с регулирующими таможенные правоотношения международными договорами, включая Таможенный кодекс ЕАЭС, и актами, составляющими право ЕАЭС, а также в соответствии с </w:t>
      </w:r>
      <w:r w:rsidR="00B062FD" w:rsidRPr="005C53F5">
        <w:rPr>
          <w:rFonts w:ascii="Times New Roman" w:eastAsia="Times New Roman" w:hAnsi="Times New Roman" w:cs="Times New Roman"/>
          <w:sz w:val="24"/>
          <w:szCs w:val="24"/>
          <w:lang w:eastAsia="ru-RU"/>
        </w:rPr>
        <w:t xml:space="preserve">Соглашением </w:t>
      </w:r>
      <w:r w:rsidRPr="005C53F5">
        <w:rPr>
          <w:rFonts w:ascii="Times New Roman" w:eastAsia="Times New Roman" w:hAnsi="Times New Roman" w:cs="Times New Roman"/>
          <w:sz w:val="24"/>
          <w:szCs w:val="24"/>
          <w:lang w:eastAsia="ru-RU"/>
        </w:rPr>
        <w:t xml:space="preserve">о </w:t>
      </w:r>
      <w:r w:rsidR="00B062FD" w:rsidRPr="005C53F5">
        <w:rPr>
          <w:rFonts w:ascii="Times New Roman" w:eastAsia="Times New Roman" w:hAnsi="Times New Roman" w:cs="Times New Roman"/>
          <w:sz w:val="24"/>
          <w:szCs w:val="24"/>
          <w:lang w:eastAsia="ru-RU"/>
        </w:rPr>
        <w:t>ЕАЭС</w:t>
      </w:r>
      <w:r w:rsidRPr="005C53F5">
        <w:rPr>
          <w:rFonts w:ascii="Times New Roman" w:eastAsia="Times New Roman" w:hAnsi="Times New Roman" w:cs="Times New Roman"/>
          <w:sz w:val="24"/>
          <w:szCs w:val="24"/>
          <w:lang w:eastAsia="ru-RU"/>
        </w:rPr>
        <w:t xml:space="preserve"> от 29 мая 2014 года.</w:t>
      </w:r>
      <w:bookmarkEnd w:id="152"/>
      <w:bookmarkEnd w:id="153"/>
    </w:p>
    <w:p w14:paraId="507E641E" w14:textId="77598A29" w:rsidR="000E6D59" w:rsidRPr="005C53F5" w:rsidRDefault="000E6D59"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54" w:name="_Toc521609176"/>
      <w:bookmarkStart w:id="155" w:name="_Toc533784924"/>
      <w:r w:rsidRPr="005C53F5">
        <w:rPr>
          <w:rFonts w:ascii="Times New Roman" w:eastAsia="Times New Roman" w:hAnsi="Times New Roman" w:cs="Times New Roman"/>
          <w:sz w:val="24"/>
          <w:szCs w:val="24"/>
          <w:lang w:eastAsia="ru-RU"/>
        </w:rPr>
        <w:t>Новое таможенное законодательство ЕАЭС разработано с учетом современного уровня развития электронных технологий, содержит в себе много новелл, полезных для предпринимателей. Благодаря этому основополагающему документу таможенные технологии будут оцифровываться. Таможенный кодекс ЕАЭС устранил многие проблемы, накопившиеся в правоприменительной практике. Таможенный кодекс юридически закрепил возможность для участника внешнеэкономической деятельности (</w:t>
      </w:r>
      <w:r w:rsidR="00924170" w:rsidRPr="005C53F5">
        <w:rPr>
          <w:rFonts w:ascii="Times New Roman" w:eastAsia="Times New Roman" w:hAnsi="Times New Roman" w:cs="Times New Roman"/>
          <w:sz w:val="24"/>
          <w:szCs w:val="24"/>
          <w:lang w:eastAsia="ru-RU"/>
        </w:rPr>
        <w:t>«</w:t>
      </w:r>
      <w:r w:rsidRPr="005C53F5">
        <w:rPr>
          <w:rFonts w:ascii="Times New Roman" w:eastAsia="Times New Roman" w:hAnsi="Times New Roman" w:cs="Times New Roman"/>
          <w:b/>
          <w:bCs/>
          <w:sz w:val="24"/>
          <w:szCs w:val="24"/>
          <w:lang w:eastAsia="ru-RU"/>
        </w:rPr>
        <w:t>ВЭД</w:t>
      </w:r>
      <w:r w:rsidR="00924170" w:rsidRPr="005C53F5">
        <w:rPr>
          <w:rFonts w:ascii="Times New Roman" w:eastAsia="Times New Roman" w:hAnsi="Times New Roman" w:cs="Times New Roman"/>
          <w:sz w:val="24"/>
          <w:szCs w:val="24"/>
          <w:lang w:eastAsia="ru-RU"/>
        </w:rPr>
        <w:t>»</w:t>
      </w:r>
      <w:r w:rsidRPr="005C53F5">
        <w:rPr>
          <w:rFonts w:ascii="Times New Roman" w:eastAsia="Times New Roman" w:hAnsi="Times New Roman" w:cs="Times New Roman"/>
          <w:sz w:val="24"/>
          <w:szCs w:val="24"/>
          <w:lang w:eastAsia="ru-RU"/>
        </w:rPr>
        <w:t>) при наличии электронной цифровой подписи совершать большинство операций со своего компьютера через информационно-телекоммуникационную сеть «Интернет», взаимодействуя с информационной системой таможенного органа. Одновременно с этим новое таможенное законодательство избавило участников ВЭД от необходимости представлять таможенному органу документы, на основании которых была заполнена электронная декларация. Предъявлять документы нужно будет только в тех случаях, когда сработают профили риска, и это будут только те документы, которые определит информационная система, а не сотрудник таможни.</w:t>
      </w:r>
      <w:bookmarkEnd w:id="154"/>
      <w:bookmarkEnd w:id="155"/>
    </w:p>
    <w:p w14:paraId="1BD3B761" w14:textId="77777777" w:rsidR="000E6D59" w:rsidRPr="005C53F5" w:rsidRDefault="000E6D59"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56" w:name="_Toc521609177"/>
      <w:bookmarkStart w:id="157" w:name="_Toc533784925"/>
      <w:r w:rsidRPr="005C53F5">
        <w:rPr>
          <w:rFonts w:ascii="Times New Roman" w:eastAsia="Times New Roman" w:hAnsi="Times New Roman" w:cs="Times New Roman"/>
          <w:sz w:val="24"/>
          <w:szCs w:val="24"/>
          <w:lang w:eastAsia="ru-RU"/>
        </w:rPr>
        <w:t>В ряде случаев решения о регистрации декларации на товары, сама регистрация, а также решение о выпуске товаров могут приниматься   информационными системами автоматически, без участия инспектора.</w:t>
      </w:r>
      <w:bookmarkEnd w:id="156"/>
      <w:bookmarkEnd w:id="157"/>
    </w:p>
    <w:p w14:paraId="242ECDF8" w14:textId="77777777" w:rsidR="000E6D59" w:rsidRPr="005C53F5" w:rsidRDefault="000E6D59"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58" w:name="_Toc521609178"/>
      <w:bookmarkStart w:id="159" w:name="_Toc533784926"/>
      <w:r w:rsidRPr="005C53F5">
        <w:rPr>
          <w:rFonts w:ascii="Times New Roman" w:eastAsia="Times New Roman" w:hAnsi="Times New Roman" w:cs="Times New Roman"/>
          <w:sz w:val="24"/>
          <w:szCs w:val="24"/>
          <w:lang w:eastAsia="ru-RU"/>
        </w:rPr>
        <w:t>Согласно Таможенному кодексу ЕАЭС, время выпуска товаров сократилось до четырех часов, в то время как стандартное время выпуска, зафиксированное в Таможенном кодексе Таможенного союза, составляло больше суток.</w:t>
      </w:r>
      <w:bookmarkEnd w:id="158"/>
      <w:bookmarkEnd w:id="159"/>
    </w:p>
    <w:p w14:paraId="32A072BE" w14:textId="77777777" w:rsidR="000E6D59" w:rsidRPr="005C53F5" w:rsidRDefault="000E6D59"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60" w:name="_Toc521609179"/>
      <w:bookmarkStart w:id="161" w:name="_Toc533784927"/>
      <w:r w:rsidRPr="005C53F5">
        <w:rPr>
          <w:rFonts w:ascii="Times New Roman" w:eastAsia="Times New Roman" w:hAnsi="Times New Roman" w:cs="Times New Roman"/>
          <w:sz w:val="24"/>
          <w:szCs w:val="24"/>
          <w:lang w:eastAsia="ru-RU"/>
        </w:rPr>
        <w:t>Новый Таможенный кодекс максимально переносит таможенный контроль на этап после выпуска товаров, а также предоставляет возможность воспользоваться рядом отсрочек по уплате таможенных платежей.</w:t>
      </w:r>
      <w:bookmarkEnd w:id="160"/>
      <w:bookmarkEnd w:id="161"/>
    </w:p>
    <w:p w14:paraId="505EC015" w14:textId="77777777" w:rsidR="000E6D59" w:rsidRPr="005C53F5" w:rsidRDefault="000E6D59"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62" w:name="_Toc521609180"/>
      <w:bookmarkStart w:id="163" w:name="_Toc533784928"/>
      <w:r w:rsidRPr="005C53F5">
        <w:rPr>
          <w:rFonts w:ascii="Times New Roman" w:eastAsia="Times New Roman" w:hAnsi="Times New Roman" w:cs="Times New Roman"/>
          <w:sz w:val="24"/>
          <w:szCs w:val="24"/>
          <w:lang w:eastAsia="ru-RU"/>
        </w:rPr>
        <w:t>После вступления в силу Таможенного кодекса ЕАЭС серьезно улучшилось положение участников рынка, работающих в статусе уполномоченных экономических операторов, а новые специальные упрощения сделали этот статус еще более привлекательным.</w:t>
      </w:r>
      <w:bookmarkEnd w:id="162"/>
      <w:bookmarkEnd w:id="163"/>
    </w:p>
    <w:p w14:paraId="5DFBD665" w14:textId="58AFFAD7" w:rsidR="000E6D59" w:rsidRPr="005C53F5" w:rsidRDefault="000E6D59"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64" w:name="_Toc521609181"/>
      <w:bookmarkStart w:id="165" w:name="_Toc533784929"/>
      <w:r w:rsidRPr="005C53F5">
        <w:rPr>
          <w:rFonts w:ascii="Times New Roman" w:eastAsia="Times New Roman" w:hAnsi="Times New Roman" w:cs="Times New Roman"/>
          <w:sz w:val="24"/>
          <w:szCs w:val="24"/>
          <w:lang w:eastAsia="ru-RU"/>
        </w:rPr>
        <w:t xml:space="preserve">Таможенным кодексом ЕАЭС заложены законодательные возможности для полноценного внедрения механизма «единого окна» в систему регулирования </w:t>
      </w:r>
      <w:r w:rsidR="00B062FD" w:rsidRPr="005C53F5">
        <w:rPr>
          <w:rFonts w:ascii="Times New Roman" w:eastAsia="Times New Roman" w:hAnsi="Times New Roman" w:cs="Times New Roman"/>
          <w:sz w:val="24"/>
          <w:szCs w:val="24"/>
          <w:lang w:eastAsia="ru-RU"/>
        </w:rPr>
        <w:t>ВЭД</w:t>
      </w:r>
      <w:r w:rsidRPr="005C53F5">
        <w:rPr>
          <w:rFonts w:ascii="Times New Roman" w:eastAsia="Times New Roman" w:hAnsi="Times New Roman" w:cs="Times New Roman"/>
          <w:sz w:val="24"/>
          <w:szCs w:val="24"/>
          <w:lang w:eastAsia="ru-RU"/>
        </w:rPr>
        <w:t>, работа над которым также сейчас ведется в ЕАЭС.</w:t>
      </w:r>
      <w:bookmarkEnd w:id="164"/>
      <w:bookmarkEnd w:id="165"/>
    </w:p>
    <w:p w14:paraId="215CC8B2" w14:textId="77777777" w:rsidR="000E6D59" w:rsidRPr="005C53F5" w:rsidRDefault="000E6D59" w:rsidP="00057BE5">
      <w:pPr>
        <w:spacing w:after="0" w:line="240" w:lineRule="auto"/>
        <w:ind w:firstLine="709"/>
        <w:jc w:val="both"/>
        <w:rPr>
          <w:rFonts w:ascii="Times New Roman" w:eastAsia="Calibri" w:hAnsi="Times New Roman" w:cs="Times New Roman"/>
          <w:sz w:val="24"/>
          <w:szCs w:val="24"/>
          <w:lang w:eastAsia="x-none"/>
        </w:rPr>
      </w:pPr>
      <w:bookmarkStart w:id="166" w:name="_Toc521609182"/>
      <w:bookmarkStart w:id="167" w:name="_Toc533784930"/>
      <w:r w:rsidRPr="005C53F5">
        <w:rPr>
          <w:rFonts w:ascii="Times New Roman" w:hAnsi="Times New Roman" w:cs="Times New Roman"/>
          <w:sz w:val="24"/>
          <w:szCs w:val="24"/>
        </w:rPr>
        <w:t>Дальнейшее развитие таможенного законодательства Республики Казахстан связано с развитием нормативно-правовой базы ЕАЭС.</w:t>
      </w:r>
      <w:bookmarkEnd w:id="166"/>
      <w:bookmarkEnd w:id="167"/>
    </w:p>
    <w:p w14:paraId="1F547A80" w14:textId="7F8C0CA2" w:rsidR="002E6296" w:rsidRPr="005C53F5" w:rsidRDefault="000E6D59" w:rsidP="00057BE5">
      <w:pPr>
        <w:pStyle w:val="ConsPlusNormal"/>
        <w:ind w:firstLine="709"/>
        <w:jc w:val="both"/>
        <w:rPr>
          <w:rFonts w:ascii="Times New Roman" w:hAnsi="Times New Roman" w:cs="Times New Roman"/>
          <w:sz w:val="24"/>
          <w:szCs w:val="24"/>
        </w:rPr>
      </w:pPr>
      <w:r w:rsidRPr="005C53F5">
        <w:rPr>
          <w:rFonts w:ascii="Times New Roman" w:eastAsia="Calibri" w:hAnsi="Times New Roman" w:cs="Times New Roman"/>
          <w:sz w:val="24"/>
          <w:szCs w:val="24"/>
          <w:lang w:eastAsia="x-none"/>
        </w:rPr>
        <w:t>Влияние на объем</w:t>
      </w:r>
      <w:r w:rsidRPr="005C53F5">
        <w:rPr>
          <w:rFonts w:ascii="Times New Roman" w:eastAsia="Calibri" w:hAnsi="Times New Roman" w:cs="Times New Roman"/>
          <w:sz w:val="24"/>
          <w:szCs w:val="24"/>
          <w:lang w:eastAsia="en-US"/>
        </w:rPr>
        <w:t xml:space="preserve"> </w:t>
      </w:r>
      <w:r w:rsidRPr="005C53F5">
        <w:rPr>
          <w:rFonts w:ascii="Times New Roman" w:eastAsia="Calibri" w:hAnsi="Times New Roman" w:cs="Times New Roman"/>
          <w:sz w:val="24"/>
          <w:szCs w:val="24"/>
          <w:lang w:eastAsia="x-none"/>
        </w:rPr>
        <w:t>экспортного оборота Республики Казахстан может оказать изменение таможенного законодательства стран, с резидентами которых осуществляются экспортно-импортные операции. Республика Казахстан и ее экспортеры не защищены от введения отдельными государствами моратория, тарифных и нетарифных ограничений и прочих подобных мер в отношении экспортеров из Республики Казахстан. Ужесточение и/или усиление таможенного регулирования указанных стран может привести к сокращению объемов поставок в данные страны, что автоматически скажется на поступлениях от таможенных операций в пользу бюджета Республики Казахстан.</w:t>
      </w:r>
    </w:p>
    <w:p w14:paraId="13853CFD" w14:textId="6A1E40C2" w:rsidR="00B84B75" w:rsidRPr="005C53F5" w:rsidRDefault="002E6296" w:rsidP="00057BE5">
      <w:pPr>
        <w:pStyle w:val="ConsPlusNormal"/>
        <w:ind w:firstLine="709"/>
        <w:jc w:val="both"/>
        <w:rPr>
          <w:rFonts w:ascii="Times New Roman" w:hAnsi="Times New Roman" w:cs="Times New Roman"/>
          <w:b/>
          <w:i/>
          <w:sz w:val="24"/>
          <w:szCs w:val="24"/>
          <w:u w:val="single"/>
        </w:rPr>
      </w:pPr>
      <w:bookmarkStart w:id="168" w:name="_Toc521609189"/>
      <w:bookmarkStart w:id="169" w:name="_Toc533784937"/>
      <w:r w:rsidRPr="005C53F5">
        <w:rPr>
          <w:rFonts w:ascii="Times New Roman" w:hAnsi="Times New Roman" w:cs="Times New Roman"/>
          <w:b/>
          <w:i/>
          <w:sz w:val="24"/>
          <w:szCs w:val="24"/>
          <w:u w:val="single"/>
        </w:rPr>
        <w:t>Риски, связанны</w:t>
      </w:r>
      <w:r w:rsidR="00B84B75" w:rsidRPr="005C53F5">
        <w:rPr>
          <w:rFonts w:ascii="Times New Roman" w:hAnsi="Times New Roman" w:cs="Times New Roman"/>
          <w:b/>
          <w:i/>
          <w:sz w:val="24"/>
          <w:szCs w:val="24"/>
          <w:u w:val="single"/>
        </w:rPr>
        <w:t>е с 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bookmarkEnd w:id="168"/>
      <w:bookmarkEnd w:id="169"/>
    </w:p>
    <w:p w14:paraId="1F5DCBE9" w14:textId="162E84BD" w:rsidR="00B84B75" w:rsidRPr="005C53F5" w:rsidRDefault="000E6D59"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70" w:name="_Toc521609190"/>
      <w:bookmarkStart w:id="171" w:name="_Toc533784938"/>
      <w:r w:rsidRPr="005C53F5">
        <w:rPr>
          <w:rFonts w:ascii="Times New Roman" w:eastAsia="Times New Roman" w:hAnsi="Times New Roman" w:cs="Times New Roman"/>
          <w:sz w:val="24"/>
          <w:szCs w:val="24"/>
          <w:lang w:eastAsia="ru-RU"/>
        </w:rPr>
        <w:t>Республика Казахстан не осуществляет деятельность, связанную с лицензированием.</w:t>
      </w:r>
      <w:bookmarkEnd w:id="170"/>
      <w:bookmarkEnd w:id="171"/>
      <w:r w:rsidRPr="005C53F5">
        <w:rPr>
          <w:rFonts w:ascii="Times New Roman" w:eastAsia="Times New Roman" w:hAnsi="Times New Roman" w:cs="Times New Roman"/>
          <w:sz w:val="24"/>
          <w:szCs w:val="24"/>
          <w:lang w:eastAsia="ru-RU"/>
        </w:rPr>
        <w:t xml:space="preserve"> </w:t>
      </w:r>
    </w:p>
    <w:p w14:paraId="42A7B606" w14:textId="49EB5EF6" w:rsidR="002E6296" w:rsidRPr="005C53F5" w:rsidRDefault="002E6296" w:rsidP="00057BE5">
      <w:pPr>
        <w:pStyle w:val="ConsPlusNormal"/>
        <w:ind w:firstLine="709"/>
        <w:jc w:val="both"/>
        <w:rPr>
          <w:rFonts w:ascii="Times New Roman" w:hAnsi="Times New Roman" w:cs="Times New Roman"/>
          <w:b/>
          <w:i/>
          <w:sz w:val="24"/>
          <w:szCs w:val="24"/>
          <w:u w:val="single"/>
        </w:rPr>
      </w:pPr>
      <w:bookmarkStart w:id="172" w:name="_Toc521609191"/>
      <w:bookmarkStart w:id="173" w:name="_Toc533784939"/>
      <w:r w:rsidRPr="005C53F5">
        <w:rPr>
          <w:rFonts w:ascii="Times New Roman" w:hAnsi="Times New Roman" w:cs="Times New Roman"/>
          <w:b/>
          <w:i/>
          <w:sz w:val="24"/>
          <w:szCs w:val="24"/>
          <w:u w:val="single"/>
        </w:rPr>
        <w:t>Риски, связанные с изменением судебной практики по вопросам, связанным с деятельностью Эмитента (в том числе по вопросам лицензирования), которая может негативно сказаться на результатах его деятельности, а также на результатах текущих судебных процессов, в которых участвует Эмитент:</w:t>
      </w:r>
      <w:bookmarkEnd w:id="172"/>
      <w:bookmarkEnd w:id="173"/>
    </w:p>
    <w:p w14:paraId="719E2119" w14:textId="77777777" w:rsidR="000E6D59" w:rsidRPr="005C53F5" w:rsidRDefault="000E6D59"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74" w:name="_Toc521609192"/>
      <w:bookmarkStart w:id="175" w:name="_Toc533784940"/>
      <w:r w:rsidRPr="005C53F5">
        <w:rPr>
          <w:rFonts w:ascii="Times New Roman" w:eastAsia="Times New Roman" w:hAnsi="Times New Roman" w:cs="Times New Roman"/>
          <w:sz w:val="24"/>
          <w:szCs w:val="24"/>
          <w:lang w:eastAsia="ru-RU"/>
        </w:rPr>
        <w:t xml:space="preserve">Данные риски оцениваются как незначительные, поскольку на дату утверждения Проспекта ценных бумаг Республика Казахстан не участвует в судебных процессах, которые могут существенно отразиться на ее финансово-хозяйственной деятельности. </w:t>
      </w:r>
      <w:bookmarkEnd w:id="174"/>
      <w:bookmarkEnd w:id="175"/>
    </w:p>
    <w:p w14:paraId="29572DF6" w14:textId="4294FF82" w:rsidR="002E6296" w:rsidRPr="005C53F5" w:rsidRDefault="000E6D59"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5C53F5">
        <w:rPr>
          <w:rFonts w:ascii="Times New Roman" w:eastAsia="SimSun" w:hAnsi="Times New Roman" w:cs="Times New Roman"/>
          <w:sz w:val="24"/>
          <w:szCs w:val="24"/>
          <w:lang w:eastAsia="de-DE"/>
        </w:rPr>
        <w:t xml:space="preserve">При этом на дату утверждения Проспекта ценных бумаг Казахстан является ответчиком по 14 незавершенным международным арбитражным разбирательствам, </w:t>
      </w:r>
      <w:r w:rsidRPr="005C53F5">
        <w:rPr>
          <w:rFonts w:ascii="Times New Roman" w:eastAsia="Times New Roman" w:hAnsi="Times New Roman" w:cs="Times New Roman"/>
          <w:sz w:val="24"/>
          <w:szCs w:val="24"/>
          <w:lang w:eastAsia="ru-RU"/>
        </w:rPr>
        <w:t xml:space="preserve">а также </w:t>
      </w:r>
      <w:r w:rsidRPr="005C53F5">
        <w:rPr>
          <w:rFonts w:ascii="Times New Roman" w:eastAsia="SimSun" w:hAnsi="Times New Roman" w:cs="Times New Roman"/>
          <w:sz w:val="24"/>
          <w:szCs w:val="24"/>
          <w:lang w:eastAsia="de-DE"/>
        </w:rPr>
        <w:t xml:space="preserve">участником ряда процедур приведения в исполнение иностранных арбитражных решений и/или ареста активов за пределами Казахстана. </w:t>
      </w:r>
      <w:r w:rsidRPr="005C53F5">
        <w:rPr>
          <w:rFonts w:ascii="Times New Roman" w:eastAsia="Calibri" w:hAnsi="Times New Roman" w:cs="Times New Roman"/>
          <w:sz w:val="24"/>
          <w:szCs w:val="24"/>
          <w:lang w:eastAsia="ru-RU"/>
        </w:rPr>
        <w:t>Эмитент не считает, что данные разбирательства и процедуры могут оказать существенное влияние на финансовое положение Эмитента.</w:t>
      </w:r>
    </w:p>
    <w:p w14:paraId="6F7756F5" w14:textId="77777777"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176" w:name="_Toc39616341"/>
      <w:bookmarkStart w:id="177" w:name="_Toc36145579"/>
      <w:r w:rsidRPr="005C53F5">
        <w:rPr>
          <w:rFonts w:ascii="Times New Roman" w:hAnsi="Times New Roman" w:cs="Times New Roman"/>
          <w:b/>
          <w:sz w:val="24"/>
          <w:szCs w:val="24"/>
        </w:rPr>
        <w:t>2.5.5. Риск потери деловой репутации (репутационный риск)</w:t>
      </w:r>
      <w:bookmarkEnd w:id="176"/>
      <w:bookmarkEnd w:id="177"/>
    </w:p>
    <w:p w14:paraId="60D1A5AC" w14:textId="77777777" w:rsidR="00956524" w:rsidRPr="005C53F5" w:rsidRDefault="00305B4B" w:rsidP="00057BE5">
      <w:pPr>
        <w:keepNext/>
        <w:spacing w:after="0" w:line="240" w:lineRule="auto"/>
        <w:ind w:firstLine="709"/>
        <w:jc w:val="both"/>
        <w:rPr>
          <w:rFonts w:ascii="Times New Roman" w:eastAsia="Calibri" w:hAnsi="Times New Roman" w:cs="Times New Roman"/>
          <w:sz w:val="24"/>
          <w:szCs w:val="24"/>
          <w:lang w:eastAsia="x-none"/>
        </w:rPr>
      </w:pPr>
      <w:bookmarkStart w:id="178" w:name="_Toc521609196"/>
      <w:r w:rsidRPr="005C53F5">
        <w:rPr>
          <w:rFonts w:ascii="Times New Roman" w:eastAsia="Calibri" w:hAnsi="Times New Roman" w:cs="Times New Roman"/>
          <w:sz w:val="24"/>
          <w:szCs w:val="24"/>
          <w:lang w:eastAsia="x-none"/>
        </w:rPr>
        <w:t xml:space="preserve">Республика Казахстан является членом Инициативы Прозрачности Добывающих Отраслей в отношении ряда компаний, и Республика Казахстан продолжает работать над улучшением подотчетности и стандартов управления в </w:t>
      </w:r>
      <w:bookmarkStart w:id="179" w:name="_Toc521609195"/>
      <w:bookmarkStart w:id="180" w:name="_Toc533784943"/>
      <w:bookmarkStart w:id="181" w:name="_Toc533784944"/>
      <w:r w:rsidR="00956524" w:rsidRPr="005C53F5">
        <w:rPr>
          <w:rFonts w:ascii="Times New Roman" w:eastAsia="Calibri" w:hAnsi="Times New Roman" w:cs="Times New Roman"/>
          <w:sz w:val="24"/>
          <w:szCs w:val="24"/>
          <w:lang w:eastAsia="x-none"/>
        </w:rPr>
        <w:t xml:space="preserve">различных добывающих отраслях. </w:t>
      </w:r>
    </w:p>
    <w:p w14:paraId="5EBC6F04" w14:textId="7AD2D278" w:rsidR="00C816AE" w:rsidRPr="005C53F5" w:rsidRDefault="00305B4B" w:rsidP="00057BE5">
      <w:pPr>
        <w:keepNext/>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Times New Roman" w:hAnsi="Times New Roman" w:cs="Times New Roman"/>
          <w:sz w:val="24"/>
          <w:szCs w:val="24"/>
          <w:lang w:eastAsia="ru-RU"/>
        </w:rPr>
        <w:t xml:space="preserve">Основные репутационные риски Казахстана связаны с </w:t>
      </w:r>
      <w:r w:rsidR="00956524" w:rsidRPr="005C53F5">
        <w:rPr>
          <w:rFonts w:ascii="Times New Roman" w:eastAsia="Times New Roman" w:hAnsi="Times New Roman" w:cs="Times New Roman"/>
          <w:sz w:val="24"/>
          <w:szCs w:val="24"/>
          <w:lang w:eastAsia="ru-RU"/>
        </w:rPr>
        <w:t>обвинениями в</w:t>
      </w:r>
      <w:r w:rsidRPr="005C53F5">
        <w:rPr>
          <w:rFonts w:ascii="Times New Roman" w:eastAsia="Times New Roman" w:hAnsi="Times New Roman" w:cs="Times New Roman"/>
          <w:sz w:val="24"/>
          <w:szCs w:val="24"/>
          <w:lang w:eastAsia="ru-RU"/>
        </w:rPr>
        <w:t xml:space="preserve"> коррупции в стране.</w:t>
      </w:r>
      <w:bookmarkEnd w:id="179"/>
      <w:bookmarkEnd w:id="180"/>
      <w:bookmarkEnd w:id="181"/>
      <w:r w:rsidR="00956524" w:rsidRPr="005C53F5">
        <w:rPr>
          <w:rFonts w:ascii="Times New Roman" w:eastAsia="Calibri" w:hAnsi="Times New Roman" w:cs="Times New Roman"/>
          <w:sz w:val="24"/>
          <w:szCs w:val="24"/>
          <w:lang w:eastAsia="x-none"/>
        </w:rPr>
        <w:t xml:space="preserve"> </w:t>
      </w:r>
      <w:r w:rsidRPr="005C53F5">
        <w:rPr>
          <w:rFonts w:ascii="Times New Roman" w:eastAsia="Calibri" w:hAnsi="Times New Roman" w:cs="Times New Roman"/>
          <w:sz w:val="24"/>
          <w:szCs w:val="24"/>
          <w:lang w:eastAsia="x-none"/>
        </w:rPr>
        <w:t>Независимые аналитики, в том числе Transparency International, определили коррупцию как проблему в Республике Казахстан. Из 180 стран и территорий, включенных в Индекс восприятия коррупции 2019 года, опубликованный Transparency International, Республика Казахстан занял</w:t>
      </w:r>
      <w:r w:rsidR="00B062FD" w:rsidRPr="005C53F5">
        <w:rPr>
          <w:rFonts w:ascii="Times New Roman" w:eastAsia="Calibri" w:hAnsi="Times New Roman" w:cs="Times New Roman"/>
          <w:sz w:val="24"/>
          <w:szCs w:val="24"/>
          <w:lang w:eastAsia="x-none"/>
        </w:rPr>
        <w:t>а</w:t>
      </w:r>
      <w:r w:rsidRPr="005C53F5">
        <w:rPr>
          <w:rFonts w:ascii="Times New Roman" w:eastAsia="Calibri" w:hAnsi="Times New Roman" w:cs="Times New Roman"/>
          <w:sz w:val="24"/>
          <w:szCs w:val="24"/>
          <w:lang w:eastAsia="x-none"/>
        </w:rPr>
        <w:t xml:space="preserve"> 113-е место, что свидетельствует о том, что восприятие коррупции в государственном секторе, происходящей внутри страны, остается широко распространенным. </w:t>
      </w:r>
    </w:p>
    <w:p w14:paraId="198F7DB6" w14:textId="2FC4FB3E" w:rsidR="00305B4B" w:rsidRPr="005C53F5" w:rsidRDefault="00305B4B" w:rsidP="00057BE5">
      <w:pPr>
        <w:keepNext/>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На деловой климат и показатели конкурентоспособности Республики Казахстан также </w:t>
      </w:r>
      <w:r w:rsidR="00C816AE" w:rsidRPr="005C53F5">
        <w:rPr>
          <w:rFonts w:ascii="Times New Roman" w:eastAsia="Calibri" w:hAnsi="Times New Roman" w:cs="Times New Roman"/>
          <w:sz w:val="24"/>
          <w:szCs w:val="24"/>
          <w:lang w:eastAsia="x-none"/>
        </w:rPr>
        <w:t xml:space="preserve">в определенной степени </w:t>
      </w:r>
      <w:r w:rsidRPr="005C53F5">
        <w:rPr>
          <w:rFonts w:ascii="Times New Roman" w:eastAsia="Calibri" w:hAnsi="Times New Roman" w:cs="Times New Roman"/>
          <w:sz w:val="24"/>
          <w:szCs w:val="24"/>
          <w:lang w:eastAsia="x-none"/>
        </w:rPr>
        <w:t>влияет необходимость реформирования механизмов защиты инвесторов и налоговой системы, а также реформирования в сфере затрат на создание бизнеса, урегулирования неплатежеспособности и принудительного исполнения контрактов. В исследовании Всемирного банка Doing Business Survey 2020 года Республика Казахстан заняла 25-е место из 190 стран по легкости ведения бизнеса, а также 55-е место из 141 страны в Индексе глобальной конкурентоспособности Всемирного экономического форума за 2019 год.</w:t>
      </w:r>
    </w:p>
    <w:p w14:paraId="7CBA36BB" w14:textId="283CF47C" w:rsidR="0063292D" w:rsidRPr="005C53F5" w:rsidRDefault="00305B4B" w:rsidP="00057BE5">
      <w:pPr>
        <w:pStyle w:val="ConsPlusNormal"/>
        <w:ind w:firstLine="709"/>
        <w:jc w:val="both"/>
        <w:rPr>
          <w:rFonts w:ascii="Times New Roman" w:hAnsi="Times New Roman" w:cs="Times New Roman"/>
          <w:sz w:val="24"/>
          <w:szCs w:val="24"/>
        </w:rPr>
      </w:pPr>
      <w:r w:rsidRPr="005C53F5">
        <w:rPr>
          <w:rFonts w:ascii="Times New Roman" w:eastAsia="Calibri" w:hAnsi="Times New Roman" w:cs="Times New Roman"/>
          <w:sz w:val="24"/>
          <w:szCs w:val="24"/>
          <w:lang w:eastAsia="x-none"/>
        </w:rPr>
        <w:t xml:space="preserve">Любые будущие обвинения в коррупции в Республике Казахстан и неспособность решить вопрос о необходимости реформ могут </w:t>
      </w:r>
      <w:r w:rsidR="00C816AE" w:rsidRPr="005C53F5">
        <w:rPr>
          <w:rFonts w:ascii="Times New Roman" w:eastAsia="Calibri" w:hAnsi="Times New Roman" w:cs="Times New Roman"/>
          <w:sz w:val="24"/>
          <w:szCs w:val="24"/>
          <w:lang w:eastAsia="x-none"/>
        </w:rPr>
        <w:t>отразиться</w:t>
      </w:r>
      <w:r w:rsidRPr="005C53F5">
        <w:rPr>
          <w:rFonts w:ascii="Times New Roman" w:eastAsia="Calibri" w:hAnsi="Times New Roman" w:cs="Times New Roman"/>
          <w:sz w:val="24"/>
          <w:szCs w:val="24"/>
          <w:lang w:eastAsia="x-none"/>
        </w:rPr>
        <w:t xml:space="preserve"> на способности Республики Казахстан привлекать иностранные инвестиции и, таким образом, </w:t>
      </w:r>
      <w:r w:rsidR="00C816AE" w:rsidRPr="005C53F5">
        <w:rPr>
          <w:rFonts w:ascii="Times New Roman" w:eastAsia="Calibri" w:hAnsi="Times New Roman" w:cs="Times New Roman"/>
          <w:sz w:val="24"/>
          <w:szCs w:val="24"/>
          <w:lang w:eastAsia="x-none"/>
        </w:rPr>
        <w:t xml:space="preserve">оказать </w:t>
      </w:r>
      <w:r w:rsidR="00956524" w:rsidRPr="005C53F5">
        <w:rPr>
          <w:rFonts w:ascii="Times New Roman" w:eastAsia="Calibri" w:hAnsi="Times New Roman" w:cs="Times New Roman"/>
          <w:sz w:val="24"/>
          <w:szCs w:val="24"/>
          <w:lang w:eastAsia="x-none"/>
        </w:rPr>
        <w:t xml:space="preserve">косвенное </w:t>
      </w:r>
      <w:r w:rsidR="00C816AE" w:rsidRPr="005C53F5">
        <w:rPr>
          <w:rFonts w:ascii="Times New Roman" w:eastAsia="Calibri" w:hAnsi="Times New Roman" w:cs="Times New Roman"/>
          <w:sz w:val="24"/>
          <w:szCs w:val="24"/>
          <w:lang w:eastAsia="x-none"/>
        </w:rPr>
        <w:t>влияние</w:t>
      </w:r>
      <w:r w:rsidRPr="005C53F5">
        <w:rPr>
          <w:rFonts w:ascii="Times New Roman" w:eastAsia="Calibri" w:hAnsi="Times New Roman" w:cs="Times New Roman"/>
          <w:sz w:val="24"/>
          <w:szCs w:val="24"/>
          <w:lang w:eastAsia="x-none"/>
        </w:rPr>
        <w:t xml:space="preserve"> на </w:t>
      </w:r>
      <w:r w:rsidR="00C816AE" w:rsidRPr="005C53F5">
        <w:rPr>
          <w:rFonts w:ascii="Times New Roman" w:eastAsia="Calibri" w:hAnsi="Times New Roman" w:cs="Times New Roman"/>
          <w:sz w:val="24"/>
          <w:szCs w:val="24"/>
          <w:lang w:eastAsia="x-none"/>
        </w:rPr>
        <w:t xml:space="preserve">экономику и финансовое положение </w:t>
      </w:r>
      <w:r w:rsidRPr="005C53F5">
        <w:rPr>
          <w:rFonts w:ascii="Times New Roman" w:eastAsia="Calibri" w:hAnsi="Times New Roman" w:cs="Times New Roman"/>
          <w:sz w:val="24"/>
          <w:szCs w:val="24"/>
          <w:lang w:eastAsia="x-none"/>
        </w:rPr>
        <w:t>Республики Казахстан</w:t>
      </w:r>
      <w:r w:rsidR="00C816AE" w:rsidRPr="005C53F5">
        <w:rPr>
          <w:rFonts w:ascii="Times New Roman" w:eastAsia="Calibri" w:hAnsi="Times New Roman" w:cs="Times New Roman"/>
          <w:sz w:val="24"/>
          <w:szCs w:val="24"/>
          <w:lang w:eastAsia="x-none"/>
        </w:rPr>
        <w:t>.</w:t>
      </w:r>
    </w:p>
    <w:p w14:paraId="504FEEB0" w14:textId="77777777"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182" w:name="_Toc39616342"/>
      <w:bookmarkStart w:id="183" w:name="_Toc36145580"/>
      <w:bookmarkEnd w:id="178"/>
      <w:r w:rsidRPr="005C53F5">
        <w:rPr>
          <w:rFonts w:ascii="Times New Roman" w:hAnsi="Times New Roman" w:cs="Times New Roman"/>
          <w:b/>
          <w:sz w:val="24"/>
          <w:szCs w:val="24"/>
        </w:rPr>
        <w:t>2.5.6. Стратегический риск</w:t>
      </w:r>
      <w:bookmarkEnd w:id="182"/>
      <w:bookmarkEnd w:id="183"/>
    </w:p>
    <w:p w14:paraId="28BCC07E" w14:textId="0FE9CBBC" w:rsidR="0079135D" w:rsidRPr="005C53F5" w:rsidRDefault="00305B4B"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184" w:name="_Toc521609199"/>
      <w:bookmarkStart w:id="185" w:name="_Toc533784947"/>
      <w:r w:rsidRPr="005C53F5">
        <w:rPr>
          <w:rFonts w:ascii="Times New Roman" w:eastAsia="Times New Roman" w:hAnsi="Times New Roman" w:cs="Times New Roman"/>
          <w:sz w:val="24"/>
          <w:szCs w:val="24"/>
          <w:lang w:eastAsia="ru-RU"/>
        </w:rPr>
        <w:t>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неучете или недостаточном учете возможных опасностей, которые могут угрожать деятельности Эмитента,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Эмитента, расценивается Эмитентом как незначительный.</w:t>
      </w:r>
      <w:bookmarkEnd w:id="184"/>
      <w:bookmarkEnd w:id="185"/>
    </w:p>
    <w:p w14:paraId="2584AF2E" w14:textId="77777777"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186" w:name="_Toc39616343"/>
      <w:bookmarkStart w:id="187" w:name="_Toc36145581"/>
      <w:r w:rsidRPr="005C53F5">
        <w:rPr>
          <w:rFonts w:ascii="Times New Roman" w:hAnsi="Times New Roman" w:cs="Times New Roman"/>
          <w:b/>
          <w:sz w:val="24"/>
          <w:szCs w:val="24"/>
        </w:rPr>
        <w:t>2.5.7. Риски, связанные с деятельностью эмитента</w:t>
      </w:r>
      <w:bookmarkEnd w:id="186"/>
      <w:bookmarkEnd w:id="187"/>
    </w:p>
    <w:p w14:paraId="527FF586" w14:textId="77777777" w:rsidR="006021E2" w:rsidRPr="005C53F5" w:rsidRDefault="006021E2" w:rsidP="00057BE5">
      <w:pPr>
        <w:pStyle w:val="ConsPlusNormal"/>
        <w:ind w:firstLine="709"/>
        <w:jc w:val="both"/>
        <w:rPr>
          <w:rFonts w:ascii="Times New Roman" w:hAnsi="Times New Roman" w:cs="Times New Roman"/>
          <w:b/>
          <w:i/>
          <w:sz w:val="24"/>
          <w:szCs w:val="24"/>
          <w:u w:val="single"/>
        </w:rPr>
      </w:pPr>
      <w:bookmarkStart w:id="188" w:name="_Toc521609201"/>
      <w:bookmarkStart w:id="189" w:name="_Toc533784949"/>
      <w:r w:rsidRPr="005C53F5">
        <w:rPr>
          <w:rFonts w:ascii="Times New Roman" w:hAnsi="Times New Roman" w:cs="Times New Roman"/>
          <w:b/>
          <w:i/>
          <w:sz w:val="24"/>
          <w:szCs w:val="24"/>
          <w:u w:val="single"/>
        </w:rPr>
        <w:t>Риски, свойственные исключительно эмитенту или связанные с осуществляемой эмитентом основной финансово-хозяйственной деятельностью, в том числе:</w:t>
      </w:r>
      <w:bookmarkEnd w:id="188"/>
      <w:bookmarkEnd w:id="189"/>
      <w:r w:rsidRPr="005C53F5">
        <w:rPr>
          <w:rFonts w:ascii="Times New Roman" w:hAnsi="Times New Roman" w:cs="Times New Roman"/>
          <w:b/>
          <w:i/>
          <w:sz w:val="24"/>
          <w:szCs w:val="24"/>
          <w:u w:val="single"/>
        </w:rPr>
        <w:t xml:space="preserve"> </w:t>
      </w:r>
    </w:p>
    <w:p w14:paraId="01A6C05B" w14:textId="065303DB" w:rsidR="006021E2" w:rsidRPr="005C53F5" w:rsidRDefault="006021E2" w:rsidP="00057BE5">
      <w:pPr>
        <w:pStyle w:val="ConsPlusNormal"/>
        <w:ind w:firstLine="709"/>
        <w:jc w:val="both"/>
        <w:rPr>
          <w:rFonts w:ascii="Times New Roman" w:hAnsi="Times New Roman" w:cs="Times New Roman"/>
          <w:b/>
          <w:i/>
          <w:sz w:val="24"/>
          <w:szCs w:val="24"/>
          <w:u w:val="single"/>
        </w:rPr>
      </w:pPr>
      <w:bookmarkStart w:id="190" w:name="_Toc521609202"/>
      <w:bookmarkStart w:id="191" w:name="_Toc533784950"/>
      <w:r w:rsidRPr="005C53F5">
        <w:rPr>
          <w:rFonts w:ascii="Times New Roman" w:hAnsi="Times New Roman" w:cs="Times New Roman"/>
          <w:b/>
          <w:i/>
          <w:sz w:val="24"/>
          <w:szCs w:val="24"/>
          <w:u w:val="single"/>
        </w:rPr>
        <w:t>Риски, связанные с текущими судебными процессами, в которых участвует эмитент:</w:t>
      </w:r>
      <w:bookmarkEnd w:id="190"/>
      <w:bookmarkEnd w:id="191"/>
    </w:p>
    <w:p w14:paraId="69E0D967" w14:textId="027B97C3" w:rsidR="006021E2" w:rsidRPr="005C53F5" w:rsidRDefault="00CF514D"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sz w:val="24"/>
          <w:szCs w:val="24"/>
        </w:rPr>
        <w:t xml:space="preserve">На дату утверждения Проспекта ценных бумаг Республика </w:t>
      </w:r>
      <w:r w:rsidR="005801BD" w:rsidRPr="005C53F5">
        <w:rPr>
          <w:rFonts w:ascii="Times New Roman" w:hAnsi="Times New Roman" w:cs="Times New Roman"/>
          <w:sz w:val="24"/>
          <w:szCs w:val="24"/>
        </w:rPr>
        <w:t xml:space="preserve">Казахстан </w:t>
      </w:r>
      <w:r w:rsidRPr="005C53F5">
        <w:rPr>
          <w:rFonts w:ascii="Times New Roman" w:hAnsi="Times New Roman" w:cs="Times New Roman"/>
          <w:sz w:val="24"/>
          <w:szCs w:val="24"/>
        </w:rPr>
        <w:t>не участвует в судебных процессах, которые могут существенно отразиться на ее финансово-хозяйственной деятельности. Вместе с тем информация о ряде судебных разбирательств, в которых в настоящее время участвует Республика Казахстан, приведена в пункте 7.7 Проспекта ценных бумаг.</w:t>
      </w:r>
    </w:p>
    <w:p w14:paraId="752E0659" w14:textId="2AF782DB" w:rsidR="006021E2" w:rsidRPr="005C53F5" w:rsidRDefault="006021E2" w:rsidP="00057BE5">
      <w:pPr>
        <w:pStyle w:val="ConsPlusNormal"/>
        <w:ind w:firstLine="709"/>
        <w:jc w:val="both"/>
        <w:rPr>
          <w:rFonts w:ascii="Times New Roman" w:hAnsi="Times New Roman" w:cs="Times New Roman"/>
          <w:b/>
          <w:i/>
          <w:sz w:val="24"/>
          <w:szCs w:val="24"/>
          <w:u w:val="single"/>
        </w:rPr>
      </w:pPr>
      <w:bookmarkStart w:id="192" w:name="_Toc521609204"/>
      <w:bookmarkStart w:id="193" w:name="_Toc533784952"/>
      <w:r w:rsidRPr="005C53F5">
        <w:rPr>
          <w:rFonts w:ascii="Times New Roman" w:hAnsi="Times New Roman" w:cs="Times New Roman"/>
          <w:b/>
          <w:i/>
          <w:sz w:val="24"/>
          <w:szCs w:val="24"/>
          <w:u w:val="single"/>
        </w:rPr>
        <w:t>Риски, связанные с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bookmarkEnd w:id="192"/>
      <w:bookmarkEnd w:id="193"/>
    </w:p>
    <w:p w14:paraId="5C9DEA47" w14:textId="47E4029E" w:rsidR="003A1D6B" w:rsidRPr="005C53F5" w:rsidRDefault="00CF514D" w:rsidP="00057BE5">
      <w:pPr>
        <w:pStyle w:val="ConsPlusNormal"/>
        <w:ind w:firstLine="709"/>
        <w:jc w:val="both"/>
        <w:rPr>
          <w:rFonts w:ascii="Times New Roman" w:hAnsi="Times New Roman" w:cs="Times New Roman"/>
          <w:sz w:val="24"/>
          <w:szCs w:val="24"/>
        </w:rPr>
      </w:pPr>
      <w:bookmarkStart w:id="194" w:name="_Toc521609205"/>
      <w:bookmarkStart w:id="195" w:name="_Toc533784953"/>
      <w:bookmarkStart w:id="196" w:name="_Toc521609206"/>
      <w:bookmarkStart w:id="197" w:name="_Toc533784954"/>
      <w:r w:rsidRPr="005C53F5">
        <w:rPr>
          <w:rFonts w:ascii="Times New Roman" w:hAnsi="Times New Roman" w:cs="Times New Roman"/>
          <w:sz w:val="24"/>
          <w:szCs w:val="24"/>
        </w:rPr>
        <w:t>Республика Казахстан не осуществляет деятельность, связанную с лицензированием.</w:t>
      </w:r>
      <w:bookmarkEnd w:id="194"/>
      <w:bookmarkEnd w:id="195"/>
    </w:p>
    <w:p w14:paraId="01B67362" w14:textId="7F5AE206" w:rsidR="006021E2" w:rsidRPr="005C53F5" w:rsidRDefault="006021E2"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Риски, связанные с возможной ответственностью эмитента по долгам третьих лиц, в том числе дочерних обществ эмитента:</w:t>
      </w:r>
      <w:bookmarkEnd w:id="196"/>
      <w:bookmarkEnd w:id="197"/>
    </w:p>
    <w:p w14:paraId="7ABF5604" w14:textId="6287DDB7" w:rsidR="00CF514D" w:rsidRPr="005C53F5" w:rsidRDefault="00CF514D" w:rsidP="00057BE5">
      <w:pPr>
        <w:pStyle w:val="ConsPlusNormal"/>
        <w:ind w:firstLine="709"/>
        <w:jc w:val="both"/>
        <w:rPr>
          <w:rFonts w:ascii="Times New Roman" w:hAnsi="Times New Roman" w:cs="Times New Roman"/>
          <w:sz w:val="24"/>
          <w:szCs w:val="24"/>
        </w:rPr>
      </w:pPr>
      <w:bookmarkStart w:id="198" w:name="_Toc521609207"/>
      <w:bookmarkStart w:id="199" w:name="_Toc533784955"/>
      <w:bookmarkStart w:id="200" w:name="_Toc521609209"/>
      <w:bookmarkStart w:id="201" w:name="_Toc533784957"/>
      <w:r w:rsidRPr="005C53F5">
        <w:rPr>
          <w:rFonts w:ascii="Times New Roman" w:hAnsi="Times New Roman" w:cs="Times New Roman"/>
          <w:sz w:val="24"/>
          <w:szCs w:val="24"/>
        </w:rPr>
        <w:t xml:space="preserve">В отношении дочерних обществ Эмитента </w:t>
      </w:r>
      <w:r w:rsidR="00B062FD" w:rsidRPr="005C53F5">
        <w:rPr>
          <w:rFonts w:ascii="Times New Roman" w:hAnsi="Times New Roman" w:cs="Times New Roman"/>
          <w:sz w:val="24"/>
          <w:szCs w:val="24"/>
        </w:rPr>
        <w:t>сведения</w:t>
      </w:r>
      <w:r w:rsidRPr="005C53F5">
        <w:rPr>
          <w:rFonts w:ascii="Times New Roman" w:hAnsi="Times New Roman" w:cs="Times New Roman"/>
          <w:sz w:val="24"/>
          <w:szCs w:val="24"/>
        </w:rPr>
        <w:t xml:space="preserve"> не указываются в соответствии с пунктом 91.3 Положения Банка России № 454-П.</w:t>
      </w:r>
      <w:bookmarkEnd w:id="198"/>
      <w:bookmarkEnd w:id="199"/>
    </w:p>
    <w:p w14:paraId="316561B3" w14:textId="4D348384" w:rsidR="003A1D6B" w:rsidRPr="005C53F5" w:rsidRDefault="00A40FE8" w:rsidP="00057BE5">
      <w:pPr>
        <w:pStyle w:val="ConsPlusNormal"/>
        <w:ind w:firstLine="709"/>
        <w:jc w:val="both"/>
        <w:rPr>
          <w:rFonts w:ascii="Times New Roman" w:hAnsi="Times New Roman" w:cs="Times New Roman"/>
          <w:sz w:val="24"/>
          <w:szCs w:val="24"/>
        </w:rPr>
      </w:pPr>
      <w:bookmarkStart w:id="202" w:name="_Toc521609208"/>
      <w:bookmarkStart w:id="203" w:name="_Toc533784956"/>
      <w:r w:rsidRPr="005C53F5">
        <w:rPr>
          <w:rFonts w:ascii="Times New Roman" w:hAnsi="Times New Roman" w:cs="Times New Roman"/>
          <w:sz w:val="24"/>
          <w:szCs w:val="24"/>
        </w:rPr>
        <w:t>Эмитент несет ответственность по займам, привлеченным резидентами Республики Казахстан под гарантии Правительства Республики Казахстан в случае неуплаты заемщиком причитающейся суммы в установленный срок. Средства для исполнения гарантий Правительства Республики Казахстан по таким займам ежегодно предусматриваются в республиканском бюджете</w:t>
      </w:r>
      <w:r w:rsidR="00CF514D" w:rsidRPr="005C53F5">
        <w:rPr>
          <w:rFonts w:ascii="Times New Roman" w:hAnsi="Times New Roman" w:cs="Times New Roman"/>
          <w:sz w:val="24"/>
          <w:szCs w:val="24"/>
        </w:rPr>
        <w:t>.</w:t>
      </w:r>
      <w:bookmarkEnd w:id="202"/>
      <w:bookmarkEnd w:id="203"/>
    </w:p>
    <w:p w14:paraId="4F751698" w14:textId="54252E13" w:rsidR="006021E2" w:rsidRPr="005C53F5" w:rsidRDefault="006021E2"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эмитента:</w:t>
      </w:r>
      <w:bookmarkEnd w:id="200"/>
      <w:bookmarkEnd w:id="201"/>
    </w:p>
    <w:p w14:paraId="0D914441" w14:textId="320B4C33" w:rsidR="003A1D6B" w:rsidRPr="005C53F5" w:rsidRDefault="00CF514D" w:rsidP="00057BE5">
      <w:pPr>
        <w:pStyle w:val="ConsPlusNormal"/>
        <w:ind w:firstLine="709"/>
        <w:jc w:val="both"/>
        <w:rPr>
          <w:rFonts w:ascii="Times New Roman" w:hAnsi="Times New Roman" w:cs="Times New Roman"/>
          <w:sz w:val="24"/>
          <w:szCs w:val="24"/>
        </w:rPr>
      </w:pPr>
      <w:bookmarkStart w:id="204" w:name="_Toc521609210"/>
      <w:bookmarkStart w:id="205" w:name="_Toc533784958"/>
      <w:bookmarkStart w:id="206" w:name="_Toc521609211"/>
      <w:bookmarkStart w:id="207" w:name="_Toc533784959"/>
      <w:r w:rsidRPr="005C53F5">
        <w:rPr>
          <w:rFonts w:ascii="Times New Roman" w:hAnsi="Times New Roman" w:cs="Times New Roman"/>
          <w:sz w:val="24"/>
          <w:szCs w:val="24"/>
        </w:rP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Эмитента, расцениваются Эмитентом как незначительные.</w:t>
      </w:r>
      <w:bookmarkEnd w:id="204"/>
      <w:bookmarkEnd w:id="205"/>
    </w:p>
    <w:p w14:paraId="62BE13BA" w14:textId="5AAF2E54" w:rsidR="0079135D" w:rsidRPr="005C53F5" w:rsidRDefault="0079135D"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Иные риски, связанные с деятельностью Эмитента:</w:t>
      </w:r>
      <w:bookmarkEnd w:id="206"/>
      <w:bookmarkEnd w:id="207"/>
    </w:p>
    <w:p w14:paraId="55C29CC7" w14:textId="72053BC4" w:rsidR="00CD770C" w:rsidRPr="005C53F5" w:rsidRDefault="00CD770C" w:rsidP="00057BE5">
      <w:pPr>
        <w:spacing w:after="0" w:line="240" w:lineRule="auto"/>
        <w:ind w:firstLine="709"/>
        <w:jc w:val="both"/>
        <w:rPr>
          <w:rFonts w:ascii="Times New Roman" w:eastAsia="Calibri" w:hAnsi="Times New Roman" w:cs="Times New Roman"/>
          <w:i/>
          <w:sz w:val="24"/>
          <w:szCs w:val="24"/>
          <w:lang w:eastAsia="x-none"/>
        </w:rPr>
      </w:pPr>
      <w:r w:rsidRPr="005C53F5">
        <w:rPr>
          <w:rFonts w:ascii="Times New Roman" w:eastAsia="Calibri" w:hAnsi="Times New Roman" w:cs="Times New Roman"/>
          <w:i/>
          <w:sz w:val="24"/>
          <w:szCs w:val="24"/>
          <w:lang w:eastAsia="x-none"/>
        </w:rPr>
        <w:t>Во многом из-за повышенного уровня просроченных кредитов и других проблем, связанных с качеством активов, банковский сектор Республики Казахстан остается уязвимым к внешним воздействиям</w:t>
      </w:r>
      <w:r w:rsidR="00C816AE" w:rsidRPr="005C53F5">
        <w:rPr>
          <w:rFonts w:ascii="Times New Roman" w:eastAsia="Calibri" w:hAnsi="Times New Roman" w:cs="Times New Roman"/>
          <w:i/>
          <w:sz w:val="24"/>
          <w:szCs w:val="24"/>
          <w:lang w:eastAsia="x-none"/>
        </w:rPr>
        <w:t>, при этом ситуация в банковской системе Казахстана является стабильной</w:t>
      </w:r>
    </w:p>
    <w:p w14:paraId="26056279" w14:textId="36AD4D33" w:rsidR="00CD770C" w:rsidRPr="005C53F5" w:rsidRDefault="00CD770C"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После начала мирового финансового кризиса в 2008 году рост кредитования в </w:t>
      </w:r>
      <w:r w:rsidRPr="005C53F5">
        <w:rPr>
          <w:rFonts w:ascii="Times New Roman" w:eastAsia="Calibri" w:hAnsi="Times New Roman" w:cs="Times New Roman"/>
          <w:sz w:val="24"/>
          <w:szCs w:val="24"/>
        </w:rPr>
        <w:t>Республике Казахстан</w:t>
      </w:r>
      <w:r w:rsidRPr="005C53F5">
        <w:rPr>
          <w:rFonts w:ascii="Times New Roman" w:eastAsia="Calibri" w:hAnsi="Times New Roman" w:cs="Times New Roman"/>
          <w:sz w:val="24"/>
          <w:szCs w:val="24"/>
          <w:lang w:eastAsia="x-none"/>
        </w:rPr>
        <w:t xml:space="preserve"> прекратился из-за отсутствия доступа к оптовому финансированию, депозиты стали волатильными, а цены на недвижимость значительно снизились. Цены на нефть также значительно снизились, что негативно сказалось на банковском секторе </w:t>
      </w:r>
      <w:r w:rsidRPr="005C53F5">
        <w:rPr>
          <w:rFonts w:ascii="Times New Roman" w:eastAsia="Calibri" w:hAnsi="Times New Roman" w:cs="Times New Roman"/>
          <w:sz w:val="24"/>
          <w:szCs w:val="24"/>
        </w:rPr>
        <w:t>Республики Казахстан</w:t>
      </w:r>
      <w:r w:rsidRPr="005C53F5">
        <w:rPr>
          <w:rFonts w:ascii="Times New Roman" w:eastAsia="Calibri" w:hAnsi="Times New Roman" w:cs="Times New Roman"/>
          <w:sz w:val="24"/>
          <w:szCs w:val="24"/>
          <w:lang w:eastAsia="x-none"/>
        </w:rPr>
        <w:t xml:space="preserve"> и экономике в целом, а также на обменном курсе тенге. Эти факторы привели к значительным убыткам для банков Республики Казахстан и общей дестабилизации банковского сектора </w:t>
      </w:r>
      <w:r w:rsidRPr="005C53F5">
        <w:rPr>
          <w:rFonts w:ascii="Times New Roman" w:eastAsia="Calibri" w:hAnsi="Times New Roman" w:cs="Times New Roman"/>
          <w:sz w:val="24"/>
          <w:szCs w:val="24"/>
        </w:rPr>
        <w:t>Республики Казахстан</w:t>
      </w:r>
      <w:r w:rsidRPr="005C53F5">
        <w:rPr>
          <w:rFonts w:ascii="Times New Roman" w:eastAsia="Calibri" w:hAnsi="Times New Roman" w:cs="Times New Roman"/>
          <w:sz w:val="24"/>
          <w:szCs w:val="24"/>
          <w:lang w:eastAsia="x-none"/>
        </w:rPr>
        <w:t>. В результате произошло существенное ухудшение кредитного портфеля банков, которое в ряде случаев продолжалось и до 2018 года. В некоторых банках потери были настолько значительными, что это привело к их неплатежеспособности и потребовало принятия мер по урегулированию неплатежеспособности, включая отзыв лицензии и ликвидацию, признание убытков акционерами и некоторыми квалифицированными кредиторами</w:t>
      </w:r>
      <w:r w:rsidR="00851E45" w:rsidRPr="005C53F5">
        <w:rPr>
          <w:rFonts w:ascii="Times New Roman" w:eastAsia="Calibri" w:hAnsi="Times New Roman" w:cs="Times New Roman"/>
          <w:sz w:val="24"/>
          <w:szCs w:val="24"/>
          <w:lang w:eastAsia="x-none"/>
        </w:rPr>
        <w:t xml:space="preserve">, а также </w:t>
      </w:r>
      <w:r w:rsidRPr="005C53F5">
        <w:rPr>
          <w:rFonts w:ascii="Times New Roman" w:eastAsia="Calibri" w:hAnsi="Times New Roman" w:cs="Times New Roman"/>
          <w:sz w:val="24"/>
          <w:szCs w:val="24"/>
          <w:lang w:eastAsia="x-none"/>
        </w:rPr>
        <w:t>мер государственной поддержки. Например, в 2017 году Республика Казахстан внесла в Фонд проблемных кредитов 2,093 млрд тенге. В феврале 2019 года в соответствии с утвержденными НБК и Правительством мерами по повышению финансовой устойчивости АО «Цеснабанк», Фонд проблемных кредитов приобрел у АО «Цеснабанк» портфель сельскохозяйственных кредитов на сумму 604 млрд тенге. Это была вторая покупка обесцененных кредитов АО «Цеснабанк» Фондом проблемных кредитов менее чем за шесть месяцев, последовавшая за аналогичной, но меньшей покупкой в сентябре 2018 года. Казахстан также обеспечил вливание ликвидности в АО «Цеснабанк» и поддержал реструктуризацию его внутренних облигаций.</w:t>
      </w:r>
    </w:p>
    <w:p w14:paraId="32EC249C" w14:textId="13BDF817" w:rsidR="00DB452F" w:rsidRPr="005C53F5" w:rsidRDefault="00CD770C"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Низкое качество активов банков было вызвано не только проблемами среди заемщиков, но и негативной кредитной практикой (кредитование, слабая залоговая политика). </w:t>
      </w:r>
      <w:r w:rsidR="00F51F5A" w:rsidRPr="005C53F5">
        <w:rPr>
          <w:rFonts w:ascii="Times New Roman" w:eastAsia="Calibri" w:hAnsi="Times New Roman" w:cs="Times New Roman"/>
          <w:sz w:val="24"/>
          <w:szCs w:val="24"/>
          <w:lang w:eastAsia="x-none"/>
        </w:rPr>
        <w:t>Существует также риск того, что из-за реструктуризации кредитов текущие кредиты с просрочкой платежей свыше 90 дней (неработающие займы), число которых увеличилось для всей банковской системы Республики Казахстан с 8,1% по состоянию на 1 января 2020 года до 8,4% по состоянию на 1 марта 2020 года, не в полной мере отражают фактическое качество кредитных портфелей банков и что может потребоваться дальнейшая финансовая помощь банковскому сектору со стороны Казахстана, которую он может не захотеть и/или не в состоянии предоставить</w:t>
      </w:r>
      <w:r w:rsidR="00F51F5A" w:rsidRPr="005C53F5" w:rsidDel="00F51F5A">
        <w:rPr>
          <w:rFonts w:ascii="Times New Roman" w:eastAsia="Calibri" w:hAnsi="Times New Roman" w:cs="Times New Roman"/>
          <w:sz w:val="24"/>
          <w:szCs w:val="24"/>
          <w:lang w:eastAsia="x-none"/>
        </w:rPr>
        <w:t xml:space="preserve"> </w:t>
      </w:r>
    </w:p>
    <w:p w14:paraId="7B9F2C45" w14:textId="31777412" w:rsidR="00DB452F" w:rsidRPr="005C53F5" w:rsidRDefault="00DB452F"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Однако в целом в настоящее время ситуация в банковской системе Казахстана является стабильной. Банковский сектор показывает значительный запас собственного капитала и ликвидности для обеспечения непрерывной деятельности и оказания полного перечня банковских услуг. Собственный капитал превышает минимальные нормативные требования в 3 раза. Объем свободной ликвидности составляет порядка 13 трлн тенге или 44% активов. Коэффициент покрытия займов с просрочкой более 90 дней созданными провизиями составил 77%.</w:t>
      </w:r>
    </w:p>
    <w:p w14:paraId="2472440F" w14:textId="4EACA883" w:rsidR="00DB452F" w:rsidRPr="005C53F5" w:rsidRDefault="00DB452F"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Результаты проведенной в 2019 году независимой оценки качества активов банковского сектора (</w:t>
      </w:r>
      <w:r w:rsidR="00851E45" w:rsidRPr="005C53F5">
        <w:rPr>
          <w:rFonts w:ascii="Times New Roman" w:eastAsia="Calibri" w:hAnsi="Times New Roman" w:cs="Times New Roman"/>
          <w:sz w:val="24"/>
          <w:szCs w:val="24"/>
          <w:lang w:eastAsia="x-none"/>
        </w:rPr>
        <w:t>«</w:t>
      </w:r>
      <w:r w:rsidRPr="005C53F5">
        <w:rPr>
          <w:rFonts w:ascii="Times New Roman" w:eastAsia="Calibri" w:hAnsi="Times New Roman" w:cs="Times New Roman"/>
          <w:b/>
          <w:sz w:val="24"/>
          <w:szCs w:val="24"/>
          <w:lang w:eastAsia="x-none"/>
        </w:rPr>
        <w:t>AQR</w:t>
      </w:r>
      <w:r w:rsidR="00851E45" w:rsidRPr="005C53F5">
        <w:rPr>
          <w:rFonts w:ascii="Times New Roman" w:eastAsia="Calibri" w:hAnsi="Times New Roman" w:cs="Times New Roman"/>
          <w:sz w:val="24"/>
          <w:szCs w:val="24"/>
          <w:lang w:eastAsia="x-none"/>
        </w:rPr>
        <w:t>»</w:t>
      </w:r>
      <w:r w:rsidRPr="005C53F5">
        <w:rPr>
          <w:rFonts w:ascii="Times New Roman" w:eastAsia="Calibri" w:hAnsi="Times New Roman" w:cs="Times New Roman"/>
          <w:sz w:val="24"/>
          <w:szCs w:val="24"/>
          <w:lang w:eastAsia="x-none"/>
        </w:rPr>
        <w:t>) подтвердили стабильность банковского сектора (запас капитала по системе в размере 1,5 трлн тенге, что превышает регуляторный минимум на 70%).</w:t>
      </w:r>
    </w:p>
    <w:p w14:paraId="4EA9C9FE" w14:textId="77777777" w:rsidR="00DB452F" w:rsidRPr="005C53F5" w:rsidRDefault="00DB452F"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Даже при высоком уровне консерватизма, заложенного в AQR, результаты оценки с учетом реализованных после 1 апреля 2019 года мер подтвердили отсутствие дефицита капитала как на системном уровне, так и на уровне индивидуальных банков-участников AQR. </w:t>
      </w:r>
    </w:p>
    <w:p w14:paraId="62B6E73E" w14:textId="118929E8" w:rsidR="00DB452F" w:rsidRPr="005C53F5" w:rsidRDefault="00DB452F"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В настоящее время Агентство </w:t>
      </w:r>
      <w:r w:rsidR="00751C13" w:rsidRPr="005C53F5">
        <w:rPr>
          <w:rFonts w:ascii="Times New Roman" w:eastAsia="Calibri" w:hAnsi="Times New Roman" w:cs="Times New Roman"/>
          <w:sz w:val="24"/>
          <w:szCs w:val="24"/>
          <w:lang w:eastAsia="x-none"/>
        </w:rPr>
        <w:t xml:space="preserve">Республики Казахстан по регулированию и развитию финансового рынка (далее – </w:t>
      </w:r>
      <w:r w:rsidR="003A2326" w:rsidRPr="005C53F5">
        <w:rPr>
          <w:rFonts w:ascii="Times New Roman" w:eastAsia="Calibri" w:hAnsi="Times New Roman" w:cs="Times New Roman"/>
          <w:sz w:val="24"/>
          <w:szCs w:val="24"/>
          <w:lang w:eastAsia="x-none"/>
        </w:rPr>
        <w:t>«</w:t>
      </w:r>
      <w:r w:rsidR="00751C13" w:rsidRPr="005C53F5">
        <w:rPr>
          <w:rFonts w:ascii="Times New Roman" w:eastAsia="Calibri" w:hAnsi="Times New Roman" w:cs="Times New Roman"/>
          <w:b/>
          <w:sz w:val="24"/>
          <w:szCs w:val="24"/>
          <w:lang w:eastAsia="x-none"/>
        </w:rPr>
        <w:t>Агентство</w:t>
      </w:r>
      <w:r w:rsidR="003A2326" w:rsidRPr="005C53F5">
        <w:rPr>
          <w:rFonts w:ascii="Times New Roman" w:eastAsia="Calibri" w:hAnsi="Times New Roman" w:cs="Times New Roman"/>
          <w:sz w:val="24"/>
          <w:szCs w:val="24"/>
          <w:lang w:eastAsia="x-none"/>
        </w:rPr>
        <w:t>»</w:t>
      </w:r>
      <w:r w:rsidR="00751C13" w:rsidRPr="005C53F5">
        <w:rPr>
          <w:rFonts w:ascii="Times New Roman" w:eastAsia="Calibri" w:hAnsi="Times New Roman" w:cs="Times New Roman"/>
          <w:sz w:val="24"/>
          <w:szCs w:val="24"/>
          <w:lang w:eastAsia="x-none"/>
        </w:rPr>
        <w:t xml:space="preserve">) </w:t>
      </w:r>
      <w:r w:rsidRPr="005C53F5">
        <w:rPr>
          <w:rFonts w:ascii="Times New Roman" w:eastAsia="Calibri" w:hAnsi="Times New Roman" w:cs="Times New Roman"/>
          <w:sz w:val="24"/>
          <w:szCs w:val="24"/>
          <w:lang w:eastAsia="x-none"/>
        </w:rPr>
        <w:t>завершает работы по согласованию с банками планов корректирующих мер по результатам AQR, которые включают совершенствование действующих бизнес-процессов в соответствии с лучшей международной практикой во всех аспектах деятельности банков.</w:t>
      </w:r>
    </w:p>
    <w:p w14:paraId="1DD22ACA" w14:textId="7CF09BD4" w:rsidR="00DB452F" w:rsidRPr="005C53F5" w:rsidRDefault="00DB452F"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Кроме того, текущая ситуация с пандемией </w:t>
      </w:r>
      <w:r w:rsidR="0057478B" w:rsidRPr="005C53F5">
        <w:rPr>
          <w:rFonts w:ascii="Times New Roman" w:eastAsia="Calibri" w:hAnsi="Times New Roman" w:cs="Times New Roman"/>
          <w:sz w:val="24"/>
          <w:szCs w:val="24"/>
        </w:rPr>
        <w:t xml:space="preserve">коронавируса COVID-19 </w:t>
      </w:r>
      <w:r w:rsidRPr="005C53F5">
        <w:rPr>
          <w:rFonts w:ascii="Times New Roman" w:eastAsia="Calibri" w:hAnsi="Times New Roman" w:cs="Times New Roman"/>
          <w:sz w:val="24"/>
          <w:szCs w:val="24"/>
          <w:lang w:eastAsia="x-none"/>
        </w:rPr>
        <w:t>показала, что требование по дополнительной капитализации со стороны акционеров в короткие сроки (3 месяца) и гарантия Фонда проблемных кредитов для покрытия текущих кредитных рисков в рамках действующей программы повышения финансовой устойчивости были своевременны и оправданы.</w:t>
      </w:r>
    </w:p>
    <w:p w14:paraId="22C04520" w14:textId="35FD005B" w:rsidR="00DB452F" w:rsidRPr="005C53F5" w:rsidRDefault="00DB452F"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Правительством, НБК и Агентством приняты антикризисные меры, направленные на сглаживание негативного эффекта пандемии и внешних экономических шоков на банковскую систему.    </w:t>
      </w:r>
    </w:p>
    <w:p w14:paraId="4528A9E0" w14:textId="50C9787D" w:rsidR="00DB452F" w:rsidRPr="005C53F5" w:rsidRDefault="00DB452F"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Агентство ежедневно осуществляет мониторинг ситуации в банковском секторе в рамках регулярного рабочего процесса, а также с помощью проведения стресс</w:t>
      </w:r>
      <w:r w:rsidR="00851E45" w:rsidRPr="005C53F5">
        <w:rPr>
          <w:rFonts w:ascii="Times New Roman" w:eastAsia="Calibri" w:hAnsi="Times New Roman" w:cs="Times New Roman"/>
          <w:sz w:val="24"/>
          <w:szCs w:val="24"/>
          <w:lang w:eastAsia="x-none"/>
        </w:rPr>
        <w:t>-</w:t>
      </w:r>
      <w:r w:rsidRPr="005C53F5">
        <w:rPr>
          <w:rFonts w:ascii="Times New Roman" w:eastAsia="Calibri" w:hAnsi="Times New Roman" w:cs="Times New Roman"/>
          <w:sz w:val="24"/>
          <w:szCs w:val="24"/>
          <w:lang w:eastAsia="x-none"/>
        </w:rPr>
        <w:t>тестов. Вместе с тем, Агентством подготовлены дополнительные меры, направленные на недопущение снижения уровня кредитования казахстанского бизнеса и снижение давления на капитал и ликвидность банков.</w:t>
      </w:r>
    </w:p>
    <w:p w14:paraId="4409DAA1" w14:textId="77777777" w:rsidR="00DB452F" w:rsidRPr="005C53F5" w:rsidRDefault="00DB452F"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Выработка дальнейших мер по обеспечению финансовой стабильности и принятия вышеуказанных дополнительных мер будут осуществлены с учетом результатов стресс-тестирования банковской системы.</w:t>
      </w:r>
    </w:p>
    <w:p w14:paraId="7F6AEE7A" w14:textId="77777777" w:rsidR="00CD770C" w:rsidRPr="005C53F5" w:rsidRDefault="00CD770C"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В то же время кредиты с низкой доходностью и низким покрытием резервов остаются на балансе банков, что оказывает давление на капитал банков. Недостатки в банковском секторе Республики Казахстан в сочетании с ухудшением состояния портфелей просроченных кредитов, принадлежащих банкам Республики Казахстан, могут привести к тому, что банковский сектор будет более восприимчив к будущим спадам на мировом кредитном рынке и/или замедлению экономического роста, что может оказать существенное негативное влияние на стоимость Облигаций.</w:t>
      </w:r>
    </w:p>
    <w:p w14:paraId="78D4DE1D" w14:textId="77777777" w:rsidR="007D3ECF" w:rsidRPr="005C53F5" w:rsidRDefault="007D3ECF" w:rsidP="00057BE5">
      <w:pPr>
        <w:spacing w:after="0" w:line="240" w:lineRule="auto"/>
        <w:ind w:firstLine="709"/>
        <w:jc w:val="both"/>
        <w:rPr>
          <w:rFonts w:ascii="Times New Roman" w:eastAsia="Calibri" w:hAnsi="Times New Roman" w:cs="Times New Roman"/>
          <w:i/>
          <w:sz w:val="24"/>
          <w:szCs w:val="24"/>
          <w:lang w:eastAsia="x-none"/>
        </w:rPr>
      </w:pPr>
      <w:r w:rsidRPr="005C53F5">
        <w:rPr>
          <w:rFonts w:ascii="Times New Roman" w:eastAsia="Calibri" w:hAnsi="Times New Roman" w:cs="Times New Roman"/>
          <w:i/>
          <w:sz w:val="24"/>
          <w:szCs w:val="24"/>
          <w:lang w:eastAsia="x-none"/>
        </w:rPr>
        <w:t>Высокий уровень концентрации в банковском секторе повышает уровень системного риска</w:t>
      </w:r>
    </w:p>
    <w:p w14:paraId="1959FD8B" w14:textId="0D900439" w:rsidR="007D3ECF" w:rsidRPr="005C53F5" w:rsidRDefault="007D3ECF"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В банковском секторе Казахстана наблюдается высокий уровень концентрации: на долю пяти крупнейших банков приходится 6</w:t>
      </w:r>
      <w:r w:rsidR="009A6C8F" w:rsidRPr="005C53F5">
        <w:rPr>
          <w:rFonts w:ascii="Times New Roman" w:eastAsia="Calibri" w:hAnsi="Times New Roman" w:cs="Times New Roman"/>
          <w:sz w:val="24"/>
          <w:szCs w:val="24"/>
          <w:lang w:eastAsia="x-none"/>
        </w:rPr>
        <w:t>5</w:t>
      </w:r>
      <w:r w:rsidRPr="005C53F5">
        <w:rPr>
          <w:rFonts w:ascii="Times New Roman" w:eastAsia="Calibri" w:hAnsi="Times New Roman" w:cs="Times New Roman"/>
          <w:sz w:val="24"/>
          <w:szCs w:val="24"/>
          <w:lang w:eastAsia="x-none"/>
        </w:rPr>
        <w:t>,</w:t>
      </w:r>
      <w:r w:rsidR="009A6C8F" w:rsidRPr="005C53F5">
        <w:rPr>
          <w:rFonts w:ascii="Times New Roman" w:eastAsia="Calibri" w:hAnsi="Times New Roman" w:cs="Times New Roman"/>
          <w:sz w:val="24"/>
          <w:szCs w:val="24"/>
          <w:lang w:eastAsia="x-none"/>
        </w:rPr>
        <w:t>8</w:t>
      </w:r>
      <w:r w:rsidRPr="005C53F5">
        <w:rPr>
          <w:rFonts w:ascii="Times New Roman" w:eastAsia="Calibri" w:hAnsi="Times New Roman" w:cs="Times New Roman"/>
          <w:sz w:val="24"/>
          <w:szCs w:val="24"/>
          <w:lang w:eastAsia="x-none"/>
        </w:rPr>
        <w:t>% всех депозитов клиентов и 6</w:t>
      </w:r>
      <w:r w:rsidR="009A6C8F" w:rsidRPr="005C53F5">
        <w:rPr>
          <w:rFonts w:ascii="Times New Roman" w:eastAsia="Calibri" w:hAnsi="Times New Roman" w:cs="Times New Roman"/>
          <w:sz w:val="24"/>
          <w:szCs w:val="24"/>
          <w:lang w:eastAsia="x-none"/>
        </w:rPr>
        <w:t>0</w:t>
      </w:r>
      <w:r w:rsidRPr="005C53F5">
        <w:rPr>
          <w:rFonts w:ascii="Times New Roman" w:eastAsia="Calibri" w:hAnsi="Times New Roman" w:cs="Times New Roman"/>
          <w:sz w:val="24"/>
          <w:szCs w:val="24"/>
          <w:lang w:eastAsia="x-none"/>
        </w:rPr>
        <w:t>,</w:t>
      </w:r>
      <w:r w:rsidR="009A6C8F" w:rsidRPr="005C53F5">
        <w:rPr>
          <w:rFonts w:ascii="Times New Roman" w:eastAsia="Calibri" w:hAnsi="Times New Roman" w:cs="Times New Roman"/>
          <w:sz w:val="24"/>
          <w:szCs w:val="24"/>
          <w:lang w:eastAsia="x-none"/>
        </w:rPr>
        <w:t>8</w:t>
      </w:r>
      <w:r w:rsidRPr="005C53F5">
        <w:rPr>
          <w:rFonts w:ascii="Times New Roman" w:eastAsia="Calibri" w:hAnsi="Times New Roman" w:cs="Times New Roman"/>
          <w:sz w:val="24"/>
          <w:szCs w:val="24"/>
          <w:lang w:eastAsia="x-none"/>
        </w:rPr>
        <w:t>% совокупного кредитного портфеля всех казахстанских банков по состоянию на 1</w:t>
      </w:r>
      <w:r w:rsidR="009A6C8F" w:rsidRPr="005C53F5">
        <w:rPr>
          <w:rFonts w:ascii="Times New Roman" w:eastAsia="Calibri" w:hAnsi="Times New Roman" w:cs="Times New Roman"/>
          <w:sz w:val="24"/>
          <w:szCs w:val="24"/>
          <w:lang w:eastAsia="x-none"/>
        </w:rPr>
        <w:t xml:space="preserve"> января</w:t>
      </w:r>
      <w:r w:rsidRPr="005C53F5">
        <w:rPr>
          <w:rFonts w:ascii="Times New Roman" w:eastAsia="Calibri" w:hAnsi="Times New Roman" w:cs="Times New Roman"/>
          <w:sz w:val="24"/>
          <w:szCs w:val="24"/>
          <w:lang w:eastAsia="x-none"/>
        </w:rPr>
        <w:t xml:space="preserve"> 20</w:t>
      </w:r>
      <w:r w:rsidR="009A6C8F" w:rsidRPr="005C53F5">
        <w:rPr>
          <w:rFonts w:ascii="Times New Roman" w:eastAsia="Calibri" w:hAnsi="Times New Roman" w:cs="Times New Roman"/>
          <w:sz w:val="24"/>
          <w:szCs w:val="24"/>
          <w:lang w:eastAsia="x-none"/>
        </w:rPr>
        <w:t>20</w:t>
      </w:r>
      <w:r w:rsidRPr="005C53F5">
        <w:rPr>
          <w:rFonts w:ascii="Times New Roman" w:eastAsia="Calibri" w:hAnsi="Times New Roman" w:cs="Times New Roman"/>
          <w:sz w:val="24"/>
          <w:szCs w:val="24"/>
          <w:lang w:eastAsia="x-none"/>
        </w:rPr>
        <w:t xml:space="preserve"> года. Кроме того, </w:t>
      </w:r>
      <w:r w:rsidR="009A6C8F" w:rsidRPr="005C53F5">
        <w:rPr>
          <w:rFonts w:ascii="Times New Roman" w:eastAsia="Calibri" w:hAnsi="Times New Roman" w:cs="Times New Roman"/>
          <w:sz w:val="24"/>
          <w:szCs w:val="24"/>
          <w:lang w:eastAsia="x-none"/>
        </w:rPr>
        <w:t xml:space="preserve">доли кредитов с просрочкой платежей свыше 90 дней </w:t>
      </w:r>
      <w:r w:rsidRPr="005C53F5">
        <w:rPr>
          <w:rFonts w:ascii="Times New Roman" w:eastAsia="Calibri" w:hAnsi="Times New Roman" w:cs="Times New Roman"/>
          <w:sz w:val="24"/>
          <w:szCs w:val="24"/>
          <w:lang w:eastAsia="x-none"/>
        </w:rPr>
        <w:t>трех крупнейших казахстанских банков из пяти – АО «Народный банк Казахстана», АО «</w:t>
      </w:r>
      <w:r w:rsidRPr="005C53F5">
        <w:rPr>
          <w:rFonts w:ascii="Times New Roman" w:eastAsia="Calibri" w:hAnsi="Times New Roman" w:cs="Times New Roman"/>
          <w:sz w:val="24"/>
          <w:szCs w:val="24"/>
          <w:lang w:val="en-US" w:eastAsia="x-none"/>
        </w:rPr>
        <w:t>ForteBank</w:t>
      </w:r>
      <w:r w:rsidRPr="005C53F5">
        <w:rPr>
          <w:rFonts w:ascii="Times New Roman" w:eastAsia="Calibri" w:hAnsi="Times New Roman" w:cs="Times New Roman"/>
          <w:sz w:val="24"/>
          <w:szCs w:val="24"/>
          <w:lang w:eastAsia="x-none"/>
        </w:rPr>
        <w:t>» и АО «ДБ Сбербанк» – составили 2</w:t>
      </w:r>
      <w:r w:rsidR="009A6C8F" w:rsidRPr="005C53F5">
        <w:rPr>
          <w:rFonts w:ascii="Times New Roman" w:eastAsia="Calibri" w:hAnsi="Times New Roman" w:cs="Times New Roman"/>
          <w:sz w:val="24"/>
          <w:szCs w:val="24"/>
          <w:lang w:eastAsia="x-none"/>
        </w:rPr>
        <w:t>5</w:t>
      </w:r>
      <w:r w:rsidRPr="005C53F5">
        <w:rPr>
          <w:rFonts w:ascii="Times New Roman" w:eastAsia="Calibri" w:hAnsi="Times New Roman" w:cs="Times New Roman"/>
          <w:sz w:val="24"/>
          <w:szCs w:val="24"/>
          <w:lang w:eastAsia="x-none"/>
        </w:rPr>
        <w:t>,</w:t>
      </w:r>
      <w:r w:rsidR="009A6C8F" w:rsidRPr="005C53F5">
        <w:rPr>
          <w:rFonts w:ascii="Times New Roman" w:eastAsia="Calibri" w:hAnsi="Times New Roman" w:cs="Times New Roman"/>
          <w:sz w:val="24"/>
          <w:szCs w:val="24"/>
          <w:lang w:eastAsia="x-none"/>
        </w:rPr>
        <w:t>99</w:t>
      </w:r>
      <w:r w:rsidRPr="005C53F5">
        <w:rPr>
          <w:rFonts w:ascii="Times New Roman" w:eastAsia="Calibri" w:hAnsi="Times New Roman" w:cs="Times New Roman"/>
          <w:sz w:val="24"/>
          <w:szCs w:val="24"/>
          <w:lang w:eastAsia="x-none"/>
        </w:rPr>
        <w:t>%, 3,</w:t>
      </w:r>
      <w:r w:rsidR="009A6C8F" w:rsidRPr="005C53F5">
        <w:rPr>
          <w:rFonts w:ascii="Times New Roman" w:eastAsia="Calibri" w:hAnsi="Times New Roman" w:cs="Times New Roman"/>
          <w:sz w:val="24"/>
          <w:szCs w:val="24"/>
          <w:lang w:eastAsia="x-none"/>
        </w:rPr>
        <w:t>76</w:t>
      </w:r>
      <w:r w:rsidRPr="005C53F5">
        <w:rPr>
          <w:rFonts w:ascii="Times New Roman" w:eastAsia="Calibri" w:hAnsi="Times New Roman" w:cs="Times New Roman"/>
          <w:sz w:val="24"/>
          <w:szCs w:val="24"/>
          <w:lang w:eastAsia="x-none"/>
        </w:rPr>
        <w:t xml:space="preserve">% и </w:t>
      </w:r>
      <w:r w:rsidR="009A6C8F" w:rsidRPr="005C53F5">
        <w:rPr>
          <w:rFonts w:ascii="Times New Roman" w:eastAsia="Calibri" w:hAnsi="Times New Roman" w:cs="Times New Roman"/>
          <w:sz w:val="24"/>
          <w:szCs w:val="24"/>
          <w:lang w:eastAsia="x-none"/>
        </w:rPr>
        <w:t>5</w:t>
      </w:r>
      <w:r w:rsidRPr="005C53F5">
        <w:rPr>
          <w:rFonts w:ascii="Times New Roman" w:eastAsia="Calibri" w:hAnsi="Times New Roman" w:cs="Times New Roman"/>
          <w:sz w:val="24"/>
          <w:szCs w:val="24"/>
          <w:lang w:eastAsia="x-none"/>
        </w:rPr>
        <w:t>,</w:t>
      </w:r>
      <w:r w:rsidR="009A6C8F" w:rsidRPr="005C53F5">
        <w:rPr>
          <w:rFonts w:ascii="Times New Roman" w:eastAsia="Calibri" w:hAnsi="Times New Roman" w:cs="Times New Roman"/>
          <w:sz w:val="24"/>
          <w:szCs w:val="24"/>
          <w:lang w:eastAsia="x-none"/>
        </w:rPr>
        <w:t>82</w:t>
      </w:r>
      <w:r w:rsidRPr="005C53F5">
        <w:rPr>
          <w:rFonts w:ascii="Times New Roman" w:eastAsia="Calibri" w:hAnsi="Times New Roman" w:cs="Times New Roman"/>
          <w:sz w:val="24"/>
          <w:szCs w:val="24"/>
          <w:lang w:eastAsia="x-none"/>
        </w:rPr>
        <w:t xml:space="preserve">% соответственно от общего объема неработающих кредитов всех казахстанских банков по состоянию на </w:t>
      </w:r>
      <w:r w:rsidR="009A6C8F" w:rsidRPr="005C53F5">
        <w:rPr>
          <w:rFonts w:ascii="Times New Roman" w:eastAsia="Calibri" w:hAnsi="Times New Roman" w:cs="Times New Roman"/>
          <w:sz w:val="24"/>
          <w:szCs w:val="24"/>
          <w:lang w:eastAsia="x-none"/>
        </w:rPr>
        <w:t>1 января</w:t>
      </w:r>
      <w:r w:rsidRPr="005C53F5">
        <w:rPr>
          <w:rFonts w:ascii="Times New Roman" w:eastAsia="Calibri" w:hAnsi="Times New Roman" w:cs="Times New Roman"/>
          <w:sz w:val="24"/>
          <w:szCs w:val="24"/>
          <w:lang w:eastAsia="x-none"/>
        </w:rPr>
        <w:t xml:space="preserve"> 20</w:t>
      </w:r>
      <w:r w:rsidR="009A6C8F" w:rsidRPr="005C53F5">
        <w:rPr>
          <w:rFonts w:ascii="Times New Roman" w:eastAsia="Calibri" w:hAnsi="Times New Roman" w:cs="Times New Roman"/>
          <w:sz w:val="24"/>
          <w:szCs w:val="24"/>
          <w:lang w:eastAsia="x-none"/>
        </w:rPr>
        <w:t>20</w:t>
      </w:r>
      <w:r w:rsidRPr="005C53F5">
        <w:rPr>
          <w:rFonts w:ascii="Times New Roman" w:eastAsia="Calibri" w:hAnsi="Times New Roman" w:cs="Times New Roman"/>
          <w:sz w:val="24"/>
          <w:szCs w:val="24"/>
          <w:lang w:eastAsia="x-none"/>
        </w:rPr>
        <w:t xml:space="preserve"> года. Несмотря на то что уже были приняты определённые меры по устранению и снижению системного риска, такие меры продолжают приниматься, и сохраняется риск того, что могут потребоваться дальнейшие реформы, последствия которых не являются очевидными.</w:t>
      </w:r>
    </w:p>
    <w:p w14:paraId="2C606C7A" w14:textId="77777777" w:rsidR="007D3ECF" w:rsidRPr="005C53F5" w:rsidRDefault="007D3ECF" w:rsidP="00057BE5">
      <w:pPr>
        <w:pStyle w:val="ConsPlusNormal"/>
        <w:ind w:firstLine="709"/>
        <w:jc w:val="both"/>
        <w:rPr>
          <w:rFonts w:ascii="Times New Roman" w:hAnsi="Times New Roman" w:cs="Times New Roman"/>
          <w:i/>
          <w:sz w:val="24"/>
          <w:szCs w:val="24"/>
        </w:rPr>
      </w:pPr>
      <w:r w:rsidRPr="005C53F5">
        <w:rPr>
          <w:rFonts w:ascii="Times New Roman" w:hAnsi="Times New Roman" w:cs="Times New Roman"/>
          <w:i/>
          <w:sz w:val="24"/>
          <w:szCs w:val="24"/>
        </w:rPr>
        <w:t xml:space="preserve">Санкции, наложенные на некоторых российских и украинских физических и юридических лиц, могут оказать косвенное неблагоприятное влияние на экономику </w:t>
      </w:r>
      <w:r w:rsidRPr="005C53F5">
        <w:rPr>
          <w:rFonts w:ascii="Times New Roman" w:eastAsia="Calibri" w:hAnsi="Times New Roman" w:cs="Times New Roman"/>
          <w:i/>
          <w:sz w:val="24"/>
          <w:szCs w:val="24"/>
        </w:rPr>
        <w:t>Казахстана</w:t>
      </w:r>
    </w:p>
    <w:p w14:paraId="0A2E59E4" w14:textId="72EEFF24" w:rsidR="007D3ECF" w:rsidRPr="005C53F5" w:rsidRDefault="007D3ECF"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США и ЕС (равно как и другие страны, такие как Австралия, Канада, Япония и Швейцария) ввели санкции на российских и украинских физических и юридических лиц в связи с продолжающимся конфликтом на Украине, включая санкции, наложенные США и ЕС 12 сентября 2014. Эти санкции были расширены в рамках закона США «О противодействии противникам Америки посредством санкций» от 2 августа 2017 года, а также рядом директив, выпущенных в силу этого закона и в соответствии с ранее действовавшим законодательством о санкциях в третьем квартале 2017 года и второй половине 2018 года, которые нацелены на отдельных физических и юридических лиц. В соответствии с Законом о контроле над химическим и биологическим оружием 1991 года («</w:t>
      </w:r>
      <w:r w:rsidRPr="005C53F5">
        <w:rPr>
          <w:rFonts w:ascii="Times New Roman" w:eastAsia="Calibri" w:hAnsi="Times New Roman" w:cs="Times New Roman"/>
          <w:b/>
          <w:sz w:val="24"/>
          <w:szCs w:val="24"/>
        </w:rPr>
        <w:t>Закон о ХБО</w:t>
      </w:r>
      <w:r w:rsidRPr="005C53F5">
        <w:rPr>
          <w:rFonts w:ascii="Times New Roman" w:eastAsia="Calibri" w:hAnsi="Times New Roman" w:cs="Times New Roman"/>
          <w:sz w:val="24"/>
          <w:szCs w:val="24"/>
        </w:rPr>
        <w:t>») от 6 августа 2018 года США определили, что российское правительство использовало химическое или биологическое оружие вопреки международному праву, и на основании этого были введены определенного рода санкции, которые включают отказ в экспорте и реэкспорте в Россию товаров и технологий, контролируемых по соображениям национальной безопасности. В августе 2019, США наложил</w:t>
      </w:r>
      <w:r w:rsidR="00851E45" w:rsidRPr="005C53F5">
        <w:rPr>
          <w:rFonts w:ascii="Times New Roman" w:eastAsia="Calibri" w:hAnsi="Times New Roman" w:cs="Times New Roman"/>
          <w:sz w:val="24"/>
          <w:szCs w:val="24"/>
        </w:rPr>
        <w:t>и</w:t>
      </w:r>
      <w:r w:rsidRPr="005C53F5">
        <w:rPr>
          <w:rFonts w:ascii="Times New Roman" w:eastAsia="Calibri" w:hAnsi="Times New Roman" w:cs="Times New Roman"/>
          <w:sz w:val="24"/>
          <w:szCs w:val="24"/>
        </w:rPr>
        <w:t xml:space="preserve"> вторую волну санкций в соответствии с Законом о ХБО, включая запрет американских банкам участвовать на первичном рынке облигаций, номинированных в валюте, отличной от рубля, выпущенных российским суверенным государством, и давать взаймы средства в валюте, отличной от рубля, российскому суверенному государству. Вторая волна санкций в соответствии с </w:t>
      </w:r>
      <w:r w:rsidR="00851E45" w:rsidRPr="005C53F5">
        <w:rPr>
          <w:rFonts w:ascii="Times New Roman" w:eastAsia="Calibri" w:hAnsi="Times New Roman" w:cs="Times New Roman"/>
          <w:sz w:val="24"/>
          <w:szCs w:val="24"/>
        </w:rPr>
        <w:t>З</w:t>
      </w:r>
      <w:r w:rsidRPr="005C53F5">
        <w:rPr>
          <w:rFonts w:ascii="Times New Roman" w:eastAsia="Calibri" w:hAnsi="Times New Roman" w:cs="Times New Roman"/>
          <w:sz w:val="24"/>
          <w:szCs w:val="24"/>
        </w:rPr>
        <w:t>аконом о ХБО также предусматривает презумпцию отказа, при условии определенных оговорок, по заявкам о выдаче лицензий на экспорт товаров двойного назначения, которые контролируются Министерством торговли США по причинам распространения биологического и химического оружия. Также в соответствии с выше</w:t>
      </w:r>
      <w:r w:rsidR="00851E45" w:rsidRPr="005C53F5">
        <w:rPr>
          <w:rFonts w:ascii="Times New Roman" w:eastAsia="Calibri" w:hAnsi="Times New Roman" w:cs="Times New Roman"/>
          <w:sz w:val="24"/>
          <w:szCs w:val="24"/>
        </w:rPr>
        <w:t>у</w:t>
      </w:r>
      <w:r w:rsidRPr="005C53F5">
        <w:rPr>
          <w:rFonts w:ascii="Times New Roman" w:eastAsia="Calibri" w:hAnsi="Times New Roman" w:cs="Times New Roman"/>
          <w:sz w:val="24"/>
          <w:szCs w:val="24"/>
        </w:rPr>
        <w:t xml:space="preserve">казанными </w:t>
      </w:r>
      <w:r w:rsidR="00BD152D" w:rsidRPr="005C53F5">
        <w:rPr>
          <w:rFonts w:ascii="Times New Roman" w:eastAsia="Calibri" w:hAnsi="Times New Roman" w:cs="Times New Roman"/>
          <w:sz w:val="24"/>
          <w:szCs w:val="24"/>
        </w:rPr>
        <w:t xml:space="preserve">законами </w:t>
      </w:r>
      <w:r w:rsidRPr="005C53F5">
        <w:rPr>
          <w:rFonts w:ascii="Times New Roman" w:eastAsia="Calibri" w:hAnsi="Times New Roman" w:cs="Times New Roman"/>
          <w:sz w:val="24"/>
          <w:szCs w:val="24"/>
        </w:rPr>
        <w:t xml:space="preserve">США </w:t>
      </w:r>
      <w:r w:rsidR="00904718" w:rsidRPr="005C53F5">
        <w:rPr>
          <w:rFonts w:ascii="Times New Roman" w:eastAsia="Calibri" w:hAnsi="Times New Roman" w:cs="Times New Roman"/>
          <w:sz w:val="24"/>
          <w:szCs w:val="24"/>
        </w:rPr>
        <w:t xml:space="preserve">должны </w:t>
      </w:r>
      <w:r w:rsidRPr="005C53F5">
        <w:rPr>
          <w:rFonts w:ascii="Times New Roman" w:eastAsia="Calibri" w:hAnsi="Times New Roman" w:cs="Times New Roman"/>
          <w:sz w:val="24"/>
          <w:szCs w:val="24"/>
        </w:rPr>
        <w:t>выдвигать возражения против получения Россией займа, финансовой или технической помощи со стороны международных финансовых организаций, таких как Всемирный Банк и МФВ.</w:t>
      </w:r>
    </w:p>
    <w:p w14:paraId="2F3B43F0" w14:textId="5C671C73" w:rsidR="007D3ECF" w:rsidRPr="005C53F5" w:rsidRDefault="007D3ECF"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Россия является одним из основных торговых партнёров Казахстана. Кроме того, у этих двух стран наблюдается много схожих черт в структуре экономики, а точнее в их зависимости от экспорта сырья. Также стоит отметить, что между Россией и Казахстаном имеют место быть длительные политические, экономические, коммерческие и культурные отношения. Поэтому, при принятии решений касательно денежно-кредитной политики НБК принимает во внимание действия со стороны Банка России по проведению валютной политики и политики по регулированию ключевой ставки. </w:t>
      </w:r>
      <w:r w:rsidR="00904718" w:rsidRPr="005C53F5">
        <w:rPr>
          <w:rFonts w:ascii="Times New Roman" w:eastAsia="Calibri" w:hAnsi="Times New Roman" w:cs="Times New Roman"/>
          <w:sz w:val="24"/>
          <w:szCs w:val="24"/>
        </w:rPr>
        <w:t>С учетом данных факторов</w:t>
      </w:r>
      <w:r w:rsidRPr="005C53F5">
        <w:rPr>
          <w:rFonts w:ascii="Times New Roman" w:eastAsia="Calibri" w:hAnsi="Times New Roman" w:cs="Times New Roman"/>
          <w:sz w:val="24"/>
          <w:szCs w:val="24"/>
        </w:rPr>
        <w:t xml:space="preserve"> экономическая ситуация и политические меры, предпринимаемые Россией, включая денежно-кредитную политику Банка России, оказывают воздействие на экономику Казахстана.</w:t>
      </w:r>
    </w:p>
    <w:p w14:paraId="0FAA2C4D" w14:textId="77777777" w:rsidR="007D3ECF" w:rsidRPr="005C53F5" w:rsidRDefault="007D3ECF"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Санкции, введенные против России и действующие до сих пор, негативно влияют на экономику России, побуждая пересматривать кредитные рейтинги Российской Федерации и ряда российских компаний, находящихся под полным контролем со стороны государства, в сторону понижения, что приводит к оттоку капитала из России и перекрывает доступ российских эмитентов на мировой долговой рынок. Учитывая санкции, введенные в 2018 и 2019 годах, мала вероятность, что ситуация улучшится в ближайшем будущем.</w:t>
      </w:r>
    </w:p>
    <w:p w14:paraId="0E723ED9" w14:textId="55BF09A1" w:rsidR="007D3ECF" w:rsidRPr="005C53F5" w:rsidRDefault="007D3ECF"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связи с тем, что Россия является основным торговым партнером Казахстана и эта страна входит в </w:t>
      </w:r>
      <w:r w:rsidR="00851E45" w:rsidRPr="005C53F5">
        <w:rPr>
          <w:rFonts w:ascii="Times New Roman" w:eastAsia="Calibri" w:hAnsi="Times New Roman" w:cs="Times New Roman"/>
          <w:sz w:val="24"/>
          <w:szCs w:val="24"/>
        </w:rPr>
        <w:t>ЕАЭС</w:t>
      </w:r>
      <w:r w:rsidRPr="005C53F5">
        <w:rPr>
          <w:rFonts w:ascii="Times New Roman" w:eastAsia="Calibri" w:hAnsi="Times New Roman" w:cs="Times New Roman"/>
          <w:sz w:val="24"/>
          <w:szCs w:val="24"/>
        </w:rPr>
        <w:t xml:space="preserve">, дальнейшие геополитические события, в которых фигурирует Россия, могут повлиять на экономику Казахстана. Таким образом, волатильность на российских рынках, возникшая по причине санкций, также воздействует на Казахстан. Факторы, оказывающие влияние на российский рубль, </w:t>
      </w:r>
      <w:r w:rsidR="00904718" w:rsidRPr="005C53F5">
        <w:rPr>
          <w:rFonts w:ascii="Times New Roman" w:eastAsia="Calibri" w:hAnsi="Times New Roman" w:cs="Times New Roman"/>
          <w:sz w:val="24"/>
          <w:szCs w:val="24"/>
        </w:rPr>
        <w:t>могут повлиять</w:t>
      </w:r>
      <w:r w:rsidRPr="005C53F5">
        <w:rPr>
          <w:rFonts w:ascii="Times New Roman" w:eastAsia="Calibri" w:hAnsi="Times New Roman" w:cs="Times New Roman"/>
          <w:sz w:val="24"/>
          <w:szCs w:val="24"/>
        </w:rPr>
        <w:t xml:space="preserve"> и на обменный курс тенге. Значительная девальвация тенге по отношению к доллару в 2018 </w:t>
      </w:r>
      <w:r w:rsidR="00904718" w:rsidRPr="005C53F5">
        <w:rPr>
          <w:rFonts w:ascii="Times New Roman" w:eastAsia="Calibri" w:hAnsi="Times New Roman" w:cs="Times New Roman"/>
          <w:sz w:val="24"/>
          <w:szCs w:val="24"/>
        </w:rPr>
        <w:t>имела место</w:t>
      </w:r>
      <w:r w:rsidRPr="005C53F5">
        <w:rPr>
          <w:rFonts w:ascii="Times New Roman" w:eastAsia="Calibri" w:hAnsi="Times New Roman" w:cs="Times New Roman"/>
          <w:sz w:val="24"/>
          <w:szCs w:val="24"/>
        </w:rPr>
        <w:t xml:space="preserve">, как минимум, по причине девальвации российского рубля в тот же период. Возможные дальнейшие действия со стороны США или других стран в отношении России могут негативно сказаться на её финансовых рынках, что </w:t>
      </w:r>
      <w:r w:rsidR="00904718" w:rsidRPr="005C53F5">
        <w:rPr>
          <w:rFonts w:ascii="Times New Roman" w:eastAsia="Calibri" w:hAnsi="Times New Roman" w:cs="Times New Roman"/>
          <w:sz w:val="24"/>
          <w:szCs w:val="24"/>
        </w:rPr>
        <w:t xml:space="preserve">может привести </w:t>
      </w:r>
      <w:r w:rsidRPr="005C53F5">
        <w:rPr>
          <w:rFonts w:ascii="Times New Roman" w:eastAsia="Calibri" w:hAnsi="Times New Roman" w:cs="Times New Roman"/>
          <w:sz w:val="24"/>
          <w:szCs w:val="24"/>
        </w:rPr>
        <w:t xml:space="preserve">к </w:t>
      </w:r>
      <w:r w:rsidR="00904718" w:rsidRPr="005C53F5">
        <w:rPr>
          <w:rFonts w:ascii="Times New Roman" w:eastAsia="Calibri" w:hAnsi="Times New Roman" w:cs="Times New Roman"/>
          <w:sz w:val="24"/>
          <w:szCs w:val="24"/>
        </w:rPr>
        <w:t xml:space="preserve">определенной </w:t>
      </w:r>
      <w:r w:rsidRPr="005C53F5">
        <w:rPr>
          <w:rFonts w:ascii="Times New Roman" w:eastAsia="Calibri" w:hAnsi="Times New Roman" w:cs="Times New Roman"/>
          <w:sz w:val="24"/>
          <w:szCs w:val="24"/>
        </w:rPr>
        <w:t xml:space="preserve">волатильности тенге. Тем не менее самым важным фактором, влияющим на курс тенге, остается состояние рынка нефти. </w:t>
      </w:r>
      <w:r w:rsidR="00904718" w:rsidRPr="005C53F5">
        <w:rPr>
          <w:rFonts w:ascii="Times New Roman" w:eastAsia="Calibri" w:hAnsi="Times New Roman" w:cs="Times New Roman"/>
          <w:sz w:val="24"/>
          <w:szCs w:val="24"/>
        </w:rPr>
        <w:t>Кроме того</w:t>
      </w:r>
      <w:r w:rsidRPr="005C53F5">
        <w:rPr>
          <w:rFonts w:ascii="Times New Roman" w:eastAsia="Calibri" w:hAnsi="Times New Roman" w:cs="Times New Roman"/>
          <w:sz w:val="24"/>
          <w:szCs w:val="24"/>
        </w:rPr>
        <w:t>, возможное расширение санкций со сторон США и ЕС в будущем, которые отрицательно повлияют на операции или финансы российский финансовых институтов, присутствующих на казахстанском рынке, может отразиться на возможности таких финансовых институтов предоставлять финансовые и торговые услуги своим клиентам в Казахстане.</w:t>
      </w:r>
    </w:p>
    <w:p w14:paraId="4FE1B923" w14:textId="1E5CB28D" w:rsidR="007D3ECF" w:rsidRPr="005C53F5" w:rsidRDefault="007D3ECF" w:rsidP="00057BE5">
      <w:pPr>
        <w:spacing w:after="0" w:line="240" w:lineRule="auto"/>
        <w:ind w:firstLine="709"/>
        <w:jc w:val="both"/>
        <w:rPr>
          <w:rFonts w:ascii="Times New Roman" w:hAnsi="Times New Roman" w:cs="Times New Roman"/>
          <w:sz w:val="24"/>
          <w:szCs w:val="24"/>
        </w:rPr>
      </w:pPr>
      <w:r w:rsidRPr="005C53F5">
        <w:rPr>
          <w:rFonts w:ascii="Times New Roman" w:eastAsia="Calibri" w:hAnsi="Times New Roman" w:cs="Times New Roman"/>
          <w:sz w:val="24"/>
          <w:szCs w:val="24"/>
        </w:rPr>
        <w:t xml:space="preserve">Казахстан имеет существенные политические и экономические связи с Россией, </w:t>
      </w:r>
      <w:r w:rsidR="00851E45" w:rsidRPr="005C53F5">
        <w:rPr>
          <w:rFonts w:ascii="Times New Roman" w:eastAsia="Calibri" w:hAnsi="Times New Roman" w:cs="Times New Roman"/>
          <w:sz w:val="24"/>
          <w:szCs w:val="24"/>
        </w:rPr>
        <w:t xml:space="preserve">и, </w:t>
      </w:r>
      <w:r w:rsidRPr="005C53F5">
        <w:rPr>
          <w:rFonts w:ascii="Times New Roman" w:eastAsia="Calibri" w:hAnsi="Times New Roman" w:cs="Times New Roman"/>
          <w:sz w:val="24"/>
          <w:szCs w:val="24"/>
        </w:rPr>
        <w:t xml:space="preserve">несмотря на то, что </w:t>
      </w:r>
      <w:r w:rsidR="00851E45" w:rsidRPr="005C53F5">
        <w:rPr>
          <w:rFonts w:ascii="Times New Roman" w:eastAsia="Calibri" w:hAnsi="Times New Roman" w:cs="Times New Roman"/>
          <w:sz w:val="24"/>
          <w:szCs w:val="24"/>
        </w:rPr>
        <w:t>Казахстан</w:t>
      </w:r>
      <w:r w:rsidRPr="005C53F5">
        <w:rPr>
          <w:rFonts w:ascii="Times New Roman" w:eastAsia="Calibri" w:hAnsi="Times New Roman" w:cs="Times New Roman"/>
          <w:sz w:val="24"/>
          <w:szCs w:val="24"/>
        </w:rPr>
        <w:t xml:space="preserve"> поддерживает устойчивые независимые дипломатические связи с Россией и Украиной</w:t>
      </w:r>
      <w:r w:rsidR="00851E45"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 xml:space="preserve">сохраняет нейтралитет касательно противоречий между ними. </w:t>
      </w:r>
      <w:r w:rsidRPr="005C53F5">
        <w:rPr>
          <w:rFonts w:ascii="Times New Roman" w:hAnsi="Times New Roman" w:cs="Times New Roman"/>
          <w:sz w:val="24"/>
          <w:szCs w:val="24"/>
        </w:rPr>
        <w:t xml:space="preserve">Россия и Казахстан вместе с Беларусью являются членами Таможенного союза и Единого экономического пространства и создали ЕАЭС 1 января 2015 года. Несмотря на то, что создание ЕАЭС не должно оказать непосредственного существенного влияния на отношения Казахстана с Россией, так как ЕАЭС по сути является продолжением Таможенного союза и Единого экономического пространства, существующих с 1 января 2010 года и 1 января 2012 года соответственно, ожидается, что создание и функционирование ЕАЭС будет способствовать укреплению экономических отношений Казахстана с Россией. </w:t>
      </w:r>
      <w:r w:rsidRPr="005C53F5">
        <w:rPr>
          <w:rFonts w:ascii="Times New Roman" w:eastAsia="Calibri" w:hAnsi="Times New Roman" w:cs="Times New Roman"/>
          <w:sz w:val="24"/>
          <w:szCs w:val="24"/>
        </w:rPr>
        <w:t>За 2018</w:t>
      </w:r>
      <w:r w:rsidR="00CA5761" w:rsidRPr="005C53F5">
        <w:rPr>
          <w:rFonts w:ascii="Times New Roman" w:eastAsia="Calibri" w:hAnsi="Times New Roman" w:cs="Times New Roman"/>
          <w:sz w:val="24"/>
          <w:szCs w:val="24"/>
        </w:rPr>
        <w:t xml:space="preserve"> год</w:t>
      </w:r>
      <w:r w:rsidRPr="005C53F5">
        <w:rPr>
          <w:rFonts w:ascii="Times New Roman" w:eastAsia="Calibri" w:hAnsi="Times New Roman" w:cs="Times New Roman"/>
          <w:sz w:val="24"/>
          <w:szCs w:val="24"/>
        </w:rPr>
        <w:t>, согласно данным официальной статистики внешней торговли, импорт Казахстана из России составлял 39,</w:t>
      </w:r>
      <w:r w:rsidR="00CA5761" w:rsidRPr="005C53F5">
        <w:rPr>
          <w:rFonts w:ascii="Times New Roman" w:eastAsia="Calibri" w:hAnsi="Times New Roman" w:cs="Times New Roman"/>
          <w:sz w:val="24"/>
          <w:szCs w:val="24"/>
        </w:rPr>
        <w:t>3</w:t>
      </w:r>
      <w:r w:rsidRPr="005C53F5">
        <w:rPr>
          <w:rFonts w:ascii="Times New Roman" w:eastAsia="Calibri" w:hAnsi="Times New Roman" w:cs="Times New Roman"/>
          <w:sz w:val="24"/>
          <w:szCs w:val="24"/>
        </w:rPr>
        <w:t>% в объёме всего импорта, а его экспорт в Россию составил 8,</w:t>
      </w:r>
      <w:r w:rsidR="00CA5761" w:rsidRPr="005C53F5">
        <w:rPr>
          <w:rFonts w:ascii="Times New Roman" w:eastAsia="Calibri" w:hAnsi="Times New Roman" w:cs="Times New Roman"/>
          <w:sz w:val="24"/>
          <w:szCs w:val="24"/>
        </w:rPr>
        <w:t>6</w:t>
      </w:r>
      <w:r w:rsidRPr="005C53F5">
        <w:rPr>
          <w:rFonts w:ascii="Times New Roman" w:eastAsia="Calibri" w:hAnsi="Times New Roman" w:cs="Times New Roman"/>
          <w:sz w:val="24"/>
          <w:szCs w:val="24"/>
        </w:rPr>
        <w:t xml:space="preserve">% в объёме всего экспорта в сравнении с показателями за </w:t>
      </w:r>
      <w:r w:rsidR="00CA5761" w:rsidRPr="005C53F5">
        <w:rPr>
          <w:rFonts w:ascii="Times New Roman" w:eastAsia="Calibri" w:hAnsi="Times New Roman" w:cs="Times New Roman"/>
          <w:sz w:val="24"/>
          <w:szCs w:val="24"/>
          <w:lang w:val="kk-KZ"/>
        </w:rPr>
        <w:t>январь-декабрь</w:t>
      </w:r>
      <w:r w:rsidR="00CA5761" w:rsidRPr="005C53F5">
        <w:rPr>
          <w:rFonts w:ascii="Times New Roman" w:hAnsi="Times New Roman"/>
          <w:sz w:val="24"/>
          <w:lang w:val="kk-KZ"/>
        </w:rPr>
        <w:t xml:space="preserve"> </w:t>
      </w:r>
      <w:r w:rsidRPr="005C53F5">
        <w:rPr>
          <w:rFonts w:ascii="Times New Roman" w:eastAsia="Calibri" w:hAnsi="Times New Roman" w:cs="Times New Roman"/>
          <w:sz w:val="24"/>
          <w:szCs w:val="24"/>
        </w:rPr>
        <w:t>2019</w:t>
      </w:r>
      <w:r w:rsidR="00E915A5" w:rsidRPr="005C53F5">
        <w:rPr>
          <w:rFonts w:ascii="Times New Roman" w:eastAsia="Calibri" w:hAnsi="Times New Roman" w:cs="Times New Roman"/>
          <w:sz w:val="24"/>
          <w:szCs w:val="24"/>
        </w:rPr>
        <w:t>, когда</w:t>
      </w:r>
      <w:r w:rsidRPr="005C53F5">
        <w:rPr>
          <w:rFonts w:ascii="Times New Roman" w:eastAsia="Calibri" w:hAnsi="Times New Roman" w:cs="Times New Roman"/>
          <w:sz w:val="24"/>
          <w:szCs w:val="24"/>
        </w:rPr>
        <w:t xml:space="preserve"> импорт из России составил 3</w:t>
      </w:r>
      <w:r w:rsidR="00CA5761" w:rsidRPr="005C53F5">
        <w:rPr>
          <w:rFonts w:ascii="Times New Roman" w:eastAsia="Calibri" w:hAnsi="Times New Roman" w:cs="Times New Roman"/>
          <w:sz w:val="24"/>
          <w:szCs w:val="24"/>
        </w:rPr>
        <w:t>6,7</w:t>
      </w:r>
      <w:r w:rsidRPr="005C53F5">
        <w:rPr>
          <w:rFonts w:ascii="Times New Roman" w:eastAsia="Calibri" w:hAnsi="Times New Roman" w:cs="Times New Roman"/>
          <w:sz w:val="24"/>
          <w:szCs w:val="24"/>
        </w:rPr>
        <w:t>%, а экспорт в Россию 9,</w:t>
      </w:r>
      <w:r w:rsidR="00CA5761" w:rsidRPr="005C53F5">
        <w:rPr>
          <w:rFonts w:ascii="Times New Roman" w:eastAsia="Calibri" w:hAnsi="Times New Roman" w:cs="Times New Roman"/>
          <w:sz w:val="24"/>
          <w:szCs w:val="24"/>
        </w:rPr>
        <w:t>7</w:t>
      </w:r>
      <w:r w:rsidRPr="005C53F5">
        <w:rPr>
          <w:rFonts w:ascii="Times New Roman" w:eastAsia="Calibri" w:hAnsi="Times New Roman" w:cs="Times New Roman"/>
          <w:sz w:val="24"/>
          <w:szCs w:val="24"/>
        </w:rPr>
        <w:t xml:space="preserve">%. Вдобавок ко всему, значительный объём природного газа, транспортируемого по казахстанской газопроводной системе, транспортируется в Россию или из одной части России в другую через территорию Казахстана. </w:t>
      </w:r>
    </w:p>
    <w:p w14:paraId="0689C173" w14:textId="69C88755" w:rsidR="007D3ECF" w:rsidRPr="005C53F5" w:rsidRDefault="007D3ECF"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Тесные экономические связи Казахстана с Россией, существующие санкции, </w:t>
      </w:r>
      <w:r w:rsidR="00904718" w:rsidRPr="005C53F5">
        <w:rPr>
          <w:rFonts w:ascii="Times New Roman" w:eastAsia="Calibri" w:hAnsi="Times New Roman" w:cs="Times New Roman"/>
          <w:sz w:val="24"/>
          <w:szCs w:val="24"/>
        </w:rPr>
        <w:t xml:space="preserve">наложенные </w:t>
      </w:r>
      <w:r w:rsidRPr="005C53F5">
        <w:rPr>
          <w:rFonts w:ascii="Times New Roman" w:eastAsia="Calibri" w:hAnsi="Times New Roman" w:cs="Times New Roman"/>
          <w:sz w:val="24"/>
          <w:szCs w:val="24"/>
        </w:rPr>
        <w:t xml:space="preserve">против России, или будущие санкции, могут </w:t>
      </w:r>
      <w:r w:rsidR="00904718" w:rsidRPr="005C53F5">
        <w:rPr>
          <w:rFonts w:ascii="Times New Roman" w:eastAsia="Calibri" w:hAnsi="Times New Roman" w:cs="Times New Roman"/>
          <w:sz w:val="24"/>
          <w:szCs w:val="24"/>
        </w:rPr>
        <w:t>в определенной степени отразиться</w:t>
      </w:r>
      <w:r w:rsidRPr="005C53F5">
        <w:rPr>
          <w:rFonts w:ascii="Times New Roman" w:eastAsia="Calibri" w:hAnsi="Times New Roman" w:cs="Times New Roman"/>
          <w:sz w:val="24"/>
          <w:szCs w:val="24"/>
        </w:rPr>
        <w:t xml:space="preserve"> на экономике </w:t>
      </w:r>
      <w:r w:rsidR="00904718" w:rsidRPr="005C53F5">
        <w:rPr>
          <w:rFonts w:ascii="Times New Roman" w:eastAsia="Calibri" w:hAnsi="Times New Roman" w:cs="Times New Roman"/>
          <w:sz w:val="24"/>
          <w:szCs w:val="24"/>
        </w:rPr>
        <w:t xml:space="preserve">и финансовом положении </w:t>
      </w:r>
      <w:r w:rsidRPr="005C53F5">
        <w:rPr>
          <w:rFonts w:ascii="Times New Roman" w:eastAsia="Calibri" w:hAnsi="Times New Roman" w:cs="Times New Roman"/>
          <w:sz w:val="24"/>
          <w:szCs w:val="24"/>
        </w:rPr>
        <w:t>Казахстана.</w:t>
      </w:r>
    </w:p>
    <w:p w14:paraId="34C9AE2D" w14:textId="1EA0A1A2" w:rsidR="00AE295A" w:rsidRPr="005C53F5" w:rsidRDefault="00AE295A" w:rsidP="00057BE5">
      <w:pPr>
        <w:spacing w:after="0" w:line="240" w:lineRule="auto"/>
        <w:ind w:firstLine="709"/>
        <w:jc w:val="both"/>
        <w:rPr>
          <w:rFonts w:ascii="Times New Roman" w:eastAsia="Calibri" w:hAnsi="Times New Roman" w:cs="Times New Roman"/>
          <w:i/>
          <w:sz w:val="24"/>
          <w:szCs w:val="24"/>
        </w:rPr>
      </w:pPr>
      <w:r w:rsidRPr="005C53F5">
        <w:rPr>
          <w:rFonts w:ascii="Times New Roman" w:eastAsia="Calibri" w:hAnsi="Times New Roman" w:cs="Times New Roman"/>
          <w:i/>
          <w:sz w:val="24"/>
          <w:szCs w:val="24"/>
        </w:rPr>
        <w:t>Конфликт на Украине может оказать воздействие на торговлю между Украиной и Казахстаном</w:t>
      </w:r>
      <w:r w:rsidR="00B46934" w:rsidRPr="005C53F5">
        <w:rPr>
          <w:rFonts w:ascii="Times New Roman" w:eastAsia="Calibri" w:hAnsi="Times New Roman" w:cs="Times New Roman"/>
          <w:i/>
          <w:sz w:val="24"/>
          <w:szCs w:val="24"/>
        </w:rPr>
        <w:t>, при этом в настоящее время он не оказывает какое-либо значительное влияние на экономику Казахстана</w:t>
      </w:r>
    </w:p>
    <w:p w14:paraId="382BCF29" w14:textId="6F8AE1D5" w:rsidR="00AE295A" w:rsidRPr="005C53F5" w:rsidRDefault="00AE295A" w:rsidP="00057BE5">
      <w:pPr>
        <w:spacing w:after="0" w:line="240" w:lineRule="auto"/>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Сохраняющиеся существенные гражданские и политические волнения, касающееся Украины, сопряжены с волатильностью и неопределенностью. </w:t>
      </w:r>
      <w:r w:rsidR="00B46934" w:rsidRPr="005C53F5">
        <w:rPr>
          <w:rFonts w:ascii="Times New Roman" w:hAnsi="Times New Roman" w:cs="Times New Roman"/>
          <w:sz w:val="24"/>
          <w:szCs w:val="24"/>
        </w:rPr>
        <w:t>Указанные волнения в совокупности с текущим состоянием экономики</w:t>
      </w:r>
      <w:r w:rsidRPr="005C53F5">
        <w:rPr>
          <w:rFonts w:ascii="Times New Roman" w:hAnsi="Times New Roman" w:cs="Times New Roman"/>
          <w:sz w:val="24"/>
          <w:szCs w:val="24"/>
        </w:rPr>
        <w:t xml:space="preserve"> Украины создают существенную неопределенность на Украине, в регионе в целом и на мировых рынках. Скорее всего, политическая и экономическая ситуация на Украине не будет разрешена в ближайшее время. </w:t>
      </w:r>
    </w:p>
    <w:p w14:paraId="03B7376F" w14:textId="214A44C5" w:rsidR="00AE295A" w:rsidRPr="005C53F5" w:rsidRDefault="00AE295A"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настоящее время конфликт на Украине не </w:t>
      </w:r>
      <w:r w:rsidR="00B46934" w:rsidRPr="005C53F5">
        <w:rPr>
          <w:rFonts w:ascii="Times New Roman" w:eastAsia="Calibri" w:hAnsi="Times New Roman" w:cs="Times New Roman"/>
          <w:sz w:val="24"/>
          <w:szCs w:val="24"/>
        </w:rPr>
        <w:t xml:space="preserve">имеет </w:t>
      </w:r>
      <w:r w:rsidRPr="005C53F5">
        <w:rPr>
          <w:rFonts w:ascii="Times New Roman" w:eastAsia="Calibri" w:hAnsi="Times New Roman" w:cs="Times New Roman"/>
          <w:sz w:val="24"/>
          <w:szCs w:val="24"/>
        </w:rPr>
        <w:t>никакого ощутимого влияния на экономику Казахстана. Однако, есть риск введения ограничений на перевоз товаров из Украины, которые не производятся в Казахстане, через территорию России. Основной альтернативный маршрут поставок товаров на текущий момент времени пролегает через территорию Азербайджана с погрузкой на паромы в порту Алят (Республика Азербайджан) до морского порта в Актау (Казахстан).</w:t>
      </w:r>
    </w:p>
    <w:p w14:paraId="26D64124" w14:textId="393D08D7" w:rsidR="00AE295A" w:rsidRPr="005C53F5" w:rsidRDefault="00904718"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Д</w:t>
      </w:r>
      <w:r w:rsidR="00AE295A" w:rsidRPr="005C53F5">
        <w:rPr>
          <w:rFonts w:ascii="Times New Roman" w:eastAsia="Calibri" w:hAnsi="Times New Roman" w:cs="Times New Roman"/>
          <w:sz w:val="24"/>
          <w:szCs w:val="24"/>
        </w:rPr>
        <w:t>ля упрощения процедур пропуска товаров через морской порт Актау в Мангистауской области</w:t>
      </w:r>
      <w:r w:rsidRPr="005C53F5">
        <w:rPr>
          <w:rFonts w:ascii="Times New Roman" w:eastAsia="Calibri" w:hAnsi="Times New Roman" w:cs="Times New Roman"/>
          <w:sz w:val="24"/>
          <w:szCs w:val="24"/>
        </w:rPr>
        <w:t xml:space="preserve"> была утверждена дорожная карта</w:t>
      </w:r>
      <w:r w:rsidR="00AE295A" w:rsidRPr="005C53F5">
        <w:rPr>
          <w:rFonts w:ascii="Times New Roman" w:eastAsia="Calibri" w:hAnsi="Times New Roman" w:cs="Times New Roman"/>
          <w:sz w:val="24"/>
          <w:szCs w:val="24"/>
        </w:rPr>
        <w:t>. Кроме того, Правительством Республики Казахстан принимаются меры по внедрению электронной системы мониторинга товаров для провоза через таможню на территорию Республики Казахстан с использованием навигационных технологических устройств. Несмотря на эти улучшения, провоз товаров по этим альтернативным маршрутам поставок, вероятно, будет медленнее, чем по маршрутам через Россию, что может повлиять на экономику Казахстана.</w:t>
      </w:r>
    </w:p>
    <w:p w14:paraId="048DD52D" w14:textId="77777777" w:rsidR="00AE295A" w:rsidRPr="005C53F5" w:rsidRDefault="00AE295A" w:rsidP="00057BE5">
      <w:pPr>
        <w:spacing w:after="0" w:line="240" w:lineRule="auto"/>
        <w:ind w:firstLine="709"/>
        <w:jc w:val="both"/>
        <w:rPr>
          <w:rFonts w:ascii="Times New Roman" w:eastAsia="Calibri" w:hAnsi="Times New Roman" w:cs="Times New Roman"/>
          <w:i/>
          <w:sz w:val="24"/>
          <w:szCs w:val="24"/>
          <w:lang w:eastAsia="x-none"/>
        </w:rPr>
      </w:pPr>
      <w:r w:rsidRPr="005C53F5">
        <w:rPr>
          <w:rFonts w:ascii="Times New Roman" w:eastAsia="Calibri" w:hAnsi="Times New Roman" w:cs="Times New Roman"/>
          <w:i/>
          <w:sz w:val="24"/>
          <w:szCs w:val="24"/>
          <w:lang w:eastAsia="x-none"/>
        </w:rPr>
        <w:t>Принудительное исполнение обязательств может быть затруднено в некоторых юрисдикциях</w:t>
      </w:r>
    </w:p>
    <w:p w14:paraId="5037E3AE" w14:textId="648D33A8"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Республика Казахстан является суверенным государством и не подпадает под юрисдикцию каких-либо иностранных судов в связи с выпуском Облигаций. Условия выпуска Облигаций предусматривают</w:t>
      </w:r>
      <w:r w:rsidR="00EA10D5" w:rsidRPr="005C53F5">
        <w:rPr>
          <w:rFonts w:ascii="Times New Roman" w:eastAsia="Calibri" w:hAnsi="Times New Roman" w:cs="Times New Roman"/>
          <w:sz w:val="24"/>
          <w:szCs w:val="24"/>
          <w:lang w:eastAsia="x-none"/>
        </w:rPr>
        <w:t xml:space="preserve"> отказ Эмитента от судебных иммунитетов</w:t>
      </w:r>
      <w:r w:rsidRPr="005C53F5">
        <w:rPr>
          <w:rFonts w:ascii="Times New Roman" w:eastAsia="Calibri" w:hAnsi="Times New Roman" w:cs="Times New Roman"/>
          <w:sz w:val="24"/>
          <w:szCs w:val="24"/>
          <w:lang w:eastAsia="x-none"/>
        </w:rPr>
        <w:t xml:space="preserve">, и, соответственно, если владельцу Облигаций будет присуждена денежная сумма в рамках любого </w:t>
      </w:r>
      <w:r w:rsidR="00EA10D5" w:rsidRPr="005C53F5">
        <w:rPr>
          <w:rFonts w:ascii="Times New Roman" w:eastAsia="Calibri" w:hAnsi="Times New Roman" w:cs="Times New Roman"/>
          <w:sz w:val="24"/>
          <w:szCs w:val="24"/>
          <w:lang w:eastAsia="x-none"/>
        </w:rPr>
        <w:t xml:space="preserve">судебного </w:t>
      </w:r>
      <w:r w:rsidRPr="005C53F5">
        <w:rPr>
          <w:rFonts w:ascii="Times New Roman" w:eastAsia="Calibri" w:hAnsi="Times New Roman" w:cs="Times New Roman"/>
          <w:sz w:val="24"/>
          <w:szCs w:val="24"/>
          <w:lang w:eastAsia="x-none"/>
        </w:rPr>
        <w:t xml:space="preserve">разбирательства в отношении Облигаций, он может попытаться привести </w:t>
      </w:r>
      <w:r w:rsidR="00EA10D5" w:rsidRPr="005C53F5">
        <w:rPr>
          <w:rFonts w:ascii="Times New Roman" w:eastAsia="Calibri" w:hAnsi="Times New Roman" w:cs="Times New Roman"/>
          <w:sz w:val="24"/>
          <w:szCs w:val="24"/>
          <w:lang w:eastAsia="x-none"/>
        </w:rPr>
        <w:t xml:space="preserve">судебное </w:t>
      </w:r>
      <w:r w:rsidRPr="005C53F5">
        <w:rPr>
          <w:rFonts w:ascii="Times New Roman" w:eastAsia="Calibri" w:hAnsi="Times New Roman" w:cs="Times New Roman"/>
          <w:sz w:val="24"/>
          <w:szCs w:val="24"/>
          <w:lang w:eastAsia="x-none"/>
        </w:rPr>
        <w:t xml:space="preserve">решение в исполнение или возбудить </w:t>
      </w:r>
      <w:r w:rsidR="00E97E8C" w:rsidRPr="005C53F5">
        <w:rPr>
          <w:rFonts w:ascii="Times New Roman" w:eastAsia="Calibri" w:hAnsi="Times New Roman" w:cs="Times New Roman"/>
          <w:sz w:val="24"/>
          <w:szCs w:val="24"/>
          <w:lang w:eastAsia="x-none"/>
        </w:rPr>
        <w:t xml:space="preserve">судебное </w:t>
      </w:r>
      <w:r w:rsidRPr="005C53F5">
        <w:rPr>
          <w:rFonts w:ascii="Times New Roman" w:eastAsia="Calibri" w:hAnsi="Times New Roman" w:cs="Times New Roman"/>
          <w:sz w:val="24"/>
          <w:szCs w:val="24"/>
          <w:lang w:eastAsia="x-none"/>
        </w:rPr>
        <w:t xml:space="preserve">разбирательство, рассматривая присужденную сумму в качестве долга, причитающегося ему, и попытаться добиться соответствующего судебного решения. Несмотря на отказ Республики Казахстан от </w:t>
      </w:r>
      <w:r w:rsidR="00EA10D5" w:rsidRPr="005C53F5">
        <w:rPr>
          <w:rFonts w:ascii="Times New Roman" w:eastAsia="Calibri" w:hAnsi="Times New Roman" w:cs="Times New Roman"/>
          <w:sz w:val="24"/>
          <w:szCs w:val="24"/>
          <w:lang w:eastAsia="x-none"/>
        </w:rPr>
        <w:t>судебных иммунитетов</w:t>
      </w:r>
      <w:r w:rsidRPr="005C53F5">
        <w:rPr>
          <w:rFonts w:ascii="Times New Roman" w:eastAsia="Calibri" w:hAnsi="Times New Roman" w:cs="Times New Roman"/>
          <w:sz w:val="24"/>
          <w:szCs w:val="24"/>
          <w:lang w:eastAsia="x-none"/>
        </w:rPr>
        <w:t xml:space="preserve">, сохраняется </w:t>
      </w:r>
      <w:r w:rsidR="00B46934" w:rsidRPr="005C53F5">
        <w:rPr>
          <w:rFonts w:ascii="Times New Roman" w:eastAsia="Calibri" w:hAnsi="Times New Roman" w:cs="Times New Roman"/>
          <w:sz w:val="24"/>
          <w:szCs w:val="24"/>
          <w:lang w:eastAsia="x-none"/>
        </w:rPr>
        <w:t xml:space="preserve">определенный </w:t>
      </w:r>
      <w:r w:rsidRPr="005C53F5">
        <w:rPr>
          <w:rFonts w:ascii="Times New Roman" w:eastAsia="Calibri" w:hAnsi="Times New Roman" w:cs="Times New Roman"/>
          <w:sz w:val="24"/>
          <w:szCs w:val="24"/>
          <w:lang w:eastAsia="x-none"/>
        </w:rPr>
        <w:t xml:space="preserve">риск того, что истец не сможет привести в исполнение судебное решение в отношении активов Республики Казахстан в определенных юрисдикциях без специального согласия Республики Казахстан на такое приведение в исполнение в момент, когда запрашивается приведение в исполнение. Это может включать в себя неспособность истца обеспечить принудительное исполнение решения об аресте или конфискации активов Республики Казахстан и последующую продажу этих активов. </w:t>
      </w:r>
    </w:p>
    <w:p w14:paraId="0B267D3B" w14:textId="59E0A810"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Суды Республики Казахстан не будут приводить в исполнение иностранные судебные решения, если между соответствующей страной и Республикой Казахстан не существует действующего договора, предусматривающего взаимное исполнение решений, и если и будут, то только в соответствии с условиями такого договора. Между Республикой Казахстан и Российской Федерации такого договора в действительности не существует, однако Республика Казахстан и Российская Федерация являются сторонами Соглашения </w:t>
      </w:r>
      <w:r w:rsidR="00BD152D" w:rsidRPr="005C53F5">
        <w:rPr>
          <w:rFonts w:ascii="Times New Roman" w:eastAsia="Calibri" w:hAnsi="Times New Roman" w:cs="Times New Roman"/>
          <w:sz w:val="24"/>
          <w:szCs w:val="24"/>
          <w:lang w:eastAsia="x-none"/>
        </w:rPr>
        <w:t xml:space="preserve">от 06.03.1998 </w:t>
      </w:r>
      <w:r w:rsidRPr="005C53F5">
        <w:rPr>
          <w:rFonts w:ascii="Times New Roman" w:eastAsia="Calibri" w:hAnsi="Times New Roman" w:cs="Times New Roman"/>
          <w:sz w:val="24"/>
          <w:szCs w:val="24"/>
          <w:lang w:eastAsia="x-none"/>
        </w:rPr>
        <w:t xml:space="preserve">о порядке взаимного исполнения решений арбитражных, хозяйственных и экономических судов на территориях государств – участников Содружества и, соответственно, </w:t>
      </w:r>
      <w:r w:rsidR="00EA10D5" w:rsidRPr="005C53F5">
        <w:rPr>
          <w:rFonts w:ascii="Times New Roman" w:eastAsia="Calibri" w:hAnsi="Times New Roman" w:cs="Times New Roman"/>
          <w:sz w:val="24"/>
          <w:szCs w:val="24"/>
          <w:lang w:eastAsia="x-none"/>
        </w:rPr>
        <w:t xml:space="preserve">судебное </w:t>
      </w:r>
      <w:r w:rsidRPr="005C53F5">
        <w:rPr>
          <w:rFonts w:ascii="Times New Roman" w:eastAsia="Calibri" w:hAnsi="Times New Roman" w:cs="Times New Roman"/>
          <w:sz w:val="24"/>
          <w:szCs w:val="24"/>
          <w:lang w:eastAsia="x-none"/>
        </w:rPr>
        <w:t xml:space="preserve">решение в целом должно быть признано и приведено в исполнение в Республике Казахстан при условии соблюдения условий приведения в исполнение, изложенных в </w:t>
      </w:r>
      <w:r w:rsidR="00EA10D5" w:rsidRPr="005C53F5">
        <w:rPr>
          <w:rFonts w:ascii="Times New Roman" w:eastAsia="Calibri" w:hAnsi="Times New Roman" w:cs="Times New Roman"/>
          <w:sz w:val="24"/>
          <w:szCs w:val="24"/>
          <w:lang w:eastAsia="x-none"/>
        </w:rPr>
        <w:t xml:space="preserve">указанном </w:t>
      </w:r>
      <w:r w:rsidRPr="005C53F5">
        <w:rPr>
          <w:rFonts w:ascii="Times New Roman" w:eastAsia="Calibri" w:hAnsi="Times New Roman" w:cs="Times New Roman"/>
          <w:sz w:val="24"/>
          <w:szCs w:val="24"/>
          <w:lang w:eastAsia="x-none"/>
        </w:rPr>
        <w:t>Соглашении.</w:t>
      </w:r>
    </w:p>
    <w:p w14:paraId="5E9EECF1" w14:textId="758900AF"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Однако</w:t>
      </w:r>
      <w:r w:rsidR="00B46934" w:rsidRPr="005C53F5">
        <w:rPr>
          <w:rFonts w:ascii="Times New Roman" w:eastAsia="Calibri" w:hAnsi="Times New Roman" w:cs="Times New Roman"/>
          <w:sz w:val="24"/>
          <w:szCs w:val="24"/>
          <w:lang w:eastAsia="x-none"/>
        </w:rPr>
        <w:t>,</w:t>
      </w:r>
      <w:r w:rsidRPr="005C53F5">
        <w:rPr>
          <w:rFonts w:ascii="Times New Roman" w:eastAsia="Calibri" w:hAnsi="Times New Roman" w:cs="Times New Roman"/>
          <w:sz w:val="24"/>
          <w:szCs w:val="24"/>
          <w:lang w:eastAsia="x-none"/>
        </w:rPr>
        <w:t xml:space="preserve"> даже если действует применимый международный договор или иностранное судебное решение может быть иным образом признано и приведено в исполнение на основе взаимности, признание и приведение в исполнение иностранного судебного решения будет по-прежнему подлежать любым исключениям и ограничениям, предусмотренным законодательством Республики Казахстан. Таким образом, </w:t>
      </w:r>
      <w:r w:rsidR="00B46934" w:rsidRPr="005C53F5">
        <w:rPr>
          <w:rFonts w:ascii="Times New Roman" w:eastAsia="Calibri" w:hAnsi="Times New Roman" w:cs="Times New Roman"/>
          <w:sz w:val="24"/>
          <w:szCs w:val="24"/>
          <w:lang w:eastAsia="x-none"/>
        </w:rPr>
        <w:t xml:space="preserve">имеется некоторый </w:t>
      </w:r>
      <w:r w:rsidRPr="005C53F5">
        <w:rPr>
          <w:rFonts w:ascii="Times New Roman" w:eastAsia="Calibri" w:hAnsi="Times New Roman" w:cs="Times New Roman"/>
          <w:sz w:val="24"/>
          <w:szCs w:val="24"/>
          <w:lang w:eastAsia="x-none"/>
        </w:rPr>
        <w:t>риск того, что истец не сможет добиться признания или приведения в исполнение иностранного судебного решения в судах Республики Казахстан. Например, суд Республики Казахстан может отказать в признании или приведении в исполнение иностранного судебного решения, если его признание или приведение в исполнение будет противоречить государственной политике Республике Казахстан. Кроме того, в соответствии с положениями Гражданского кодекса Республики Казахстан судебные решения не могут быть исполнены в отношении активов, переданных в государственную собственность.</w:t>
      </w:r>
    </w:p>
    <w:p w14:paraId="11F4AF59" w14:textId="653A7E52"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В результате </w:t>
      </w:r>
      <w:r w:rsidR="00B46934" w:rsidRPr="005C53F5">
        <w:rPr>
          <w:rFonts w:ascii="Times New Roman" w:eastAsia="Calibri" w:hAnsi="Times New Roman" w:cs="Times New Roman"/>
          <w:sz w:val="24"/>
          <w:szCs w:val="24"/>
          <w:lang w:eastAsia="x-none"/>
        </w:rPr>
        <w:t>имеется вероятность</w:t>
      </w:r>
      <w:r w:rsidRPr="005C53F5">
        <w:rPr>
          <w:rFonts w:ascii="Times New Roman" w:eastAsia="Calibri" w:hAnsi="Times New Roman" w:cs="Times New Roman"/>
          <w:sz w:val="24"/>
          <w:szCs w:val="24"/>
          <w:lang w:eastAsia="x-none"/>
        </w:rPr>
        <w:t xml:space="preserve"> того, что для определенного истца может оказаться трудным добиться признания или приведения в исполнение в Республике Казахстан иностранного судебного решения в отношении Облигаций.</w:t>
      </w:r>
    </w:p>
    <w:p w14:paraId="36F5E793" w14:textId="4F40CD1C" w:rsidR="00AE295A" w:rsidRPr="005C53F5" w:rsidRDefault="00AE295A" w:rsidP="00057BE5">
      <w:pPr>
        <w:autoSpaceDE w:val="0"/>
        <w:autoSpaceDN w:val="0"/>
        <w:adjustRightInd w:val="0"/>
        <w:spacing w:after="0" w:line="240" w:lineRule="auto"/>
        <w:ind w:firstLine="709"/>
        <w:jc w:val="both"/>
        <w:rPr>
          <w:rFonts w:ascii="Times New Roman" w:eastAsia="Calibri" w:hAnsi="Times New Roman" w:cs="Times New Roman"/>
          <w:i/>
          <w:sz w:val="24"/>
          <w:szCs w:val="24"/>
          <w:lang w:eastAsia="x-none"/>
        </w:rPr>
      </w:pPr>
      <w:r w:rsidRPr="005C53F5">
        <w:rPr>
          <w:rFonts w:ascii="Times New Roman" w:eastAsia="Calibri" w:hAnsi="Times New Roman" w:cs="Times New Roman"/>
          <w:i/>
          <w:sz w:val="24"/>
          <w:szCs w:val="24"/>
          <w:lang w:eastAsia="x-none"/>
        </w:rPr>
        <w:t>Риски, связанные с Заявителями Стати</w:t>
      </w:r>
    </w:p>
    <w:p w14:paraId="479CE42E" w14:textId="3B4EB994"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Существует риск того, что Анатол Стати, его сын Габриэль Стати и две принадлежащие им компании </w:t>
      </w:r>
      <w:r w:rsidRPr="005C53F5">
        <w:rPr>
          <w:rFonts w:ascii="Times New Roman" w:eastAsia="Calibri" w:hAnsi="Times New Roman" w:cs="Times New Roman"/>
          <w:sz w:val="24"/>
          <w:szCs w:val="24"/>
        </w:rPr>
        <w:t>(«</w:t>
      </w:r>
      <w:r w:rsidRPr="005C53F5">
        <w:rPr>
          <w:rFonts w:ascii="Times New Roman" w:eastAsia="Calibri" w:hAnsi="Times New Roman" w:cs="Times New Roman"/>
          <w:b/>
          <w:sz w:val="24"/>
          <w:szCs w:val="24"/>
        </w:rPr>
        <w:t>Заявители Стати</w:t>
      </w:r>
      <w:r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lang w:eastAsia="x-none"/>
        </w:rPr>
        <w:t xml:space="preserve"> могут попытаться присвоить, конфисковать или иным образом заявить права в отношении активов Республики Казахстан, утверждая, вопреки позиции Республики Казахстан, что они не подлежат государственному иммунитету. Поэтому вполне возможно, что Заявители Стати могут также претендовать на получение прав в отношении поступлений от операций на рынках капитала Республики Казахстан, включая поступления по Облигациям, запланированные платежи по Облигациям или другую непогашенную внешнюю задолженность, что может повлиять на процесс расчетов в связи с выпуском Облигаций или оказать существенное негативное влияние на стоимость Облигаций на вторичном рынке. </w:t>
      </w:r>
    </w:p>
    <w:p w14:paraId="2FF33621" w14:textId="4BEE20F7" w:rsidR="00AE295A" w:rsidRPr="005C53F5" w:rsidRDefault="00952789" w:rsidP="00057BE5">
      <w:pPr>
        <w:keepNext/>
        <w:spacing w:after="0" w:line="240" w:lineRule="auto"/>
        <w:ind w:firstLine="709"/>
        <w:jc w:val="both"/>
        <w:rPr>
          <w:rFonts w:ascii="Times New Roman" w:hAnsi="Times New Roman"/>
          <w:i/>
          <w:sz w:val="24"/>
        </w:rPr>
      </w:pPr>
      <w:r w:rsidRPr="005C53F5">
        <w:rPr>
          <w:rFonts w:ascii="Times New Roman" w:eastAsia="Calibri" w:hAnsi="Times New Roman" w:cs="Times New Roman"/>
          <w:i/>
          <w:sz w:val="24"/>
          <w:szCs w:val="24"/>
          <w:lang w:eastAsia="x-none"/>
        </w:rPr>
        <w:t xml:space="preserve">Фондовый рынок </w:t>
      </w:r>
      <w:r w:rsidRPr="005C53F5">
        <w:rPr>
          <w:rFonts w:ascii="Times New Roman" w:hAnsi="Times New Roman"/>
          <w:i/>
          <w:sz w:val="24"/>
        </w:rPr>
        <w:t>Казахстана</w:t>
      </w:r>
      <w:r w:rsidRPr="005C53F5">
        <w:rPr>
          <w:rFonts w:ascii="Times New Roman" w:eastAsia="Calibri" w:hAnsi="Times New Roman" w:cs="Times New Roman"/>
          <w:i/>
          <w:sz w:val="24"/>
          <w:szCs w:val="24"/>
          <w:lang w:eastAsia="x-none"/>
        </w:rPr>
        <w:t xml:space="preserve"> находится</w:t>
      </w:r>
      <w:r w:rsidRPr="005C53F5">
        <w:rPr>
          <w:rFonts w:ascii="Times New Roman" w:hAnsi="Times New Roman"/>
          <w:i/>
          <w:sz w:val="24"/>
        </w:rPr>
        <w:t xml:space="preserve"> в </w:t>
      </w:r>
      <w:r w:rsidRPr="005C53F5">
        <w:rPr>
          <w:rFonts w:ascii="Times New Roman" w:eastAsia="Calibri" w:hAnsi="Times New Roman" w:cs="Times New Roman"/>
          <w:i/>
          <w:sz w:val="24"/>
          <w:szCs w:val="24"/>
          <w:lang w:eastAsia="x-none"/>
        </w:rPr>
        <w:t>процессе развития</w:t>
      </w:r>
    </w:p>
    <w:p w14:paraId="38D15A9D" w14:textId="3937B00B" w:rsidR="00AE3B57" w:rsidRPr="005C53F5" w:rsidRDefault="00AE3B57"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На сегодняшний день на рынке ценных бумаг Казахстана создана вся необходимая инфраструктура (в том числе фондовая биржа, клиринговая организация, центральный депозитарий, торговый репозиторий, центральный контрагент), а также продолжается принятие мер регуляторного и стимулирующего характера, направленных на дальнейшее развитие фондового рынка и повышение его конкурентоспособности.</w:t>
      </w:r>
    </w:p>
    <w:p w14:paraId="3AE8F889" w14:textId="100D0B59" w:rsidR="00720442" w:rsidRPr="005C53F5" w:rsidRDefault="00720442"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Для дальнейшего развития фондового рынка принимаются всесторонние комплексные меры. Проведена работа по построению безрисковой кривой доходности</w:t>
      </w:r>
      <w:r w:rsidR="009B6098" w:rsidRPr="005C53F5">
        <w:rPr>
          <w:rFonts w:ascii="Times New Roman" w:eastAsia="Calibri" w:hAnsi="Times New Roman" w:cs="Times New Roman"/>
          <w:sz w:val="24"/>
          <w:szCs w:val="24"/>
          <w:lang w:eastAsia="x-none"/>
        </w:rPr>
        <w:t>,</w:t>
      </w:r>
      <w:r w:rsidRPr="005C53F5">
        <w:rPr>
          <w:rFonts w:ascii="Times New Roman" w:eastAsia="Calibri" w:hAnsi="Times New Roman" w:cs="Times New Roman"/>
          <w:sz w:val="24"/>
          <w:szCs w:val="24"/>
          <w:lang w:eastAsia="x-none"/>
        </w:rPr>
        <w:t xml:space="preserve"> которая является первоисточником информации для внутренних и внешних инвесторов в вопросе стоимости. Возобновлены выпуски государственных ценных бумаг на всех основных отрезках кривой доходности, что позволило сформировать кривую доходности, адекватно отражающую ожидания участников рынка. </w:t>
      </w:r>
    </w:p>
    <w:p w14:paraId="528E0A55" w14:textId="77777777" w:rsidR="00AE3B57" w:rsidRPr="005C53F5" w:rsidRDefault="00AE3B57"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Оценка Казахстана по индикатору «Защита миноритарных инвесторов» (7 место) в рейтинге «Doing Business» Всемирного Банка подтверждает создание в стране благоприятных условий для инвесторов и обеспечение надлежащего уровня защиты их прав и интересов.</w:t>
      </w:r>
    </w:p>
    <w:p w14:paraId="2E2F3BCB" w14:textId="510B60DA" w:rsidR="00AE3B57" w:rsidRPr="005C53F5" w:rsidRDefault="00AE3B57"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Правовая защита от манипулирования рынком и инсайдерской торговли обеспечивается Законом Республики Казахстан «О рынке ценных бумаг», которым определены порядок и условия признания сделок с ценными бумагами и иными финансовыми инструментами как совершенных в целях манипулирования, а также ограничения использования инсайдерской информации. Установлена административная и уголовная ответственность за совершение сделок с ценными бумагами и иными финансовыми инструментами в целях манипулирования и с использованием инсайдерской информации. Установлены правила и условия раскрытия информации эмитентами ценных бумаг, в том числе не являющейся общедоступной.</w:t>
      </w:r>
    </w:p>
    <w:p w14:paraId="0856E2DD" w14:textId="687F21ED" w:rsidR="00AE3B57" w:rsidRPr="005C53F5" w:rsidRDefault="00AE3B57"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На базе Казахстанской фондовой биржи (</w:t>
      </w:r>
      <w:r w:rsidR="009B6098" w:rsidRPr="005C53F5">
        <w:rPr>
          <w:rFonts w:ascii="Times New Roman" w:eastAsia="Calibri" w:hAnsi="Times New Roman" w:cs="Times New Roman"/>
          <w:sz w:val="24"/>
          <w:szCs w:val="24"/>
          <w:lang w:eastAsia="x-none"/>
        </w:rPr>
        <w:t>«</w:t>
      </w:r>
      <w:r w:rsidRPr="005C53F5">
        <w:rPr>
          <w:rFonts w:ascii="Times New Roman" w:eastAsia="Calibri" w:hAnsi="Times New Roman" w:cs="Times New Roman"/>
          <w:b/>
          <w:sz w:val="24"/>
          <w:szCs w:val="24"/>
          <w:lang w:eastAsia="x-none"/>
        </w:rPr>
        <w:t>KASE</w:t>
      </w:r>
      <w:r w:rsidR="009B6098" w:rsidRPr="005C53F5">
        <w:rPr>
          <w:rFonts w:ascii="Times New Roman" w:eastAsia="Calibri" w:hAnsi="Times New Roman" w:cs="Times New Roman"/>
          <w:sz w:val="24"/>
          <w:szCs w:val="24"/>
          <w:lang w:eastAsia="x-none"/>
        </w:rPr>
        <w:t>»</w:t>
      </w:r>
      <w:r w:rsidRPr="005C53F5">
        <w:rPr>
          <w:rFonts w:ascii="Times New Roman" w:eastAsia="Calibri" w:hAnsi="Times New Roman" w:cs="Times New Roman"/>
          <w:sz w:val="24"/>
          <w:szCs w:val="24"/>
          <w:lang w:eastAsia="x-none"/>
        </w:rPr>
        <w:t>) и Центрального депозитария ценных бумаг выстроен эффективный расчетно-клиринговый кластер. Клиринг и расчеты по сделкам с финансовыми инструментами на фондовом рынке осуществляется по схеме T+2 с использованием услуг центрального контрагента (по ликвидным финансовым инструментам). При этом безусловная завершенность расчетов по сделкам с ценными бумагами, заключаемым на организованном рынке ценных бумаг, гарантируется Законом Республики Казахстан «О рынке ценных бумаг», реституция по таким сделкам не допускается.</w:t>
      </w:r>
    </w:p>
    <w:p w14:paraId="4904E57B" w14:textId="77777777" w:rsidR="00720442" w:rsidRPr="005C53F5" w:rsidRDefault="00720442"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В 2018 году совместно с международной клиринговой организацией Clearstream реализован проект по включению государственных ценных бумаг Республики Казахстан, в том числе краткосрочных нот НБК, в список ценных бумаг, рассчитываемых в системе Clearstream. </w:t>
      </w:r>
    </w:p>
    <w:p w14:paraId="5BE46D88" w14:textId="77777777" w:rsidR="00720442" w:rsidRPr="005C53F5" w:rsidRDefault="00720442"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Реализация совместного проекта позволяет проводить расчеты по всем государственным ценным бумагам, выпущенным в рамках казахстанского законодательства в тенге, через международную расчетную систему Clearstream, что существенно расширяет и упрощает доступ иностранных инвесторов к казахстанскому фондовому рынку. </w:t>
      </w:r>
    </w:p>
    <w:p w14:paraId="654AF00B" w14:textId="77777777" w:rsidR="00720442" w:rsidRPr="005C53F5" w:rsidRDefault="00720442"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Ведется активная работа по созданию расчетной инфраструктуры с Euroclear. </w:t>
      </w:r>
    </w:p>
    <w:p w14:paraId="06E7B695" w14:textId="28844D5D" w:rsidR="00720442" w:rsidRPr="005C53F5" w:rsidRDefault="00720442"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С 2018 года аукционы по размещению краткосрочных нот и операции с государственным</w:t>
      </w:r>
      <w:r w:rsidR="00D26077" w:rsidRPr="005C53F5">
        <w:rPr>
          <w:rFonts w:ascii="Times New Roman" w:eastAsia="Calibri" w:hAnsi="Times New Roman" w:cs="Times New Roman"/>
          <w:sz w:val="24"/>
          <w:szCs w:val="24"/>
          <w:lang w:eastAsia="x-none"/>
        </w:rPr>
        <w:t xml:space="preserve">и ценными бумагами на биржевом </w:t>
      </w:r>
      <w:r w:rsidRPr="005C53F5">
        <w:rPr>
          <w:rFonts w:ascii="Times New Roman" w:eastAsia="Calibri" w:hAnsi="Times New Roman" w:cs="Times New Roman"/>
          <w:sz w:val="24"/>
          <w:szCs w:val="24"/>
          <w:lang w:eastAsia="x-none"/>
        </w:rPr>
        <w:t>вторичном рынке проводятся по системе расчетов Т+2.</w:t>
      </w:r>
    </w:p>
    <w:p w14:paraId="02542AC7" w14:textId="77777777" w:rsidR="00720442" w:rsidRPr="005C53F5" w:rsidRDefault="00720442"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В целях удлинения торгового дня и повышения доступности торгов для участников рынка с 2019 года на бирже торги валютой были продлены до 17:00 по времени г. Нур-Султан. Новый режим проведения торгов иностранными валютами направлен на расширение возможностей для иностранных участников при инвестировании в тенге. </w:t>
      </w:r>
    </w:p>
    <w:p w14:paraId="71F9D40E" w14:textId="77777777" w:rsidR="00720442" w:rsidRPr="005C53F5" w:rsidRDefault="00720442"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В 2020 году ожидается запуск института центрального контрагента на фондовом рынке на базе биржи, который станет гарантом при заключении сделок на биржевом фондовом рынке.  Создание центрального контрагента будет способствовать повышению доверия к рыночной инфраструктуре и снижению транзакционных издержек. На валютном рынке институт центрального контрагента успешно функционирует с 2018 года.</w:t>
      </w:r>
    </w:p>
    <w:p w14:paraId="18490D09" w14:textId="2DA1997D" w:rsidR="00720442" w:rsidRPr="005C53F5" w:rsidRDefault="00720442"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Проводится работа по включению суверенных облигаций Республики Казахстан в индекс облигаций развивающихся стран J.P. Morgan (</w:t>
      </w:r>
      <w:r w:rsidR="009B6098" w:rsidRPr="005C53F5">
        <w:rPr>
          <w:rFonts w:ascii="Times New Roman" w:eastAsia="Calibri" w:hAnsi="Times New Roman" w:cs="Times New Roman"/>
          <w:sz w:val="24"/>
          <w:szCs w:val="24"/>
          <w:lang w:eastAsia="x-none"/>
        </w:rPr>
        <w:t>«</w:t>
      </w:r>
      <w:r w:rsidRPr="005C53F5">
        <w:rPr>
          <w:rFonts w:ascii="Times New Roman" w:eastAsia="Calibri" w:hAnsi="Times New Roman" w:cs="Times New Roman"/>
          <w:b/>
          <w:sz w:val="24"/>
          <w:szCs w:val="24"/>
          <w:lang w:eastAsia="x-none"/>
        </w:rPr>
        <w:t>GBI-EM</w:t>
      </w:r>
      <w:r w:rsidR="009B6098" w:rsidRPr="005C53F5">
        <w:rPr>
          <w:rFonts w:ascii="Times New Roman" w:eastAsia="Calibri" w:hAnsi="Times New Roman" w:cs="Times New Roman"/>
          <w:sz w:val="24"/>
          <w:szCs w:val="24"/>
          <w:lang w:eastAsia="x-none"/>
        </w:rPr>
        <w:t>»</w:t>
      </w:r>
      <w:r w:rsidRPr="005C53F5">
        <w:rPr>
          <w:rFonts w:ascii="Times New Roman" w:eastAsia="Calibri" w:hAnsi="Times New Roman" w:cs="Times New Roman"/>
          <w:sz w:val="24"/>
          <w:szCs w:val="24"/>
          <w:lang w:eastAsia="x-none"/>
        </w:rPr>
        <w:t>). Это позволит повысить привлекательность государственных облигаций среди мирового инвестиционного сообщества, привлечь иностранные портфельные инвестиций в страну и способствовать развитию локального рынка облигаций.</w:t>
      </w:r>
    </w:p>
    <w:p w14:paraId="58EFE5F0" w14:textId="37D7C3DF" w:rsidR="00720442" w:rsidRPr="005C53F5" w:rsidRDefault="00720442"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Также принимаются меры для повышения ликвидности фондового рынка, развитию института маркет-мейкерства по ценным бумагам и совершенствованию политики управления государственным долгом.</w:t>
      </w:r>
    </w:p>
    <w:p w14:paraId="6F277728" w14:textId="24CB8EFE" w:rsidR="00AE3B57" w:rsidRPr="005C53F5" w:rsidRDefault="00AE3B57"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В то же время на фондовом рынке Казахстана присутствуют проблемы, характерные для всех развивающихся рынков, а именно недостаток институционального спроса, слабая степень вовлеченности населения в фондовый рынок, а также недостаточный уровень ликвидности фондового рынка. При этом Правительством Республики Казахстан, </w:t>
      </w:r>
      <w:r w:rsidR="009B6098" w:rsidRPr="005C53F5">
        <w:rPr>
          <w:rFonts w:ascii="Times New Roman" w:eastAsia="Calibri" w:hAnsi="Times New Roman" w:cs="Times New Roman"/>
          <w:sz w:val="24"/>
          <w:szCs w:val="24"/>
          <w:lang w:eastAsia="x-none"/>
        </w:rPr>
        <w:t>НБК</w:t>
      </w:r>
      <w:r w:rsidRPr="005C53F5">
        <w:rPr>
          <w:rFonts w:ascii="Times New Roman" w:eastAsia="Calibri" w:hAnsi="Times New Roman" w:cs="Times New Roman"/>
          <w:sz w:val="24"/>
          <w:szCs w:val="24"/>
          <w:lang w:eastAsia="x-none"/>
        </w:rPr>
        <w:t xml:space="preserve"> и Агентством Республики Казахстан по регулированию и развитию финансового рынка принимаются комплексные меры для решения указанных проблем.</w:t>
      </w:r>
    </w:p>
    <w:p w14:paraId="3A5D3DF2" w14:textId="59F52BE0" w:rsidR="00AE295A" w:rsidRPr="005C53F5" w:rsidRDefault="00AE295A" w:rsidP="00057BE5">
      <w:pPr>
        <w:spacing w:after="0" w:line="240" w:lineRule="auto"/>
        <w:ind w:firstLine="709"/>
        <w:jc w:val="both"/>
        <w:rPr>
          <w:rFonts w:ascii="Times New Roman" w:eastAsia="Calibri" w:hAnsi="Times New Roman" w:cs="Times New Roman"/>
          <w:bCs/>
          <w:i/>
          <w:iCs/>
          <w:sz w:val="24"/>
          <w:szCs w:val="24"/>
          <w:lang w:eastAsia="x-none"/>
        </w:rPr>
      </w:pPr>
      <w:r w:rsidRPr="005C53F5">
        <w:rPr>
          <w:rFonts w:ascii="Times New Roman" w:eastAsia="Calibri" w:hAnsi="Times New Roman" w:cs="Times New Roman"/>
          <w:bCs/>
          <w:i/>
          <w:iCs/>
          <w:sz w:val="24"/>
          <w:szCs w:val="24"/>
          <w:lang w:eastAsia="x-none"/>
        </w:rPr>
        <w:t xml:space="preserve">Реализация дальнейших рыночных реформ, таких как </w:t>
      </w:r>
      <w:r w:rsidR="00EA10D5" w:rsidRPr="005C53F5">
        <w:rPr>
          <w:rFonts w:ascii="Times New Roman" w:eastAsia="Calibri" w:hAnsi="Times New Roman" w:cs="Times New Roman"/>
          <w:bCs/>
          <w:i/>
          <w:iCs/>
          <w:sz w:val="24"/>
          <w:szCs w:val="24"/>
          <w:lang w:eastAsia="x-none"/>
        </w:rPr>
        <w:t xml:space="preserve">комплексные </w:t>
      </w:r>
      <w:r w:rsidRPr="005C53F5">
        <w:rPr>
          <w:rFonts w:ascii="Times New Roman" w:eastAsia="Calibri" w:hAnsi="Times New Roman" w:cs="Times New Roman"/>
          <w:bCs/>
          <w:i/>
          <w:iCs/>
          <w:sz w:val="24"/>
          <w:szCs w:val="24"/>
          <w:lang w:eastAsia="x-none"/>
        </w:rPr>
        <w:t>планы приватизации</w:t>
      </w:r>
    </w:p>
    <w:p w14:paraId="261E4C60" w14:textId="4679554F"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В последние годы Правительство Казахстана приняло ряд мер по стимулированию приватизации и конкуренции среди казахстанских компаний. В 2012 году Правительство</w:t>
      </w:r>
      <w:r w:rsidR="00EA10D5" w:rsidRPr="005C53F5">
        <w:rPr>
          <w:rFonts w:ascii="Times New Roman" w:eastAsia="Calibri" w:hAnsi="Times New Roman" w:cs="Times New Roman"/>
          <w:sz w:val="24"/>
          <w:szCs w:val="24"/>
          <w:lang w:eastAsia="x-none"/>
        </w:rPr>
        <w:t xml:space="preserve"> Республики Казахстан</w:t>
      </w:r>
      <w:r w:rsidRPr="005C53F5">
        <w:rPr>
          <w:rFonts w:ascii="Times New Roman" w:eastAsia="Calibri" w:hAnsi="Times New Roman" w:cs="Times New Roman"/>
          <w:sz w:val="24"/>
          <w:szCs w:val="24"/>
          <w:lang w:eastAsia="x-none"/>
        </w:rPr>
        <w:t xml:space="preserve"> запустило программу «Народных IPO», чтобы, в частности, стимулировать внутренний рынок акций. Программа «Народных IPO» была прекращена в конце 2015 года. </w:t>
      </w:r>
    </w:p>
    <w:p w14:paraId="7364C215" w14:textId="258F645C"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В январе 2014 года </w:t>
      </w:r>
      <w:r w:rsidR="00EA10D5" w:rsidRPr="005C53F5">
        <w:rPr>
          <w:rFonts w:ascii="Times New Roman" w:eastAsia="Calibri" w:hAnsi="Times New Roman" w:cs="Times New Roman"/>
          <w:sz w:val="24"/>
          <w:szCs w:val="24"/>
          <w:lang w:eastAsia="x-none"/>
        </w:rPr>
        <w:t xml:space="preserve">Президент Республики Казахстан Нурсултан </w:t>
      </w:r>
      <w:r w:rsidRPr="005C53F5">
        <w:rPr>
          <w:rFonts w:ascii="Times New Roman" w:eastAsia="Calibri" w:hAnsi="Times New Roman" w:cs="Times New Roman"/>
          <w:sz w:val="24"/>
          <w:szCs w:val="24"/>
          <w:lang w:eastAsia="x-none"/>
        </w:rPr>
        <w:t xml:space="preserve">Назарбаев поручил Правительству </w:t>
      </w:r>
      <w:r w:rsidR="00EA10D5" w:rsidRPr="005C53F5">
        <w:rPr>
          <w:rFonts w:ascii="Times New Roman" w:eastAsia="Calibri" w:hAnsi="Times New Roman" w:cs="Times New Roman"/>
          <w:sz w:val="24"/>
          <w:szCs w:val="24"/>
          <w:lang w:eastAsia="x-none"/>
        </w:rPr>
        <w:t xml:space="preserve">Республики Казахстан </w:t>
      </w:r>
      <w:r w:rsidRPr="005C53F5">
        <w:rPr>
          <w:rFonts w:ascii="Times New Roman" w:eastAsia="Calibri" w:hAnsi="Times New Roman" w:cs="Times New Roman"/>
          <w:sz w:val="24"/>
          <w:szCs w:val="24"/>
          <w:lang w:eastAsia="x-none"/>
        </w:rPr>
        <w:t xml:space="preserve">подготовить список государственных компаний, которые должны быть приватизированы, и утвердить комплексную программу приватизации на 2014-2016 годы. 31 марта 2014 года </w:t>
      </w:r>
      <w:r w:rsidR="00EA10D5" w:rsidRPr="005C53F5">
        <w:rPr>
          <w:rFonts w:ascii="Times New Roman" w:eastAsia="Calibri" w:hAnsi="Times New Roman" w:cs="Times New Roman"/>
          <w:sz w:val="24"/>
          <w:szCs w:val="24"/>
          <w:lang w:eastAsia="x-none"/>
        </w:rPr>
        <w:t xml:space="preserve">Правительство </w:t>
      </w:r>
      <w:r w:rsidRPr="005C53F5">
        <w:rPr>
          <w:rFonts w:ascii="Times New Roman" w:eastAsia="Calibri" w:hAnsi="Times New Roman" w:cs="Times New Roman"/>
          <w:sz w:val="24"/>
          <w:szCs w:val="24"/>
          <w:lang w:eastAsia="x-none"/>
        </w:rPr>
        <w:t>Казахстана приняло Постановление № 280, в котором изложен Комплексный план приватизации на этот период. В декабре 2015 года Правительство одобрило дальнейший Комплексный план приватизации, который будет реализован в период с 2016 по 2020 годы.</w:t>
      </w:r>
    </w:p>
    <w:p w14:paraId="7B769D35" w14:textId="73886583"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Правительственная программа приватизации обусловлена необходимостью значительных инвестиций во многие предприятия. Из программы, однако, исключены некоторые предприятия, которые Правительство </w:t>
      </w:r>
      <w:r w:rsidR="00C041D1" w:rsidRPr="005C53F5">
        <w:rPr>
          <w:rFonts w:ascii="Times New Roman" w:eastAsia="Calibri" w:hAnsi="Times New Roman" w:cs="Times New Roman"/>
          <w:sz w:val="24"/>
          <w:szCs w:val="24"/>
          <w:lang w:eastAsia="x-none"/>
        </w:rPr>
        <w:t xml:space="preserve">Республики Казахстан </w:t>
      </w:r>
      <w:r w:rsidRPr="005C53F5">
        <w:rPr>
          <w:rFonts w:ascii="Times New Roman" w:eastAsia="Calibri" w:hAnsi="Times New Roman" w:cs="Times New Roman"/>
          <w:sz w:val="24"/>
          <w:szCs w:val="24"/>
          <w:lang w:eastAsia="x-none"/>
        </w:rPr>
        <w:t>считает стратегически значимыми, это означает, что все еще остается потребность в значительных инвестициях во многие сектора казахстанской экономики, включая деловую инфраструктуру.</w:t>
      </w:r>
    </w:p>
    <w:p w14:paraId="1079E495" w14:textId="694D9EC7" w:rsidR="00AE295A" w:rsidRPr="005C53F5" w:rsidRDefault="009E4379" w:rsidP="00057BE5">
      <w:pPr>
        <w:spacing w:after="0" w:line="240" w:lineRule="auto"/>
        <w:ind w:firstLine="709"/>
        <w:jc w:val="both"/>
        <w:rPr>
          <w:rFonts w:ascii="Times New Roman" w:eastAsia="Calibri" w:hAnsi="Times New Roman" w:cs="Times New Roman"/>
          <w:bCs/>
          <w:i/>
          <w:iCs/>
          <w:sz w:val="24"/>
          <w:szCs w:val="24"/>
          <w:lang w:eastAsia="x-none"/>
        </w:rPr>
      </w:pPr>
      <w:r w:rsidRPr="005C53F5">
        <w:rPr>
          <w:rFonts w:ascii="Times New Roman" w:eastAsia="Calibri" w:hAnsi="Times New Roman" w:cs="Times New Roman"/>
          <w:bCs/>
          <w:i/>
          <w:iCs/>
          <w:sz w:val="24"/>
          <w:szCs w:val="24"/>
          <w:lang w:eastAsia="x-none"/>
        </w:rPr>
        <w:t>С</w:t>
      </w:r>
      <w:r w:rsidR="00AE295A" w:rsidRPr="005C53F5">
        <w:rPr>
          <w:rFonts w:ascii="Times New Roman" w:eastAsia="Calibri" w:hAnsi="Times New Roman" w:cs="Times New Roman"/>
          <w:bCs/>
          <w:i/>
          <w:iCs/>
          <w:sz w:val="24"/>
          <w:szCs w:val="24"/>
          <w:lang w:eastAsia="x-none"/>
        </w:rPr>
        <w:t>пособность инвестора продать Облигации может быть ограничена</w:t>
      </w:r>
      <w:r w:rsidRPr="005C53F5">
        <w:rPr>
          <w:rFonts w:ascii="Times New Roman" w:eastAsia="Calibri" w:hAnsi="Times New Roman" w:cs="Times New Roman"/>
          <w:bCs/>
          <w:i/>
          <w:iCs/>
          <w:sz w:val="24"/>
          <w:szCs w:val="24"/>
          <w:lang w:eastAsia="x-none"/>
        </w:rPr>
        <w:t xml:space="preserve"> вследствие рыночных факторов</w:t>
      </w:r>
    </w:p>
    <w:p w14:paraId="2F42D204" w14:textId="0909E86E"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На </w:t>
      </w:r>
      <w:r w:rsidR="00C041D1" w:rsidRPr="005C53F5">
        <w:rPr>
          <w:rFonts w:ascii="Times New Roman" w:eastAsia="Calibri" w:hAnsi="Times New Roman" w:cs="Times New Roman"/>
          <w:sz w:val="24"/>
          <w:szCs w:val="24"/>
          <w:lang w:eastAsia="x-none"/>
        </w:rPr>
        <w:t xml:space="preserve">возможность </w:t>
      </w:r>
      <w:r w:rsidRPr="005C53F5">
        <w:rPr>
          <w:rFonts w:ascii="Times New Roman" w:eastAsia="Calibri" w:hAnsi="Times New Roman" w:cs="Times New Roman"/>
          <w:sz w:val="24"/>
          <w:szCs w:val="24"/>
          <w:lang w:eastAsia="x-none"/>
        </w:rPr>
        <w:t>торговли Облигациями будут влиять условия экономики и рынка в Республике Казахстан и, в различной степени, процентные ставки, курсы валют и темпы инфляции в других странах, таких как США, страны-члены ЕС и другие страны.</w:t>
      </w:r>
    </w:p>
    <w:p w14:paraId="317FAB89" w14:textId="72B810C0" w:rsidR="00AE295A" w:rsidRPr="005C53F5" w:rsidRDefault="00E929AB"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По состоянию на дату утверждения Проспекта ценных бумаг планируется, что</w:t>
      </w:r>
      <w:r w:rsidR="00AE295A" w:rsidRPr="005C53F5">
        <w:rPr>
          <w:rFonts w:ascii="Times New Roman" w:eastAsia="Calibri" w:hAnsi="Times New Roman" w:cs="Times New Roman"/>
          <w:sz w:val="24"/>
          <w:szCs w:val="24"/>
          <w:lang w:eastAsia="x-none"/>
        </w:rPr>
        <w:t xml:space="preserve"> </w:t>
      </w:r>
      <w:r w:rsidRPr="005C53F5">
        <w:rPr>
          <w:rFonts w:ascii="Times New Roman" w:eastAsia="Calibri" w:hAnsi="Times New Roman" w:cs="Times New Roman"/>
          <w:sz w:val="24"/>
          <w:szCs w:val="24"/>
          <w:lang w:eastAsia="x-none"/>
        </w:rPr>
        <w:t xml:space="preserve">Облигации будут допущены к торгам (пройдут процедуру листинга) </w:t>
      </w:r>
      <w:r w:rsidR="00AE295A" w:rsidRPr="005C53F5">
        <w:rPr>
          <w:rFonts w:ascii="Times New Roman" w:eastAsia="Calibri" w:hAnsi="Times New Roman" w:cs="Times New Roman"/>
          <w:sz w:val="24"/>
          <w:szCs w:val="24"/>
          <w:lang w:eastAsia="x-none"/>
        </w:rPr>
        <w:t xml:space="preserve">на </w:t>
      </w:r>
      <w:r w:rsidR="00D77515" w:rsidRPr="005C53F5">
        <w:rPr>
          <w:rFonts w:ascii="Times New Roman" w:eastAsia="Calibri" w:hAnsi="Times New Roman" w:cs="Times New Roman"/>
          <w:sz w:val="24"/>
          <w:szCs w:val="24"/>
          <w:lang w:eastAsia="x-none"/>
        </w:rPr>
        <w:t>Бирже</w:t>
      </w:r>
      <w:r w:rsidR="00AE295A" w:rsidRPr="005C53F5">
        <w:rPr>
          <w:rFonts w:ascii="Times New Roman" w:eastAsia="Calibri" w:hAnsi="Times New Roman" w:cs="Times New Roman"/>
          <w:sz w:val="24"/>
          <w:szCs w:val="24"/>
          <w:lang w:eastAsia="x-none"/>
        </w:rPr>
        <w:t xml:space="preserve"> и </w:t>
      </w:r>
      <w:r w:rsidR="00D77515" w:rsidRPr="005C53F5">
        <w:rPr>
          <w:rFonts w:ascii="Times New Roman" w:eastAsia="Calibri" w:hAnsi="Times New Roman" w:cs="Times New Roman"/>
          <w:sz w:val="24"/>
          <w:szCs w:val="24"/>
          <w:lang w:val="en-US" w:eastAsia="x-none"/>
        </w:rPr>
        <w:t>AIX</w:t>
      </w:r>
      <w:r w:rsidR="00AE295A" w:rsidRPr="005C53F5">
        <w:rPr>
          <w:rFonts w:ascii="Times New Roman" w:eastAsia="Calibri" w:hAnsi="Times New Roman" w:cs="Times New Roman"/>
          <w:sz w:val="24"/>
          <w:szCs w:val="24"/>
          <w:lang w:eastAsia="x-none"/>
        </w:rPr>
        <w:t xml:space="preserve">. </w:t>
      </w:r>
    </w:p>
    <w:p w14:paraId="09E47692" w14:textId="0FBA6861" w:rsidR="00AE295A" w:rsidRPr="005C53F5" w:rsidRDefault="008D7447"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И</w:t>
      </w:r>
      <w:r w:rsidR="00AE295A" w:rsidRPr="005C53F5">
        <w:rPr>
          <w:rFonts w:ascii="Times New Roman" w:eastAsia="Calibri" w:hAnsi="Times New Roman" w:cs="Times New Roman"/>
          <w:sz w:val="24"/>
          <w:szCs w:val="24"/>
          <w:lang w:eastAsia="x-none"/>
        </w:rPr>
        <w:t xml:space="preserve">нвесторы могут быть не в состоянии продать свои Облигации легко или по ценам, которые обеспечат им доход, сопоставимый с аналогичными инвестициями, которые имеют место на развитом вторичном рынке. Облигации могут торговаться </w:t>
      </w:r>
      <w:r w:rsidRPr="005C53F5">
        <w:rPr>
          <w:rFonts w:ascii="Times New Roman" w:eastAsia="Calibri" w:hAnsi="Times New Roman" w:cs="Times New Roman"/>
          <w:sz w:val="24"/>
          <w:szCs w:val="24"/>
          <w:lang w:eastAsia="x-none"/>
        </w:rPr>
        <w:t>с дисконтом</w:t>
      </w:r>
      <w:r w:rsidR="00AE295A" w:rsidRPr="005C53F5">
        <w:rPr>
          <w:rFonts w:ascii="Times New Roman" w:eastAsia="Calibri" w:hAnsi="Times New Roman" w:cs="Times New Roman"/>
          <w:sz w:val="24"/>
          <w:szCs w:val="24"/>
          <w:lang w:eastAsia="x-none"/>
        </w:rPr>
        <w:t xml:space="preserve"> от цены размещения, в зависимости от преобладающих процентных ставок, рынка аналогичных ценных бумаг, общих экономических условий и экономических и политических условий Республики Казахстан.</w:t>
      </w:r>
    </w:p>
    <w:p w14:paraId="1CA583AD" w14:textId="0E7A9945"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Кроме того, ликвидность Облигаций будет зависеть от количества держателей Облигаций, заинтересованности </w:t>
      </w:r>
      <w:r w:rsidR="008D7447" w:rsidRPr="005C53F5">
        <w:rPr>
          <w:rFonts w:ascii="Times New Roman" w:eastAsia="Calibri" w:hAnsi="Times New Roman" w:cs="Times New Roman"/>
          <w:sz w:val="24"/>
          <w:szCs w:val="24"/>
          <w:lang w:eastAsia="x-none"/>
        </w:rPr>
        <w:t>участников организованных торгов</w:t>
      </w:r>
      <w:r w:rsidRPr="005C53F5">
        <w:rPr>
          <w:rFonts w:ascii="Times New Roman" w:eastAsia="Calibri" w:hAnsi="Times New Roman" w:cs="Times New Roman"/>
          <w:sz w:val="24"/>
          <w:szCs w:val="24"/>
          <w:lang w:eastAsia="x-none"/>
        </w:rPr>
        <w:t xml:space="preserve"> в создании рынка для Облигации, а также других факторов.</w:t>
      </w:r>
    </w:p>
    <w:p w14:paraId="14B94603" w14:textId="44B83AD3"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Соответственно, </w:t>
      </w:r>
      <w:r w:rsidR="008D7447" w:rsidRPr="005C53F5">
        <w:rPr>
          <w:rFonts w:ascii="Times New Roman" w:eastAsia="Calibri" w:hAnsi="Times New Roman" w:cs="Times New Roman"/>
          <w:sz w:val="24"/>
          <w:szCs w:val="24"/>
          <w:lang w:eastAsia="x-none"/>
        </w:rPr>
        <w:t>ликвидность</w:t>
      </w:r>
      <w:r w:rsidRPr="005C53F5">
        <w:rPr>
          <w:rFonts w:ascii="Times New Roman" w:eastAsia="Calibri" w:hAnsi="Times New Roman" w:cs="Times New Roman"/>
          <w:sz w:val="24"/>
          <w:szCs w:val="24"/>
          <w:lang w:eastAsia="x-none"/>
        </w:rPr>
        <w:t xml:space="preserve"> Облигаций, </w:t>
      </w:r>
      <w:r w:rsidR="008D7447" w:rsidRPr="005C53F5">
        <w:rPr>
          <w:rFonts w:ascii="Times New Roman" w:eastAsia="Calibri" w:hAnsi="Times New Roman" w:cs="Times New Roman"/>
          <w:sz w:val="24"/>
          <w:szCs w:val="24"/>
          <w:lang w:eastAsia="x-none"/>
        </w:rPr>
        <w:t xml:space="preserve">способность </w:t>
      </w:r>
      <w:r w:rsidRPr="005C53F5">
        <w:rPr>
          <w:rFonts w:ascii="Times New Roman" w:eastAsia="Calibri" w:hAnsi="Times New Roman" w:cs="Times New Roman"/>
          <w:sz w:val="24"/>
          <w:szCs w:val="24"/>
          <w:lang w:eastAsia="x-none"/>
        </w:rPr>
        <w:t xml:space="preserve">инвестора </w:t>
      </w:r>
      <w:r w:rsidR="008D7447" w:rsidRPr="005C53F5">
        <w:rPr>
          <w:rFonts w:ascii="Times New Roman" w:eastAsia="Calibri" w:hAnsi="Times New Roman" w:cs="Times New Roman"/>
          <w:sz w:val="24"/>
          <w:szCs w:val="24"/>
          <w:lang w:eastAsia="x-none"/>
        </w:rPr>
        <w:t xml:space="preserve">продать </w:t>
      </w:r>
      <w:r w:rsidRPr="005C53F5">
        <w:rPr>
          <w:rFonts w:ascii="Times New Roman" w:eastAsia="Calibri" w:hAnsi="Times New Roman" w:cs="Times New Roman"/>
          <w:sz w:val="24"/>
          <w:szCs w:val="24"/>
          <w:lang w:eastAsia="x-none"/>
        </w:rPr>
        <w:t xml:space="preserve">Облигации </w:t>
      </w:r>
      <w:r w:rsidR="008D7447" w:rsidRPr="005C53F5">
        <w:rPr>
          <w:rFonts w:ascii="Times New Roman" w:eastAsia="Calibri" w:hAnsi="Times New Roman" w:cs="Times New Roman"/>
          <w:sz w:val="24"/>
          <w:szCs w:val="24"/>
          <w:lang w:eastAsia="x-none"/>
        </w:rPr>
        <w:t xml:space="preserve">и </w:t>
      </w:r>
      <w:r w:rsidRPr="005C53F5">
        <w:rPr>
          <w:rFonts w:ascii="Times New Roman" w:eastAsia="Calibri" w:hAnsi="Times New Roman" w:cs="Times New Roman"/>
          <w:sz w:val="24"/>
          <w:szCs w:val="24"/>
          <w:lang w:eastAsia="x-none"/>
        </w:rPr>
        <w:t>цен</w:t>
      </w:r>
      <w:r w:rsidR="008D7447" w:rsidRPr="005C53F5">
        <w:rPr>
          <w:rFonts w:ascii="Times New Roman" w:eastAsia="Calibri" w:hAnsi="Times New Roman" w:cs="Times New Roman"/>
          <w:sz w:val="24"/>
          <w:szCs w:val="24"/>
          <w:lang w:eastAsia="x-none"/>
        </w:rPr>
        <w:t>ы</w:t>
      </w:r>
      <w:r w:rsidRPr="005C53F5">
        <w:rPr>
          <w:rFonts w:ascii="Times New Roman" w:eastAsia="Calibri" w:hAnsi="Times New Roman" w:cs="Times New Roman"/>
          <w:sz w:val="24"/>
          <w:szCs w:val="24"/>
          <w:lang w:eastAsia="x-none"/>
        </w:rPr>
        <w:t xml:space="preserve">, по которым инвестор </w:t>
      </w:r>
      <w:r w:rsidR="008D7447" w:rsidRPr="005C53F5">
        <w:rPr>
          <w:rFonts w:ascii="Times New Roman" w:eastAsia="Calibri" w:hAnsi="Times New Roman" w:cs="Times New Roman"/>
          <w:sz w:val="24"/>
          <w:szCs w:val="24"/>
          <w:lang w:eastAsia="x-none"/>
        </w:rPr>
        <w:t>сможет</w:t>
      </w:r>
      <w:r w:rsidRPr="005C53F5">
        <w:rPr>
          <w:rFonts w:ascii="Times New Roman" w:eastAsia="Calibri" w:hAnsi="Times New Roman" w:cs="Times New Roman"/>
          <w:sz w:val="24"/>
          <w:szCs w:val="24"/>
          <w:lang w:eastAsia="x-none"/>
        </w:rPr>
        <w:t xml:space="preserve"> </w:t>
      </w:r>
      <w:r w:rsidR="008D7447" w:rsidRPr="005C53F5">
        <w:rPr>
          <w:rFonts w:ascii="Times New Roman" w:eastAsia="Calibri" w:hAnsi="Times New Roman" w:cs="Times New Roman"/>
          <w:sz w:val="24"/>
          <w:szCs w:val="24"/>
          <w:lang w:eastAsia="x-none"/>
        </w:rPr>
        <w:t xml:space="preserve">продать </w:t>
      </w:r>
      <w:r w:rsidRPr="005C53F5">
        <w:rPr>
          <w:rFonts w:ascii="Times New Roman" w:eastAsia="Calibri" w:hAnsi="Times New Roman" w:cs="Times New Roman"/>
          <w:sz w:val="24"/>
          <w:szCs w:val="24"/>
          <w:lang w:eastAsia="x-none"/>
        </w:rPr>
        <w:t>Облигации</w:t>
      </w:r>
      <w:r w:rsidR="008D7447" w:rsidRPr="005C53F5">
        <w:rPr>
          <w:rFonts w:ascii="Times New Roman" w:eastAsia="Calibri" w:hAnsi="Times New Roman" w:cs="Times New Roman"/>
          <w:sz w:val="24"/>
          <w:szCs w:val="24"/>
          <w:lang w:eastAsia="x-none"/>
        </w:rPr>
        <w:t>, зависят от множества факторов, не зависящих от Эмитента</w:t>
      </w:r>
      <w:r w:rsidRPr="005C53F5">
        <w:rPr>
          <w:rFonts w:ascii="Times New Roman" w:eastAsia="Calibri" w:hAnsi="Times New Roman" w:cs="Times New Roman"/>
          <w:sz w:val="24"/>
          <w:szCs w:val="24"/>
          <w:lang w:eastAsia="x-none"/>
        </w:rPr>
        <w:t>.</w:t>
      </w:r>
    </w:p>
    <w:p w14:paraId="00108006" w14:textId="537C7EFE" w:rsidR="00D77515" w:rsidRPr="005C53F5" w:rsidRDefault="00D77515" w:rsidP="00057BE5">
      <w:pPr>
        <w:spacing w:after="0" w:line="240" w:lineRule="auto"/>
        <w:ind w:firstLine="709"/>
        <w:jc w:val="both"/>
        <w:rPr>
          <w:rFonts w:ascii="Times New Roman" w:eastAsia="Times New Roman" w:hAnsi="Times New Roman" w:cs="Times New Roman"/>
          <w:i/>
          <w:iCs/>
          <w:sz w:val="24"/>
          <w:szCs w:val="24"/>
          <w:lang w:eastAsia="x-none"/>
        </w:rPr>
      </w:pPr>
      <w:r w:rsidRPr="005C53F5">
        <w:rPr>
          <w:rFonts w:ascii="Times New Roman" w:eastAsia="Times New Roman" w:hAnsi="Times New Roman" w:cs="Times New Roman"/>
          <w:i/>
          <w:iCs/>
          <w:sz w:val="24"/>
          <w:szCs w:val="24"/>
          <w:lang w:eastAsia="x-none"/>
        </w:rPr>
        <w:t>Теневая экономика, которая приводит к отсутствию доходов для Правительства Республики Казахстан</w:t>
      </w:r>
    </w:p>
    <w:p w14:paraId="3857F575" w14:textId="0395EC10" w:rsidR="00D77515" w:rsidRPr="005C53F5" w:rsidRDefault="00D77515"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Times New Roman" w:hAnsi="Times New Roman" w:cs="Times New Roman"/>
          <w:sz w:val="24"/>
          <w:szCs w:val="24"/>
          <w:lang w:eastAsia="x-none"/>
        </w:rPr>
        <w:t xml:space="preserve">Значительный размер теневой экономики в Республике Казахстан может негативно сказаться на осуществлении реформ и затруднить эффективный сбор налогов. Размер неформальной экономики оценивался в 28,1% ВВП в 2014 году, 27,5% в 2015 году, 25,8% в 2016 году. 7 августа 2019 года Министерство национальной экономики и Министерство финансов Республики Казахстан приняли новый комплекс мер по борьбе с неформальной экономикой. Пересчитанные данные о размере неформальной экономики за 2017 и 2018 годы составили 28,8% и 27,0% соответственно. Правительство Республики Казахстан проводит последовательную политику по снижению объемов теневой экономики. В декабре 2017 года Правительством Республики Казахстан была утверждена государственная программа «Цифровой Казахстан», одной из целей которой является снижение доли теневой экономики до уровня, сопоставимого с ТОП-30 странами мира к 2022 году. Действует План мероприятий по противодействию теневой экономике на 2019 - 2021 годы, утвержденный Правительством в декабре 2018 года, который предусматривает меры по совершенствованию деловой инфраструктуры и налогового администрирования. Целевым показателем является уровень теневого оборота в экономике </w:t>
      </w:r>
      <w:r w:rsidR="00703A6A" w:rsidRPr="005C53F5">
        <w:rPr>
          <w:rFonts w:ascii="Times New Roman" w:eastAsia="Times New Roman" w:hAnsi="Times New Roman" w:cs="Times New Roman"/>
          <w:sz w:val="24"/>
          <w:szCs w:val="24"/>
          <w:lang w:eastAsia="x-none"/>
        </w:rPr>
        <w:t>(</w:t>
      </w:r>
      <w:r w:rsidRPr="005C53F5">
        <w:rPr>
          <w:rFonts w:ascii="Times New Roman" w:eastAsia="Times New Roman" w:hAnsi="Times New Roman" w:cs="Times New Roman"/>
          <w:sz w:val="24"/>
          <w:szCs w:val="24"/>
          <w:lang w:eastAsia="x-none"/>
        </w:rPr>
        <w:t>в % к ВВП в 2021 году</w:t>
      </w:r>
      <w:r w:rsidR="00703A6A" w:rsidRPr="005C53F5">
        <w:rPr>
          <w:rFonts w:ascii="Times New Roman" w:eastAsia="Times New Roman" w:hAnsi="Times New Roman" w:cs="Times New Roman"/>
          <w:sz w:val="24"/>
          <w:szCs w:val="24"/>
          <w:lang w:eastAsia="x-none"/>
        </w:rPr>
        <w:t>)</w:t>
      </w:r>
      <w:r w:rsidRPr="005C53F5">
        <w:rPr>
          <w:rFonts w:ascii="Times New Roman" w:eastAsia="Times New Roman" w:hAnsi="Times New Roman" w:cs="Times New Roman"/>
          <w:sz w:val="24"/>
          <w:szCs w:val="24"/>
          <w:lang w:eastAsia="x-none"/>
        </w:rPr>
        <w:t xml:space="preserve"> – не более 15 %. Однако не исключается риск недостижения установленных целевых показателей, который в свою очередь может оказать негативное воздействие на Эмитента.</w:t>
      </w:r>
    </w:p>
    <w:p w14:paraId="0FFE02E8" w14:textId="61D12756" w:rsidR="00AE295A" w:rsidRPr="005C53F5" w:rsidRDefault="00AE295A" w:rsidP="00057BE5">
      <w:pPr>
        <w:spacing w:after="0" w:line="240" w:lineRule="auto"/>
        <w:ind w:firstLine="709"/>
        <w:jc w:val="both"/>
        <w:rPr>
          <w:rFonts w:ascii="Times New Roman" w:eastAsia="Calibri" w:hAnsi="Times New Roman" w:cs="Times New Roman"/>
          <w:i/>
          <w:sz w:val="24"/>
          <w:szCs w:val="24"/>
          <w:lang w:eastAsia="x-none"/>
        </w:rPr>
      </w:pPr>
      <w:r w:rsidRPr="005C53F5">
        <w:rPr>
          <w:rFonts w:ascii="Times New Roman" w:eastAsia="Calibri" w:hAnsi="Times New Roman" w:cs="Times New Roman"/>
          <w:i/>
          <w:sz w:val="24"/>
          <w:szCs w:val="24"/>
          <w:lang w:eastAsia="x-none"/>
        </w:rPr>
        <w:t>Низкая эффективность государственных предприятий, которые по-прежнему составляют значительную часть экономики Республики Казахстан, может сказаться на доходах государственного бюджета</w:t>
      </w:r>
    </w:p>
    <w:p w14:paraId="1EC24218" w14:textId="60504E32"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Государственные предприятия по-прежнему составляют значительную часть экономики Республики Казахстан. Например, активы государственного холдинга </w:t>
      </w:r>
      <w:r w:rsidRPr="005C53F5">
        <w:rPr>
          <w:rFonts w:ascii="Times New Roman" w:eastAsia="Calibri" w:hAnsi="Times New Roman" w:cs="Times New Roman"/>
          <w:sz w:val="24"/>
          <w:szCs w:val="24"/>
        </w:rPr>
        <w:t>АО «Фонд национального благосостояния «Самрук-Казына» («</w:t>
      </w:r>
      <w:r w:rsidRPr="005C53F5">
        <w:rPr>
          <w:rFonts w:ascii="Times New Roman" w:eastAsia="Calibri" w:hAnsi="Times New Roman" w:cs="Times New Roman"/>
          <w:b/>
          <w:sz w:val="24"/>
          <w:szCs w:val="24"/>
        </w:rPr>
        <w:t>Самрук-Казына</w:t>
      </w:r>
      <w:r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lang w:eastAsia="x-none"/>
        </w:rPr>
        <w:t xml:space="preserve">по состоянию на 31 декабря </w:t>
      </w:r>
      <w:r w:rsidR="00D8214B" w:rsidRPr="005C53F5">
        <w:rPr>
          <w:rFonts w:ascii="Times New Roman" w:eastAsia="Calibri" w:hAnsi="Times New Roman" w:cs="Times New Roman"/>
          <w:sz w:val="24"/>
          <w:szCs w:val="24"/>
          <w:lang w:eastAsia="x-none"/>
        </w:rPr>
        <w:t xml:space="preserve">2019 </w:t>
      </w:r>
      <w:r w:rsidRPr="005C53F5">
        <w:rPr>
          <w:rFonts w:ascii="Times New Roman" w:eastAsia="Calibri" w:hAnsi="Times New Roman" w:cs="Times New Roman"/>
          <w:sz w:val="24"/>
          <w:szCs w:val="24"/>
          <w:lang w:eastAsia="x-none"/>
        </w:rPr>
        <w:t xml:space="preserve">года составляли примерно </w:t>
      </w:r>
      <w:r w:rsidR="001D0A76" w:rsidRPr="005C53F5">
        <w:rPr>
          <w:rFonts w:ascii="Times New Roman" w:eastAsia="Calibri" w:hAnsi="Times New Roman" w:cs="Times New Roman"/>
          <w:sz w:val="24"/>
          <w:szCs w:val="24"/>
          <w:lang w:eastAsia="x-none"/>
        </w:rPr>
        <w:t>39</w:t>
      </w:r>
      <w:r w:rsidRPr="005C53F5">
        <w:rPr>
          <w:rFonts w:ascii="Times New Roman" w:eastAsia="Calibri" w:hAnsi="Times New Roman" w:cs="Times New Roman"/>
          <w:sz w:val="24"/>
          <w:szCs w:val="24"/>
          <w:lang w:eastAsia="x-none"/>
        </w:rPr>
        <w:t xml:space="preserve">% ВВП Республики Казахстан. Низкие экономические показатели этих предприятий, независимо от их причины, могут оказывать прямое и косвенное негативное влияние на доходы государственного бюджета Республики Казахстан. </w:t>
      </w:r>
    </w:p>
    <w:p w14:paraId="2E9F7736" w14:textId="1C7C23EA" w:rsidR="00AE295A" w:rsidRPr="005C53F5" w:rsidRDefault="00AE295A" w:rsidP="00057BE5">
      <w:pPr>
        <w:pStyle w:val="ConsPlusNormal"/>
        <w:ind w:firstLine="709"/>
        <w:jc w:val="both"/>
        <w:rPr>
          <w:rFonts w:ascii="Times New Roman" w:hAnsi="Times New Roman" w:cs="Times New Roman"/>
          <w:i/>
          <w:sz w:val="24"/>
          <w:szCs w:val="24"/>
        </w:rPr>
      </w:pPr>
      <w:bookmarkStart w:id="208" w:name="_Toc521609250"/>
      <w:bookmarkStart w:id="209" w:name="_Toc533785009"/>
      <w:r w:rsidRPr="005C53F5">
        <w:rPr>
          <w:rFonts w:ascii="Times New Roman" w:hAnsi="Times New Roman" w:cs="Times New Roman"/>
          <w:i/>
          <w:sz w:val="24"/>
          <w:szCs w:val="24"/>
        </w:rPr>
        <w:t xml:space="preserve">Существует </w:t>
      </w:r>
      <w:r w:rsidR="009E4379" w:rsidRPr="005C53F5">
        <w:rPr>
          <w:rFonts w:ascii="Times New Roman" w:hAnsi="Times New Roman" w:cs="Times New Roman"/>
          <w:i/>
          <w:sz w:val="24"/>
          <w:szCs w:val="24"/>
        </w:rPr>
        <w:t xml:space="preserve">вероятность </w:t>
      </w:r>
      <w:r w:rsidRPr="005C53F5">
        <w:rPr>
          <w:rFonts w:ascii="Times New Roman" w:hAnsi="Times New Roman" w:cs="Times New Roman"/>
          <w:i/>
          <w:sz w:val="24"/>
          <w:szCs w:val="24"/>
        </w:rPr>
        <w:t xml:space="preserve">того, что официальные экономические данные </w:t>
      </w:r>
      <w:r w:rsidR="009E4379" w:rsidRPr="005C53F5">
        <w:rPr>
          <w:rFonts w:ascii="Times New Roman" w:hAnsi="Times New Roman" w:cs="Times New Roman"/>
          <w:i/>
          <w:sz w:val="24"/>
          <w:szCs w:val="24"/>
        </w:rPr>
        <w:t>будет затруднительно сопоставить</w:t>
      </w:r>
      <w:r w:rsidRPr="005C53F5">
        <w:rPr>
          <w:rFonts w:ascii="Times New Roman" w:hAnsi="Times New Roman" w:cs="Times New Roman"/>
          <w:i/>
          <w:sz w:val="24"/>
          <w:szCs w:val="24"/>
        </w:rPr>
        <w:t xml:space="preserve"> с данными из других источников</w:t>
      </w:r>
      <w:bookmarkEnd w:id="208"/>
      <w:bookmarkEnd w:id="209"/>
    </w:p>
    <w:p w14:paraId="36AD25DD" w14:textId="6BDFAE6D"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Система сбора и публикации статистической информации Казахстана, касающейся его экономики в целом или конкретных секторов экономики, корпоративной или финансовой информации, касающейся компаний и иных коммерческих организаций, может быть не такой полной, как системы более развитых стран. </w:t>
      </w:r>
    </w:p>
    <w:p w14:paraId="2B92618F" w14:textId="79657D7E" w:rsidR="00AE295A" w:rsidRPr="005C53F5" w:rsidRDefault="00AE295A" w:rsidP="00057BE5">
      <w:pPr>
        <w:spacing w:after="0" w:line="240" w:lineRule="auto"/>
        <w:ind w:firstLine="709"/>
        <w:jc w:val="both"/>
        <w:rPr>
          <w:rFonts w:ascii="Times New Roman" w:eastAsia="Calibri" w:hAnsi="Times New Roman" w:cs="Times New Roman"/>
          <w:sz w:val="24"/>
          <w:szCs w:val="24"/>
          <w:lang w:eastAsia="x-none"/>
        </w:rPr>
      </w:pPr>
      <w:r w:rsidRPr="005C53F5">
        <w:rPr>
          <w:rFonts w:ascii="Times New Roman" w:eastAsia="Calibri" w:hAnsi="Times New Roman" w:cs="Times New Roman"/>
          <w:sz w:val="24"/>
          <w:szCs w:val="24"/>
          <w:lang w:eastAsia="x-none"/>
        </w:rPr>
        <w:t xml:space="preserve">В частности, информация о казахстанских запасах углеводородов и минералов частично основана на системе, введённой в бывшем </w:t>
      </w:r>
      <w:r w:rsidR="00375630" w:rsidRPr="005C53F5">
        <w:rPr>
          <w:rFonts w:ascii="Times New Roman" w:eastAsia="Calibri" w:hAnsi="Times New Roman" w:cs="Times New Roman"/>
          <w:sz w:val="24"/>
          <w:szCs w:val="24"/>
          <w:lang w:eastAsia="x-none"/>
        </w:rPr>
        <w:t>СССР</w:t>
      </w:r>
      <w:r w:rsidRPr="005C53F5">
        <w:rPr>
          <w:rFonts w:ascii="Times New Roman" w:eastAsia="Calibri" w:hAnsi="Times New Roman" w:cs="Times New Roman"/>
          <w:sz w:val="24"/>
          <w:szCs w:val="24"/>
          <w:lang w:eastAsia="x-none"/>
        </w:rPr>
        <w:t>, и не всегда точно отражает разведанные и пригодные к эксплуатации запасы</w:t>
      </w:r>
      <w:r w:rsidR="009E4379" w:rsidRPr="005C53F5">
        <w:rPr>
          <w:rFonts w:ascii="Times New Roman" w:eastAsia="Calibri" w:hAnsi="Times New Roman" w:cs="Times New Roman"/>
          <w:sz w:val="24"/>
          <w:szCs w:val="24"/>
          <w:lang w:eastAsia="x-none"/>
        </w:rPr>
        <w:t xml:space="preserve">. Также </w:t>
      </w:r>
      <w:r w:rsidRPr="005C53F5">
        <w:rPr>
          <w:rFonts w:ascii="Times New Roman" w:eastAsia="Calibri" w:hAnsi="Times New Roman" w:cs="Times New Roman"/>
          <w:sz w:val="24"/>
          <w:szCs w:val="24"/>
          <w:lang w:eastAsia="x-none"/>
        </w:rPr>
        <w:t>экономические данные могут не отражать вклад в общую экономику Казахстана «неофициальной экономики», то есть производства легальных товаров и услуг, которое не учитывается официальной статистикой.</w:t>
      </w:r>
    </w:p>
    <w:p w14:paraId="29B56F5C" w14:textId="77777777" w:rsidR="00AE295A" w:rsidRPr="005C53F5" w:rsidRDefault="00AE295A" w:rsidP="00057BE5">
      <w:pPr>
        <w:keepNext/>
        <w:spacing w:after="0" w:line="240" w:lineRule="auto"/>
        <w:ind w:firstLine="709"/>
        <w:jc w:val="both"/>
        <w:rPr>
          <w:rFonts w:ascii="Times New Roman" w:eastAsia="Calibri" w:hAnsi="Times New Roman" w:cs="Times New Roman"/>
          <w:bCs/>
          <w:i/>
          <w:iCs/>
          <w:sz w:val="24"/>
          <w:szCs w:val="24"/>
        </w:rPr>
      </w:pPr>
      <w:r w:rsidRPr="005C53F5">
        <w:rPr>
          <w:rFonts w:ascii="Times New Roman" w:eastAsia="Calibri" w:hAnsi="Times New Roman" w:cs="Times New Roman"/>
          <w:bCs/>
          <w:i/>
          <w:iCs/>
          <w:sz w:val="24"/>
          <w:szCs w:val="24"/>
        </w:rPr>
        <w:t>Рыночный риск</w:t>
      </w:r>
    </w:p>
    <w:p w14:paraId="307DF00B" w14:textId="77777777" w:rsidR="00AE295A" w:rsidRPr="005C53F5" w:rsidRDefault="00AE295A"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Рыночная стоимость Облигаций подвержена влиянию широкого круга факторов, большинство из которых находятся за пределами сферы контроля Эмитента. К таким факторам, помимо прочего, относятся:</w:t>
      </w:r>
    </w:p>
    <w:p w14:paraId="6A6EA4BE" w14:textId="77777777" w:rsidR="00AE295A" w:rsidRPr="005C53F5" w:rsidRDefault="00AE295A" w:rsidP="00057BE5">
      <w:pPr>
        <w:numPr>
          <w:ilvl w:val="0"/>
          <w:numId w:val="12"/>
        </w:numPr>
        <w:autoSpaceDE w:val="0"/>
        <w:autoSpaceDN w:val="0"/>
        <w:spacing w:after="0" w:line="240" w:lineRule="auto"/>
        <w:ind w:left="1134"/>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финансовое положение и предполагаемая кредитоспособность Эмитента либо субъективная оценка такой кредитоспособности;</w:t>
      </w:r>
    </w:p>
    <w:p w14:paraId="31B3098E" w14:textId="77777777" w:rsidR="00AE295A" w:rsidRPr="005C53F5" w:rsidRDefault="00AE295A" w:rsidP="00057BE5">
      <w:pPr>
        <w:numPr>
          <w:ilvl w:val="0"/>
          <w:numId w:val="12"/>
        </w:numPr>
        <w:autoSpaceDE w:val="0"/>
        <w:autoSpaceDN w:val="0"/>
        <w:spacing w:after="0" w:line="240" w:lineRule="auto"/>
        <w:ind w:left="1134"/>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уровень спроса и предложения, сложившегося на рынке облигаций;</w:t>
      </w:r>
    </w:p>
    <w:p w14:paraId="3C826214" w14:textId="77777777" w:rsidR="00AE295A" w:rsidRPr="005C53F5" w:rsidRDefault="00AE295A" w:rsidP="00057BE5">
      <w:pPr>
        <w:numPr>
          <w:ilvl w:val="0"/>
          <w:numId w:val="12"/>
        </w:numPr>
        <w:autoSpaceDE w:val="0"/>
        <w:autoSpaceDN w:val="0"/>
        <w:spacing w:after="0" w:line="240" w:lineRule="auto"/>
        <w:ind w:left="1134"/>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ликвидность Облигаций и других долговых инструментов Эмитента и другие технические факторы;</w:t>
      </w:r>
    </w:p>
    <w:p w14:paraId="70F97CC5" w14:textId="77777777" w:rsidR="00AE295A" w:rsidRPr="005C53F5" w:rsidRDefault="00AE295A" w:rsidP="00057BE5">
      <w:pPr>
        <w:numPr>
          <w:ilvl w:val="0"/>
          <w:numId w:val="12"/>
        </w:numPr>
        <w:autoSpaceDE w:val="0"/>
        <w:autoSpaceDN w:val="0"/>
        <w:spacing w:after="0" w:line="240" w:lineRule="auto"/>
        <w:ind w:left="1134"/>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мнения аналитиков кредитных рейтинговых агентств;</w:t>
      </w:r>
    </w:p>
    <w:p w14:paraId="2E3473CC" w14:textId="77777777" w:rsidR="00AE295A" w:rsidRPr="005C53F5" w:rsidRDefault="00AE295A" w:rsidP="00057BE5">
      <w:pPr>
        <w:numPr>
          <w:ilvl w:val="0"/>
          <w:numId w:val="12"/>
        </w:numPr>
        <w:autoSpaceDE w:val="0"/>
        <w:autoSpaceDN w:val="0"/>
        <w:spacing w:after="0" w:line="240" w:lineRule="auto"/>
        <w:ind w:left="1134"/>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экономические, финансовые, политические и правовые факторы (в том числе решения государственных органов или судов), способные повлиять на Эмитента или рынки, на которых обращаются долговые инструменты Эмитента.</w:t>
      </w:r>
    </w:p>
    <w:p w14:paraId="5D262EB4" w14:textId="3E38902F" w:rsidR="004151F8" w:rsidRPr="005C53F5" w:rsidRDefault="00AE295A"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Ввиду специфических рисков, присущих Облигациям, Облигации могут утратить ликвидность. Эмитент </w:t>
      </w:r>
      <w:r w:rsidR="00D26077" w:rsidRPr="005C53F5">
        <w:rPr>
          <w:rFonts w:ascii="Times New Roman" w:eastAsia="Calibri" w:hAnsi="Times New Roman" w:cs="Times New Roman"/>
          <w:sz w:val="24"/>
          <w:szCs w:val="24"/>
        </w:rPr>
        <w:t>не обязан</w:t>
      </w:r>
      <w:r w:rsidRPr="005C53F5">
        <w:rPr>
          <w:rFonts w:ascii="Times New Roman" w:eastAsia="Calibri" w:hAnsi="Times New Roman" w:cs="Times New Roman"/>
          <w:sz w:val="24"/>
          <w:szCs w:val="24"/>
        </w:rPr>
        <w:t xml:space="preserve"> поддерживать определенный объем торгов Облигациями. Соответственно, владельцы Облигаций несут риск того, что они не смогут продать Облигации вообще или продать Облигации на приемлемых для себя условиях, в результате чего владельцы Облигаций могут понести убытки.</w:t>
      </w:r>
    </w:p>
    <w:p w14:paraId="6E4137FF" w14:textId="18F42F22"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210" w:name="_Toc39616344"/>
      <w:bookmarkStart w:id="211" w:name="_Toc36145582"/>
      <w:r w:rsidRPr="005C53F5">
        <w:rPr>
          <w:rFonts w:ascii="Times New Roman" w:hAnsi="Times New Roman" w:cs="Times New Roman"/>
          <w:b/>
          <w:sz w:val="24"/>
          <w:szCs w:val="24"/>
        </w:rPr>
        <w:t>2.5.8. Банковские риски</w:t>
      </w:r>
      <w:bookmarkEnd w:id="210"/>
      <w:bookmarkEnd w:id="211"/>
    </w:p>
    <w:p w14:paraId="1ED9E87E" w14:textId="5B2FF71C" w:rsidR="00F04A1E" w:rsidRPr="005C53F5" w:rsidRDefault="00F04A1E" w:rsidP="00057BE5">
      <w:pPr>
        <w:pStyle w:val="ConsPlusNormal"/>
        <w:ind w:firstLine="709"/>
        <w:jc w:val="both"/>
        <w:rPr>
          <w:rFonts w:ascii="Times New Roman" w:hAnsi="Times New Roman" w:cs="Times New Roman"/>
          <w:sz w:val="24"/>
          <w:szCs w:val="24"/>
        </w:rPr>
      </w:pPr>
      <w:bookmarkStart w:id="212" w:name="_Toc521609253"/>
      <w:bookmarkStart w:id="213" w:name="_Toc533785012"/>
      <w:r w:rsidRPr="005C53F5">
        <w:rPr>
          <w:rFonts w:ascii="Times New Roman" w:hAnsi="Times New Roman" w:cs="Times New Roman"/>
          <w:sz w:val="24"/>
          <w:szCs w:val="24"/>
        </w:rPr>
        <w:t>Не применимо, поскольку Эмитент не является кредитной организацией.</w:t>
      </w:r>
      <w:bookmarkEnd w:id="212"/>
      <w:bookmarkEnd w:id="213"/>
      <w:r w:rsidRPr="005C53F5">
        <w:rPr>
          <w:rFonts w:ascii="Times New Roman" w:hAnsi="Times New Roman" w:cs="Times New Roman"/>
          <w:sz w:val="24"/>
          <w:szCs w:val="24"/>
        </w:rPr>
        <w:t xml:space="preserve"> </w:t>
      </w:r>
    </w:p>
    <w:p w14:paraId="6C4F999A" w14:textId="77777777" w:rsidR="003C05ED" w:rsidRPr="005C53F5" w:rsidRDefault="003C05ED" w:rsidP="00057BE5">
      <w:pPr>
        <w:spacing w:after="0" w:line="240" w:lineRule="auto"/>
        <w:rPr>
          <w:rFonts w:ascii="Times New Roman" w:eastAsia="Times New Roman" w:hAnsi="Times New Roman" w:cs="Times New Roman"/>
          <w:b/>
          <w:sz w:val="24"/>
          <w:szCs w:val="24"/>
          <w:lang w:eastAsia="ru-RU"/>
        </w:rPr>
      </w:pPr>
      <w:r w:rsidRPr="005C53F5">
        <w:rPr>
          <w:rFonts w:ascii="Times New Roman" w:hAnsi="Times New Roman" w:cs="Times New Roman"/>
          <w:b/>
          <w:sz w:val="24"/>
          <w:szCs w:val="24"/>
        </w:rPr>
        <w:br w:type="page"/>
      </w:r>
    </w:p>
    <w:p w14:paraId="5995FD65" w14:textId="6AB2E6DD" w:rsidR="00BF5F06" w:rsidRPr="005C53F5" w:rsidRDefault="00BF5F06" w:rsidP="00057BE5">
      <w:pPr>
        <w:pStyle w:val="ConsPlusNormal"/>
        <w:ind w:firstLine="709"/>
        <w:jc w:val="both"/>
        <w:outlineLvl w:val="0"/>
        <w:rPr>
          <w:rFonts w:ascii="Times New Roman" w:hAnsi="Times New Roman" w:cs="Times New Roman"/>
          <w:b/>
          <w:sz w:val="24"/>
          <w:szCs w:val="24"/>
        </w:rPr>
      </w:pPr>
      <w:bookmarkStart w:id="214" w:name="_Toc39616345"/>
      <w:bookmarkStart w:id="215" w:name="_Toc36145583"/>
      <w:r w:rsidRPr="005C53F5">
        <w:rPr>
          <w:rFonts w:ascii="Times New Roman" w:hAnsi="Times New Roman" w:cs="Times New Roman"/>
          <w:b/>
          <w:sz w:val="24"/>
          <w:szCs w:val="24"/>
        </w:rPr>
        <w:t>Раздел III. Подробная информация об эмитенте</w:t>
      </w:r>
      <w:bookmarkEnd w:id="214"/>
      <w:bookmarkEnd w:id="215"/>
    </w:p>
    <w:p w14:paraId="6A2704B3" w14:textId="77777777" w:rsidR="00BC771C" w:rsidRPr="005C53F5" w:rsidRDefault="00BC771C" w:rsidP="00057BE5">
      <w:pPr>
        <w:pStyle w:val="ConsPlusNormal"/>
        <w:ind w:firstLine="709"/>
        <w:jc w:val="both"/>
        <w:outlineLvl w:val="1"/>
        <w:rPr>
          <w:rFonts w:ascii="Times New Roman" w:hAnsi="Times New Roman" w:cs="Times New Roman"/>
          <w:b/>
          <w:sz w:val="24"/>
          <w:szCs w:val="24"/>
        </w:rPr>
      </w:pPr>
      <w:bookmarkStart w:id="216" w:name="_Toc39616346"/>
      <w:bookmarkStart w:id="217" w:name="_Toc36145584"/>
      <w:r w:rsidRPr="005C53F5">
        <w:rPr>
          <w:rFonts w:ascii="Times New Roman" w:hAnsi="Times New Roman" w:cs="Times New Roman"/>
          <w:b/>
          <w:sz w:val="24"/>
          <w:szCs w:val="24"/>
        </w:rPr>
        <w:t>3.1. История создания и развитие эмитента</w:t>
      </w:r>
      <w:bookmarkEnd w:id="216"/>
      <w:bookmarkEnd w:id="217"/>
    </w:p>
    <w:p w14:paraId="75EC2E47" w14:textId="77777777" w:rsidR="00BC771C" w:rsidRPr="005C53F5" w:rsidRDefault="00BC771C" w:rsidP="00057BE5">
      <w:pPr>
        <w:pStyle w:val="ConsPlusNormal"/>
        <w:ind w:firstLine="709"/>
        <w:jc w:val="both"/>
        <w:outlineLvl w:val="2"/>
        <w:rPr>
          <w:rFonts w:ascii="Times New Roman" w:hAnsi="Times New Roman" w:cs="Times New Roman"/>
          <w:b/>
          <w:sz w:val="24"/>
          <w:szCs w:val="24"/>
        </w:rPr>
      </w:pPr>
      <w:bookmarkStart w:id="218" w:name="_Toc39616347"/>
      <w:bookmarkStart w:id="219" w:name="_Toc36145585"/>
      <w:r w:rsidRPr="005C53F5">
        <w:rPr>
          <w:rFonts w:ascii="Times New Roman" w:hAnsi="Times New Roman" w:cs="Times New Roman"/>
          <w:b/>
          <w:sz w:val="24"/>
          <w:szCs w:val="24"/>
        </w:rPr>
        <w:t>3.1.1. Данные о фирменном наименовании (наименовании) эмитента</w:t>
      </w:r>
      <w:bookmarkEnd w:id="218"/>
      <w:bookmarkEnd w:id="219"/>
    </w:p>
    <w:p w14:paraId="00B83F2D" w14:textId="08FF8A59" w:rsidR="00BC771C" w:rsidRPr="005C53F5" w:rsidRDefault="00D666B6" w:rsidP="00057BE5">
      <w:pPr>
        <w:pStyle w:val="ConsPlusNormal"/>
        <w:ind w:firstLine="709"/>
        <w:jc w:val="both"/>
        <w:rPr>
          <w:rFonts w:ascii="Times New Roman" w:hAnsi="Times New Roman" w:cs="Times New Roman"/>
          <w:b/>
          <w:i/>
          <w:sz w:val="24"/>
          <w:szCs w:val="24"/>
          <w:u w:val="single"/>
        </w:rPr>
      </w:pPr>
      <w:bookmarkStart w:id="220" w:name="_Toc521609257"/>
      <w:bookmarkStart w:id="221" w:name="_Toc533785016"/>
      <w:r w:rsidRPr="005C53F5">
        <w:rPr>
          <w:rFonts w:ascii="Times New Roman" w:hAnsi="Times New Roman" w:cs="Times New Roman"/>
          <w:b/>
          <w:i/>
          <w:sz w:val="24"/>
          <w:szCs w:val="24"/>
          <w:u w:val="single"/>
        </w:rPr>
        <w:t>П</w:t>
      </w:r>
      <w:r w:rsidR="00BC771C" w:rsidRPr="005C53F5">
        <w:rPr>
          <w:rFonts w:ascii="Times New Roman" w:hAnsi="Times New Roman" w:cs="Times New Roman"/>
          <w:b/>
          <w:i/>
          <w:sz w:val="24"/>
          <w:szCs w:val="24"/>
          <w:u w:val="single"/>
        </w:rPr>
        <w:t>олное и сокращенное фирменные наименования эмитента (для некоммерческой организации - наименование), а также дата (даты) введения действующих наименований:</w:t>
      </w:r>
      <w:bookmarkEnd w:id="220"/>
      <w:bookmarkEnd w:id="221"/>
    </w:p>
    <w:p w14:paraId="375C4BAF" w14:textId="5EE8366D" w:rsidR="00BC771C" w:rsidRPr="005C53F5" w:rsidRDefault="00BC771C" w:rsidP="00057BE5">
      <w:pPr>
        <w:pStyle w:val="ConsPlusNormal"/>
        <w:ind w:firstLine="709"/>
        <w:jc w:val="both"/>
        <w:rPr>
          <w:rFonts w:ascii="Times New Roman" w:hAnsi="Times New Roman" w:cs="Times New Roman"/>
          <w:sz w:val="24"/>
          <w:szCs w:val="24"/>
        </w:rPr>
      </w:pPr>
      <w:bookmarkStart w:id="222" w:name="_Toc521609258"/>
      <w:bookmarkStart w:id="223" w:name="_Toc533785017"/>
      <w:r w:rsidRPr="005C53F5">
        <w:rPr>
          <w:rFonts w:ascii="Times New Roman" w:hAnsi="Times New Roman" w:cs="Times New Roman"/>
          <w:sz w:val="24"/>
          <w:szCs w:val="24"/>
        </w:rPr>
        <w:t xml:space="preserve">Наименование: Республика </w:t>
      </w:r>
      <w:r w:rsidR="003A1D6B" w:rsidRPr="005C53F5">
        <w:rPr>
          <w:rFonts w:ascii="Times New Roman" w:hAnsi="Times New Roman" w:cs="Times New Roman"/>
          <w:sz w:val="24"/>
          <w:szCs w:val="24"/>
        </w:rPr>
        <w:t>Казахстан</w:t>
      </w:r>
      <w:r w:rsidRPr="005C53F5">
        <w:rPr>
          <w:rFonts w:ascii="Times New Roman" w:hAnsi="Times New Roman" w:cs="Times New Roman"/>
          <w:sz w:val="24"/>
          <w:szCs w:val="24"/>
        </w:rPr>
        <w:t xml:space="preserve"> в лице Министерства финансов Республики </w:t>
      </w:r>
      <w:r w:rsidR="003A1D6B" w:rsidRPr="005C53F5">
        <w:rPr>
          <w:rFonts w:ascii="Times New Roman" w:hAnsi="Times New Roman" w:cs="Times New Roman"/>
          <w:sz w:val="24"/>
          <w:szCs w:val="24"/>
        </w:rPr>
        <w:t>Казахстан</w:t>
      </w:r>
      <w:r w:rsidRPr="005C53F5">
        <w:rPr>
          <w:rFonts w:ascii="Times New Roman" w:hAnsi="Times New Roman" w:cs="Times New Roman"/>
          <w:sz w:val="24"/>
          <w:szCs w:val="24"/>
        </w:rPr>
        <w:t>.</w:t>
      </w:r>
      <w:bookmarkEnd w:id="222"/>
      <w:bookmarkEnd w:id="223"/>
    </w:p>
    <w:p w14:paraId="6AD0441A" w14:textId="77777777" w:rsidR="00BC771C" w:rsidRPr="005C53F5" w:rsidRDefault="00BC771C" w:rsidP="00057BE5">
      <w:pPr>
        <w:pStyle w:val="ConsPlusNormal"/>
        <w:ind w:firstLine="709"/>
        <w:jc w:val="both"/>
        <w:rPr>
          <w:rFonts w:ascii="Times New Roman" w:hAnsi="Times New Roman" w:cs="Times New Roman"/>
          <w:b/>
          <w:i/>
          <w:sz w:val="24"/>
          <w:szCs w:val="24"/>
          <w:u w:val="single"/>
        </w:rPr>
      </w:pPr>
      <w:bookmarkStart w:id="224" w:name="_Toc521609259"/>
      <w:bookmarkStart w:id="225" w:name="_Toc533785018"/>
      <w:r w:rsidRPr="005C53F5">
        <w:rPr>
          <w:rFonts w:ascii="Times New Roman" w:hAnsi="Times New Roman" w:cs="Times New Roman"/>
          <w:b/>
          <w:i/>
          <w:sz w:val="24"/>
          <w:szCs w:val="24"/>
          <w:u w:val="single"/>
        </w:rPr>
        <w:t>В случае если полное или сокращенное фирменное наименование эмитента (для некоммерческой организации - наименование) является схожим с наименованием другого юридического лица, в этом пункте должно быть указано наименование такого юридического лица и даны пояснения, необходимые для избежания смешения указанных наименований:</w:t>
      </w:r>
      <w:bookmarkEnd w:id="224"/>
      <w:bookmarkEnd w:id="225"/>
    </w:p>
    <w:p w14:paraId="52D18258" w14:textId="77777777" w:rsidR="00BC771C" w:rsidRPr="005C53F5" w:rsidRDefault="00BC771C" w:rsidP="00057BE5">
      <w:pPr>
        <w:pStyle w:val="ConsPlusNormal"/>
        <w:ind w:firstLine="709"/>
        <w:jc w:val="both"/>
        <w:rPr>
          <w:rFonts w:ascii="Times New Roman" w:hAnsi="Times New Roman" w:cs="Times New Roman"/>
          <w:sz w:val="24"/>
          <w:szCs w:val="24"/>
        </w:rPr>
      </w:pPr>
      <w:bookmarkStart w:id="226" w:name="_Toc521609260"/>
      <w:bookmarkStart w:id="227" w:name="_Toc533785019"/>
      <w:r w:rsidRPr="005C53F5">
        <w:rPr>
          <w:rFonts w:ascii="Times New Roman" w:hAnsi="Times New Roman" w:cs="Times New Roman"/>
          <w:sz w:val="24"/>
          <w:szCs w:val="24"/>
        </w:rPr>
        <w:t>Не применимо.</w:t>
      </w:r>
      <w:bookmarkEnd w:id="226"/>
      <w:bookmarkEnd w:id="227"/>
    </w:p>
    <w:p w14:paraId="4A824F32" w14:textId="77777777" w:rsidR="00BC771C" w:rsidRPr="005C53F5" w:rsidRDefault="00BC771C" w:rsidP="00057BE5">
      <w:pPr>
        <w:pStyle w:val="ConsPlusNormal"/>
        <w:ind w:firstLine="709"/>
        <w:jc w:val="both"/>
        <w:rPr>
          <w:rFonts w:ascii="Times New Roman" w:hAnsi="Times New Roman" w:cs="Times New Roman"/>
          <w:b/>
          <w:i/>
          <w:sz w:val="24"/>
          <w:szCs w:val="24"/>
          <w:u w:val="single"/>
        </w:rPr>
      </w:pPr>
      <w:bookmarkStart w:id="228" w:name="_Toc521609261"/>
      <w:bookmarkStart w:id="229" w:name="_Toc533785020"/>
      <w:r w:rsidRPr="005C53F5">
        <w:rPr>
          <w:rFonts w:ascii="Times New Roman" w:hAnsi="Times New Roman" w:cs="Times New Roman"/>
          <w:b/>
          <w:i/>
          <w:sz w:val="24"/>
          <w:szCs w:val="24"/>
          <w:u w:val="single"/>
        </w:rPr>
        <w:t>В случае если фирменное наименование эмитента (для некоммерческой организации - наименование) зарегистрировано как товарный знак или знак обслуживания, указываются сведения об их регистрации:</w:t>
      </w:r>
      <w:bookmarkEnd w:id="228"/>
      <w:bookmarkEnd w:id="229"/>
    </w:p>
    <w:p w14:paraId="04251A38" w14:textId="4AD431C1" w:rsidR="00BC771C" w:rsidRPr="005C53F5" w:rsidRDefault="001E4B26" w:rsidP="00057BE5">
      <w:pPr>
        <w:pStyle w:val="ConsPlusNormal"/>
        <w:ind w:firstLine="709"/>
        <w:jc w:val="both"/>
        <w:rPr>
          <w:rFonts w:ascii="Times New Roman" w:hAnsi="Times New Roman" w:cs="Times New Roman"/>
          <w:sz w:val="24"/>
          <w:szCs w:val="24"/>
        </w:rPr>
      </w:pPr>
      <w:bookmarkStart w:id="230" w:name="_Toc521609262"/>
      <w:bookmarkStart w:id="231" w:name="_Toc533785021"/>
      <w:r w:rsidRPr="005C53F5">
        <w:rPr>
          <w:rFonts w:ascii="Times New Roman" w:hAnsi="Times New Roman" w:cs="Times New Roman"/>
          <w:sz w:val="24"/>
          <w:szCs w:val="24"/>
        </w:rPr>
        <w:t>Н</w:t>
      </w:r>
      <w:r w:rsidR="00BC771C" w:rsidRPr="005C53F5">
        <w:rPr>
          <w:rFonts w:ascii="Times New Roman" w:hAnsi="Times New Roman" w:cs="Times New Roman"/>
          <w:sz w:val="24"/>
          <w:szCs w:val="24"/>
        </w:rPr>
        <w:t>аименование Эмитента не может быть зарегистрировано как товарный знак</w:t>
      </w:r>
      <w:r w:rsidR="00692529" w:rsidRPr="005C53F5">
        <w:rPr>
          <w:rFonts w:ascii="Times New Roman" w:hAnsi="Times New Roman" w:cs="Times New Roman"/>
          <w:bCs/>
          <w:iCs/>
          <w:sz w:val="24"/>
          <w:szCs w:val="24"/>
        </w:rPr>
        <w:t xml:space="preserve"> (</w:t>
      </w:r>
      <w:r w:rsidR="00BC771C" w:rsidRPr="005C53F5">
        <w:rPr>
          <w:rFonts w:ascii="Times New Roman" w:hAnsi="Times New Roman" w:cs="Times New Roman"/>
          <w:sz w:val="24"/>
          <w:szCs w:val="24"/>
        </w:rPr>
        <w:t>знак обслуживания</w:t>
      </w:r>
      <w:r w:rsidR="00692529" w:rsidRPr="005C53F5">
        <w:rPr>
          <w:rFonts w:ascii="Times New Roman" w:hAnsi="Times New Roman" w:cs="Times New Roman"/>
          <w:sz w:val="24"/>
          <w:szCs w:val="24"/>
        </w:rPr>
        <w:t>)</w:t>
      </w:r>
      <w:r w:rsidR="00BC771C" w:rsidRPr="005C53F5">
        <w:rPr>
          <w:rFonts w:ascii="Times New Roman" w:hAnsi="Times New Roman" w:cs="Times New Roman"/>
          <w:bCs/>
          <w:iCs/>
          <w:sz w:val="24"/>
          <w:szCs w:val="24"/>
        </w:rPr>
        <w:t>.</w:t>
      </w:r>
      <w:bookmarkEnd w:id="230"/>
      <w:bookmarkEnd w:id="231"/>
    </w:p>
    <w:p w14:paraId="1E6B7CC9" w14:textId="77777777" w:rsidR="00BC771C" w:rsidRPr="005C53F5" w:rsidRDefault="00BC771C" w:rsidP="00057BE5">
      <w:pPr>
        <w:pStyle w:val="ConsPlusNormal"/>
        <w:ind w:firstLine="709"/>
        <w:jc w:val="both"/>
        <w:rPr>
          <w:rFonts w:ascii="Times New Roman" w:hAnsi="Times New Roman" w:cs="Times New Roman"/>
          <w:b/>
          <w:i/>
          <w:sz w:val="24"/>
          <w:szCs w:val="24"/>
          <w:u w:val="single"/>
        </w:rPr>
      </w:pPr>
      <w:bookmarkStart w:id="232" w:name="_Toc521609263"/>
      <w:bookmarkStart w:id="233" w:name="_Toc533785022"/>
      <w:r w:rsidRPr="005C53F5">
        <w:rPr>
          <w:rFonts w:ascii="Times New Roman" w:hAnsi="Times New Roman" w:cs="Times New Roman"/>
          <w:b/>
          <w:i/>
          <w:sz w:val="24"/>
          <w:szCs w:val="24"/>
          <w:u w:val="single"/>
        </w:rPr>
        <w:t>В случае если в течение времени существования эмитента изменялось его фирменное наименование (для некоммерческой организации - наименование), приводятся все его предшествующие полные и сокращенные фирменные наименования (наименования) и организационно-правовые формы с указанием даты и оснований изменения:</w:t>
      </w:r>
      <w:bookmarkEnd w:id="232"/>
      <w:bookmarkEnd w:id="233"/>
    </w:p>
    <w:p w14:paraId="1C9EE577" w14:textId="03FE5AFB" w:rsidR="00BC771C" w:rsidRPr="005C53F5" w:rsidRDefault="00BC771C" w:rsidP="00057BE5">
      <w:pPr>
        <w:pStyle w:val="ConsPlusNormal"/>
        <w:ind w:firstLine="709"/>
        <w:jc w:val="both"/>
        <w:rPr>
          <w:rFonts w:ascii="Times New Roman" w:hAnsi="Times New Roman" w:cs="Times New Roman"/>
          <w:sz w:val="24"/>
          <w:szCs w:val="24"/>
        </w:rPr>
      </w:pPr>
      <w:bookmarkStart w:id="234" w:name="_Toc521609264"/>
      <w:bookmarkStart w:id="235" w:name="_Toc533785023"/>
      <w:r w:rsidRPr="005C53F5">
        <w:rPr>
          <w:rFonts w:ascii="Times New Roman" w:hAnsi="Times New Roman" w:cs="Times New Roman"/>
          <w:sz w:val="24"/>
          <w:szCs w:val="24"/>
        </w:rPr>
        <w:t>В течение срока существования Эмитента его наименование не изменялось.</w:t>
      </w:r>
      <w:bookmarkEnd w:id="234"/>
      <w:bookmarkEnd w:id="235"/>
    </w:p>
    <w:p w14:paraId="16D5D3C9" w14:textId="77777777" w:rsidR="00BC771C" w:rsidRPr="005C53F5" w:rsidRDefault="00BC771C" w:rsidP="00057BE5">
      <w:pPr>
        <w:pStyle w:val="ConsPlusNormal"/>
        <w:ind w:firstLine="709"/>
        <w:jc w:val="both"/>
        <w:outlineLvl w:val="2"/>
        <w:rPr>
          <w:rFonts w:ascii="Times New Roman" w:hAnsi="Times New Roman" w:cs="Times New Roman"/>
          <w:b/>
          <w:sz w:val="24"/>
          <w:szCs w:val="24"/>
        </w:rPr>
      </w:pPr>
      <w:bookmarkStart w:id="236" w:name="_Toc39616348"/>
      <w:bookmarkStart w:id="237" w:name="_Toc36145586"/>
      <w:r w:rsidRPr="005C53F5">
        <w:rPr>
          <w:rFonts w:ascii="Times New Roman" w:hAnsi="Times New Roman" w:cs="Times New Roman"/>
          <w:b/>
          <w:sz w:val="24"/>
          <w:szCs w:val="24"/>
        </w:rPr>
        <w:t>3.1.2. Сведения о государственной регистрации эмитента</w:t>
      </w:r>
      <w:bookmarkEnd w:id="236"/>
      <w:bookmarkEnd w:id="237"/>
    </w:p>
    <w:p w14:paraId="242A796C" w14:textId="77777777" w:rsidR="00BC771C" w:rsidRPr="005C53F5" w:rsidRDefault="00BC771C" w:rsidP="00057BE5">
      <w:pPr>
        <w:pStyle w:val="ConsPlusNormal"/>
        <w:ind w:firstLine="709"/>
        <w:jc w:val="both"/>
        <w:rPr>
          <w:rFonts w:ascii="Times New Roman" w:hAnsi="Times New Roman" w:cs="Times New Roman"/>
          <w:sz w:val="24"/>
          <w:szCs w:val="24"/>
        </w:rPr>
      </w:pPr>
      <w:bookmarkStart w:id="238" w:name="_Toc521609266"/>
      <w:bookmarkStart w:id="239" w:name="_Toc533785025"/>
      <w:r w:rsidRPr="005C53F5">
        <w:rPr>
          <w:rFonts w:ascii="Times New Roman" w:hAnsi="Times New Roman" w:cs="Times New Roman"/>
          <w:sz w:val="24"/>
          <w:szCs w:val="24"/>
        </w:rPr>
        <w:t>Эмитент не подлежал и не подлежит государственной регистрации в соответствии с законодательством Российской Федерации.</w:t>
      </w:r>
      <w:bookmarkEnd w:id="238"/>
      <w:bookmarkEnd w:id="239"/>
    </w:p>
    <w:p w14:paraId="0C80EEF1" w14:textId="77777777" w:rsidR="00BC771C" w:rsidRPr="005C53F5" w:rsidRDefault="00BC771C" w:rsidP="00057BE5">
      <w:pPr>
        <w:pStyle w:val="ConsPlusNormal"/>
        <w:ind w:firstLine="709"/>
        <w:jc w:val="both"/>
        <w:outlineLvl w:val="2"/>
        <w:rPr>
          <w:rFonts w:ascii="Times New Roman" w:hAnsi="Times New Roman" w:cs="Times New Roman"/>
          <w:b/>
          <w:sz w:val="24"/>
          <w:szCs w:val="24"/>
        </w:rPr>
      </w:pPr>
      <w:bookmarkStart w:id="240" w:name="_Toc39616349"/>
      <w:bookmarkStart w:id="241" w:name="_Toc36145587"/>
      <w:r w:rsidRPr="005C53F5">
        <w:rPr>
          <w:rFonts w:ascii="Times New Roman" w:hAnsi="Times New Roman" w:cs="Times New Roman"/>
          <w:b/>
          <w:sz w:val="24"/>
          <w:szCs w:val="24"/>
        </w:rPr>
        <w:t>3.1.3. Сведения о создании и развитии эмитента</w:t>
      </w:r>
      <w:bookmarkEnd w:id="240"/>
      <w:bookmarkEnd w:id="241"/>
    </w:p>
    <w:p w14:paraId="495B4AB3" w14:textId="7ED8C8C0" w:rsidR="00BC771C" w:rsidRPr="005C53F5" w:rsidRDefault="00D666B6" w:rsidP="00057BE5">
      <w:pPr>
        <w:pStyle w:val="ConsPlusNormal"/>
        <w:ind w:firstLine="709"/>
        <w:jc w:val="both"/>
        <w:rPr>
          <w:rFonts w:ascii="Times New Roman" w:hAnsi="Times New Roman" w:cs="Times New Roman"/>
          <w:b/>
          <w:i/>
          <w:sz w:val="24"/>
          <w:szCs w:val="24"/>
          <w:u w:val="single"/>
        </w:rPr>
      </w:pPr>
      <w:bookmarkStart w:id="242" w:name="_Toc521609268"/>
      <w:bookmarkStart w:id="243" w:name="_Toc533785027"/>
      <w:r w:rsidRPr="005C53F5">
        <w:rPr>
          <w:rFonts w:ascii="Times New Roman" w:hAnsi="Times New Roman" w:cs="Times New Roman"/>
          <w:b/>
          <w:i/>
          <w:sz w:val="24"/>
          <w:szCs w:val="24"/>
          <w:u w:val="single"/>
        </w:rPr>
        <w:t>С</w:t>
      </w:r>
      <w:r w:rsidR="00BC771C" w:rsidRPr="005C53F5">
        <w:rPr>
          <w:rFonts w:ascii="Times New Roman" w:hAnsi="Times New Roman" w:cs="Times New Roman"/>
          <w:b/>
          <w:i/>
          <w:sz w:val="24"/>
          <w:szCs w:val="24"/>
          <w:u w:val="single"/>
        </w:rPr>
        <w:t>рок, до которого эмитент будет существовать, в случае, если он создан на определенный срок или до достижения определенной цели, либо указывается на то, что эмитент создан на неопределенный срок:</w:t>
      </w:r>
      <w:bookmarkEnd w:id="242"/>
      <w:bookmarkEnd w:id="243"/>
    </w:p>
    <w:p w14:paraId="4E4D82E1" w14:textId="77777777" w:rsidR="00BC771C" w:rsidRPr="005C53F5" w:rsidRDefault="00BC771C" w:rsidP="00057BE5">
      <w:pPr>
        <w:pStyle w:val="ConsPlusNormal"/>
        <w:ind w:firstLine="709"/>
        <w:jc w:val="both"/>
        <w:rPr>
          <w:rFonts w:ascii="Times New Roman" w:hAnsi="Times New Roman" w:cs="Times New Roman"/>
          <w:sz w:val="24"/>
          <w:szCs w:val="24"/>
        </w:rPr>
      </w:pPr>
      <w:bookmarkStart w:id="244" w:name="_Toc521609269"/>
      <w:bookmarkStart w:id="245" w:name="_Toc533785028"/>
      <w:r w:rsidRPr="005C53F5">
        <w:rPr>
          <w:rFonts w:ascii="Times New Roman" w:hAnsi="Times New Roman" w:cs="Times New Roman"/>
          <w:sz w:val="24"/>
          <w:szCs w:val="24"/>
        </w:rPr>
        <w:t>Не применимо.</w:t>
      </w:r>
      <w:bookmarkEnd w:id="244"/>
      <w:bookmarkEnd w:id="245"/>
    </w:p>
    <w:p w14:paraId="0EA2C104" w14:textId="6FE4391C" w:rsidR="00BC771C" w:rsidRPr="005C53F5" w:rsidRDefault="00D666B6" w:rsidP="00057BE5">
      <w:pPr>
        <w:pStyle w:val="ConsPlusNormal"/>
        <w:ind w:firstLine="709"/>
        <w:jc w:val="both"/>
        <w:rPr>
          <w:rFonts w:ascii="Times New Roman" w:hAnsi="Times New Roman" w:cs="Times New Roman"/>
          <w:b/>
          <w:i/>
          <w:sz w:val="24"/>
          <w:szCs w:val="24"/>
          <w:u w:val="single"/>
        </w:rPr>
      </w:pPr>
      <w:bookmarkStart w:id="246" w:name="_Toc521609270"/>
      <w:bookmarkStart w:id="247" w:name="_Toc533785029"/>
      <w:r w:rsidRPr="005C53F5">
        <w:rPr>
          <w:rFonts w:ascii="Times New Roman" w:hAnsi="Times New Roman" w:cs="Times New Roman"/>
          <w:b/>
          <w:i/>
          <w:sz w:val="24"/>
          <w:szCs w:val="24"/>
          <w:u w:val="single"/>
        </w:rPr>
        <w:t>К</w:t>
      </w:r>
      <w:r w:rsidR="00BC771C" w:rsidRPr="005C53F5">
        <w:rPr>
          <w:rFonts w:ascii="Times New Roman" w:hAnsi="Times New Roman" w:cs="Times New Roman"/>
          <w:b/>
          <w:i/>
          <w:sz w:val="24"/>
          <w:szCs w:val="24"/>
          <w:u w:val="single"/>
        </w:rPr>
        <w:t>раткое описание истори</w:t>
      </w:r>
      <w:r w:rsidRPr="005C53F5">
        <w:rPr>
          <w:rFonts w:ascii="Times New Roman" w:hAnsi="Times New Roman" w:cs="Times New Roman"/>
          <w:b/>
          <w:i/>
          <w:sz w:val="24"/>
          <w:szCs w:val="24"/>
          <w:u w:val="single"/>
        </w:rPr>
        <w:t>и создания и развития эмитента, ц</w:t>
      </w:r>
      <w:r w:rsidR="00BC771C" w:rsidRPr="005C53F5">
        <w:rPr>
          <w:rFonts w:ascii="Times New Roman" w:hAnsi="Times New Roman" w:cs="Times New Roman"/>
          <w:b/>
          <w:i/>
          <w:sz w:val="24"/>
          <w:szCs w:val="24"/>
          <w:u w:val="single"/>
        </w:rPr>
        <w:t>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bookmarkEnd w:id="246"/>
      <w:bookmarkEnd w:id="247"/>
    </w:p>
    <w:p w14:paraId="5A7FAFB3" w14:textId="3DD9CDD2" w:rsidR="00523459" w:rsidRPr="005C53F5" w:rsidRDefault="006F3833"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На различных этапах истории на территории Казахстана возникали и развивались государства с самобытной культурной историей, наследником которой стал современный Казахстан. </w:t>
      </w:r>
      <w:r w:rsidR="007219B3" w:rsidRPr="005C53F5">
        <w:rPr>
          <w:rFonts w:ascii="Times New Roman" w:eastAsia="Calibri" w:hAnsi="Times New Roman" w:cs="Times New Roman"/>
          <w:sz w:val="24"/>
          <w:szCs w:val="24"/>
        </w:rPr>
        <w:t>В первые века I-го тысячелетия нашей эры на территории степной зоны Центральной Азии процветала кочевая скифо-сакская цивилизация.</w:t>
      </w:r>
      <w:r w:rsidR="002B5B18" w:rsidRPr="005C53F5">
        <w:rPr>
          <w:rFonts w:ascii="Times New Roman" w:eastAsia="Calibri" w:hAnsi="Times New Roman" w:cs="Times New Roman"/>
          <w:sz w:val="24"/>
          <w:szCs w:val="24"/>
        </w:rPr>
        <w:t xml:space="preserve"> В последующие века в степях современного Казахстана сформировалась могучая гуннская держава. В дальнейшем преемниками гуннов стали тюркоязычные племена, создавшие несколько крупных государственных образований - каганатов, простиравшихся от Желтого моря на Востоке до Черного моря на Западе. </w:t>
      </w:r>
    </w:p>
    <w:p w14:paraId="75C7FFAD" w14:textId="529FE0CB" w:rsidR="00692529" w:rsidRPr="005C53F5" w:rsidRDefault="00692529"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Во </w:t>
      </w:r>
      <w:r w:rsidRPr="005C53F5">
        <w:rPr>
          <w:rFonts w:ascii="Times New Roman" w:eastAsia="Calibri" w:hAnsi="Times New Roman" w:cs="Times New Roman"/>
          <w:sz w:val="24"/>
          <w:szCs w:val="24"/>
          <w:lang w:val="en-US"/>
        </w:rPr>
        <w:t>II</w:t>
      </w:r>
      <w:r w:rsidRPr="005C53F5">
        <w:rPr>
          <w:rFonts w:ascii="Times New Roman" w:eastAsia="Calibri" w:hAnsi="Times New Roman" w:cs="Times New Roman"/>
          <w:sz w:val="24"/>
          <w:szCs w:val="24"/>
        </w:rPr>
        <w:t xml:space="preserve"> веке началась торговля вдоль Великого Шёлкового пути, так называемой сети караванных путей, соединявших восточный Китай и западную Персию (в настоящее время это территория Ирана). По расчетам ученых протяженность Великого Шёлкового пути составляла 7 тыс. км, благодаря ему развивались и возникали города. На карте Великого Шелкового пути выделяли 2 маршрута: северный и южный. Юг Казахстана являлся одним из торговых узлов южного маршрута, снабжавшего </w:t>
      </w:r>
      <w:r w:rsidRPr="005C53F5">
        <w:rPr>
          <w:rFonts w:ascii="Times New Roman" w:eastAsia="Calibri" w:hAnsi="Times New Roman" w:cs="Times New Roman"/>
          <w:color w:val="000000"/>
          <w:sz w:val="24"/>
          <w:szCs w:val="24"/>
        </w:rPr>
        <w:t xml:space="preserve">караваны лошадьми, верблюдами и продовольствием. </w:t>
      </w:r>
      <w:r w:rsidRPr="005C53F5">
        <w:rPr>
          <w:rFonts w:ascii="Times New Roman" w:eastAsia="Calibri" w:hAnsi="Times New Roman" w:cs="Times New Roman"/>
          <w:sz w:val="24"/>
          <w:szCs w:val="24"/>
        </w:rPr>
        <w:t>Историческая важность Великого Шёлкового пути для Казахстана определяется не только возникновением важных торговых и экономических связей, но и культурным обменом между различными народами, осуществлявших торговлю.</w:t>
      </w:r>
    </w:p>
    <w:p w14:paraId="14A878D3" w14:textId="3F584CAA" w:rsidR="00692529" w:rsidRPr="005C53F5" w:rsidRDefault="002B5B18"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1221 году монгольские племена под предводительством Чингисхана завоевали Центральную Азию. Монгольское нашествие оказало значительное влияние на историю казахского народа. Большая часть нынешнего Казахстана вошла в состав Золотой Орды, улуса, который принадлежал наследникам Джучи, старшего сына Чингисхана. Казахские ханы впоследствии являлись его прямыми потомками</w:t>
      </w:r>
      <w:r w:rsidR="00A04874"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и их прерогатива на верховную власть в стране не подвергалась сомнению. </w:t>
      </w:r>
    </w:p>
    <w:p w14:paraId="3C55ADCF" w14:textId="251D2EAB" w:rsidR="002B5B18" w:rsidRPr="005C53F5" w:rsidRDefault="002B5B18" w:rsidP="00057BE5">
      <w:pPr>
        <w:spacing w:after="0" w:line="240" w:lineRule="auto"/>
        <w:ind w:firstLine="709"/>
        <w:jc w:val="both"/>
        <w:rPr>
          <w:color w:val="000000"/>
          <w:sz w:val="27"/>
          <w:szCs w:val="27"/>
        </w:rPr>
      </w:pPr>
      <w:r w:rsidRPr="005C53F5">
        <w:rPr>
          <w:rFonts w:ascii="Times New Roman" w:eastAsia="Calibri" w:hAnsi="Times New Roman" w:cs="Times New Roman"/>
          <w:sz w:val="24"/>
          <w:szCs w:val="24"/>
        </w:rPr>
        <w:t>Ко второй половине XV века в регионе начался процесс консолидации народов кочевой степи, сложившихся из многообразных этнокультурных субстратов на основе общей ментальности и образа жизни. Стали образовываться первые казахские ханства.</w:t>
      </w:r>
    </w:p>
    <w:p w14:paraId="13B059D9" w14:textId="584BEF7C" w:rsidR="002B5B18" w:rsidRPr="005C53F5" w:rsidRDefault="002B5B18"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конце XVIII — начале XIX вв. большая часть территории </w:t>
      </w:r>
      <w:r w:rsidR="00B01356" w:rsidRPr="005C53F5">
        <w:rPr>
          <w:rFonts w:ascii="Times New Roman" w:eastAsia="Calibri" w:hAnsi="Times New Roman" w:cs="Times New Roman"/>
          <w:sz w:val="24"/>
          <w:szCs w:val="24"/>
        </w:rPr>
        <w:t>южного Казахстана</w:t>
      </w:r>
      <w:r w:rsidRPr="005C53F5">
        <w:rPr>
          <w:rFonts w:ascii="Times New Roman" w:eastAsia="Calibri" w:hAnsi="Times New Roman" w:cs="Times New Roman"/>
          <w:sz w:val="24"/>
          <w:szCs w:val="24"/>
        </w:rPr>
        <w:t xml:space="preserve"> находилась под властью среднеазиатских ханств. Кокандские и Хивинские ханства совершали походы на казахские земли</w:t>
      </w:r>
      <w:r w:rsidR="00B01356"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В 1817 г. </w:t>
      </w:r>
      <w:r w:rsidR="00B01356" w:rsidRPr="005C53F5">
        <w:rPr>
          <w:rFonts w:ascii="Times New Roman" w:eastAsia="Calibri" w:hAnsi="Times New Roman" w:cs="Times New Roman"/>
          <w:sz w:val="24"/>
          <w:szCs w:val="24"/>
        </w:rPr>
        <w:t xml:space="preserve">Старший жуз (группа казахских родов и племён, господствовавших на территории южного Казахстана) </w:t>
      </w:r>
      <w:r w:rsidRPr="005C53F5">
        <w:rPr>
          <w:rFonts w:ascii="Times New Roman" w:eastAsia="Calibri" w:hAnsi="Times New Roman" w:cs="Times New Roman"/>
          <w:sz w:val="24"/>
          <w:szCs w:val="24"/>
        </w:rPr>
        <w:t xml:space="preserve">заявил о желании принять российское подданство. В мае 1824 г. был подписан документ царского правительства о принятии Старшего жуза в подданство России. К 1847 г. подавляющее большинство Старшего и Среднего жузов </w:t>
      </w:r>
      <w:r w:rsidR="00B01356" w:rsidRPr="005C53F5">
        <w:rPr>
          <w:rFonts w:ascii="Times New Roman" w:eastAsia="Calibri" w:hAnsi="Times New Roman" w:cs="Times New Roman"/>
          <w:sz w:val="24"/>
          <w:szCs w:val="24"/>
        </w:rPr>
        <w:t xml:space="preserve">(группа казахских племенных объединений в Центральном, Северном и Восточном Казахстане) </w:t>
      </w:r>
      <w:r w:rsidRPr="005C53F5">
        <w:rPr>
          <w:rFonts w:ascii="Times New Roman" w:eastAsia="Calibri" w:hAnsi="Times New Roman" w:cs="Times New Roman"/>
          <w:sz w:val="24"/>
          <w:szCs w:val="24"/>
        </w:rPr>
        <w:t xml:space="preserve">перешло в российское подданство. </w:t>
      </w:r>
    </w:p>
    <w:p w14:paraId="31F8E5D9" w14:textId="333DDF67" w:rsidR="00692529" w:rsidRPr="005C53F5" w:rsidRDefault="00B01356"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После революции 1917 года в Казахстане установилась Советская власть. </w:t>
      </w:r>
      <w:r w:rsidR="00692529" w:rsidRPr="005C53F5">
        <w:rPr>
          <w:rFonts w:ascii="Times New Roman" w:eastAsia="Calibri" w:hAnsi="Times New Roman" w:cs="Times New Roman"/>
          <w:sz w:val="24"/>
          <w:szCs w:val="24"/>
        </w:rPr>
        <w:t xml:space="preserve">Казахстан играл жизненно важную роль в сфере промышленности и сельского хозяйства в период существования Союза Советских Социалистических Республик (СССР). Большая часть российской промышленности была перенесена в Казахстан в период Второй мировой войны. В период 1953-1965 годов часть территории Казахстана использовалась для выращивания пшена и других злаковых в рамках кампании по освоению целины. В конце 60-х и 70-х годов была разработана программа, подразумевающая перенос советской промышленности ближе к обширным запасам угля, нефти и газа на территории Казахстана либо в другие части Центральной Азии. </w:t>
      </w:r>
    </w:p>
    <w:p w14:paraId="34967EE3" w14:textId="77777777" w:rsidR="00692529" w:rsidRPr="005C53F5" w:rsidRDefault="00692529"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16 декабря 1991 года был принят Конституционный закон «О государственной независимости Республики Казахстан». После прекращения существования СССР 13 декабря 1991 года Казахстан в составе пяти центральноазиатских государств, входивших в состав СССР, выразил согласие войти в Содружество Независимых Государств (СНГ) при условии обеспечения равноправного участия субъектов бывшего СССР и признания всех государств СНГ в качестве учредителей. Результатом стало подписание 21 декабря 1991 года Алма-Атинской декларации, в которой излагались цели и принципы СНГ. В ней закреплялось положение о том, что взаимодействие участников организации «будет осуществляться на принципе равноправия через координирующие институты, формируемые на паритетной основе и действующие в порядке, определяемом соглашениями между участниками Содружества, которое не является ни государством, ни надгосударственным образованием». </w:t>
      </w:r>
    </w:p>
    <w:p w14:paraId="51A28D45" w14:textId="72BCAF8F" w:rsidR="003A1D6B" w:rsidRPr="005C53F5" w:rsidRDefault="00692529"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Нурсултан Назарбаев стал первым Президентом Казахстана наряду с формированием нового независимого государства и стоял в его главе до марта 2019 года, когда он объявил об отставке. Следующим Президентом Республики Казахстан был избран Касым-Жомарт Токаев, который выиграл президентские выборы 9 июня 2019 года с 70,96% голосов и продолжает возглавлять государство в настоящее время.</w:t>
      </w:r>
    </w:p>
    <w:p w14:paraId="748AC9F9" w14:textId="0960622A" w:rsidR="00BC771C" w:rsidRPr="005C53F5" w:rsidRDefault="00BC771C" w:rsidP="00057BE5">
      <w:pPr>
        <w:pStyle w:val="ConsPlusNormal"/>
        <w:ind w:firstLine="709"/>
        <w:jc w:val="both"/>
        <w:outlineLvl w:val="2"/>
        <w:rPr>
          <w:rFonts w:ascii="Times New Roman" w:hAnsi="Times New Roman" w:cs="Times New Roman"/>
          <w:b/>
          <w:sz w:val="24"/>
          <w:szCs w:val="24"/>
        </w:rPr>
      </w:pPr>
      <w:bookmarkStart w:id="248" w:name="_Toc39616350"/>
      <w:bookmarkStart w:id="249" w:name="_Toc36145588"/>
      <w:r w:rsidRPr="005C53F5">
        <w:rPr>
          <w:rFonts w:ascii="Times New Roman" w:hAnsi="Times New Roman" w:cs="Times New Roman"/>
          <w:b/>
          <w:sz w:val="24"/>
          <w:szCs w:val="24"/>
        </w:rPr>
        <w:t>3.1.4. Контактная информация</w:t>
      </w:r>
      <w:bookmarkEnd w:id="248"/>
      <w:bookmarkEnd w:id="249"/>
    </w:p>
    <w:p w14:paraId="0B735C68" w14:textId="5BCA2E1B" w:rsidR="00BC771C" w:rsidRPr="005C53F5" w:rsidRDefault="00D666B6" w:rsidP="00057BE5">
      <w:pPr>
        <w:pStyle w:val="ConsPlusNormal"/>
        <w:ind w:firstLine="709"/>
        <w:jc w:val="both"/>
        <w:rPr>
          <w:rFonts w:ascii="Times New Roman" w:hAnsi="Times New Roman" w:cs="Times New Roman"/>
          <w:b/>
          <w:i/>
          <w:sz w:val="24"/>
          <w:szCs w:val="24"/>
          <w:u w:val="single"/>
        </w:rPr>
      </w:pPr>
      <w:bookmarkStart w:id="250" w:name="_Toc521609293"/>
      <w:bookmarkStart w:id="251" w:name="_Toc533785052"/>
      <w:r w:rsidRPr="005C53F5">
        <w:rPr>
          <w:rFonts w:ascii="Times New Roman" w:hAnsi="Times New Roman" w:cs="Times New Roman"/>
          <w:b/>
          <w:i/>
          <w:sz w:val="24"/>
          <w:szCs w:val="24"/>
          <w:u w:val="single"/>
        </w:rPr>
        <w:t>М</w:t>
      </w:r>
      <w:r w:rsidR="00BC771C" w:rsidRPr="005C53F5">
        <w:rPr>
          <w:rFonts w:ascii="Times New Roman" w:hAnsi="Times New Roman" w:cs="Times New Roman"/>
          <w:b/>
          <w:i/>
          <w:sz w:val="24"/>
          <w:szCs w:val="24"/>
          <w:u w:val="single"/>
        </w:rPr>
        <w:t>есто нахождения эмитента, адрес эмитента, указанный в едином государственном реестре юридических лиц, иной адрес для направления эмитенту почтовой корреспонденции (в случае его наличия), номер телефона, факса, адрес электронной почты, адрес страницы (страниц) в сети Интернет, на которой (на которых) доступна информация об эмитенте, размещенных и (или) размещаемых им ценных бумагах:</w:t>
      </w:r>
      <w:bookmarkEnd w:id="250"/>
      <w:bookmarkEnd w:id="251"/>
    </w:p>
    <w:p w14:paraId="222B1119" w14:textId="77777777" w:rsidR="008F7787" w:rsidRPr="005C53F5" w:rsidRDefault="008F7787" w:rsidP="00057BE5">
      <w:pPr>
        <w:spacing w:after="0" w:line="240" w:lineRule="auto"/>
        <w:ind w:firstLine="709"/>
        <w:jc w:val="both"/>
        <w:rPr>
          <w:rFonts w:ascii="Times New Roman" w:eastAsia="Calibri" w:hAnsi="Times New Roman" w:cs="Times New Roman"/>
          <w:sz w:val="24"/>
          <w:szCs w:val="24"/>
        </w:rPr>
      </w:pPr>
      <w:bookmarkStart w:id="252" w:name="_Toc521609300"/>
      <w:bookmarkStart w:id="253" w:name="_Toc533785059"/>
      <w:r w:rsidRPr="005C53F5">
        <w:rPr>
          <w:rFonts w:ascii="Times New Roman" w:eastAsia="Calibri" w:hAnsi="Times New Roman" w:cs="Times New Roman"/>
          <w:sz w:val="24"/>
          <w:szCs w:val="24"/>
        </w:rPr>
        <w:t xml:space="preserve">В связи с тем, что уполномоченным органом государственной власти Республики Казахстан, который выступает от имени Республики Казахстан при осуществлении Республикой Казахстан эмиссии Облигаций, является Министерство финансов Республики Казахстан, информация в настоящем пункте указывается в отношении Министерства финансов Республики Казахстан.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14"/>
        <w:gridCol w:w="4613"/>
      </w:tblGrid>
      <w:tr w:rsidR="008F7787" w:rsidRPr="005C53F5" w14:paraId="2FEEFC6A" w14:textId="77777777" w:rsidTr="00F06B16">
        <w:trPr>
          <w:trHeight w:val="32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693BA327" w14:textId="70C62421" w:rsidR="008F7787" w:rsidRPr="005C53F5" w:rsidRDefault="008F7787" w:rsidP="00F06B16">
            <w:pPr>
              <w:shd w:val="clear" w:color="auto" w:fill="FFFFFF"/>
              <w:tabs>
                <w:tab w:val="left" w:pos="5109"/>
              </w:tabs>
              <w:spacing w:after="0" w:line="240" w:lineRule="auto"/>
              <w:jc w:val="center"/>
              <w:rPr>
                <w:rFonts w:ascii="Times New Roman" w:eastAsia="Times New Roman" w:hAnsi="Times New Roman" w:cs="Times New Roman"/>
                <w:b/>
                <w:sz w:val="24"/>
                <w:szCs w:val="24"/>
                <w:lang w:eastAsia="ru-RU"/>
              </w:rPr>
            </w:pPr>
            <w:r w:rsidRPr="005C53F5">
              <w:rPr>
                <w:rFonts w:ascii="Times New Roman" w:eastAsia="Times New Roman" w:hAnsi="Times New Roman" w:cs="Times New Roman"/>
                <w:b/>
                <w:sz w:val="24"/>
                <w:szCs w:val="24"/>
                <w:lang w:eastAsia="ru-RU"/>
              </w:rPr>
              <w:t>Минист</w:t>
            </w:r>
            <w:r w:rsidRPr="005C53F5">
              <w:rPr>
                <w:rFonts w:ascii="Times New Roman" w:eastAsia="Times New Roman" w:hAnsi="Times New Roman" w:cs="Times New Roman"/>
                <w:b/>
                <w:sz w:val="24"/>
                <w:szCs w:val="24"/>
                <w:lang w:val="kk-KZ" w:eastAsia="ru-RU"/>
              </w:rPr>
              <w:t>ерство</w:t>
            </w:r>
            <w:r w:rsidRPr="005C53F5">
              <w:rPr>
                <w:rFonts w:ascii="Times New Roman" w:eastAsia="Times New Roman" w:hAnsi="Times New Roman" w:cs="Times New Roman"/>
                <w:b/>
                <w:sz w:val="24"/>
                <w:szCs w:val="24"/>
                <w:lang w:eastAsia="ru-RU"/>
              </w:rPr>
              <w:t xml:space="preserve"> финансов</w:t>
            </w:r>
            <w:r w:rsidRPr="005C53F5">
              <w:rPr>
                <w:rFonts w:ascii="Times New Roman" w:eastAsia="Times New Roman" w:hAnsi="Times New Roman" w:cs="Times New Roman"/>
                <w:b/>
                <w:sz w:val="24"/>
                <w:szCs w:val="24"/>
                <w:lang w:val="kk-KZ" w:eastAsia="ru-RU"/>
              </w:rPr>
              <w:t xml:space="preserve"> Республики Казахстан</w:t>
            </w:r>
          </w:p>
        </w:tc>
      </w:tr>
      <w:tr w:rsidR="008F7787" w:rsidRPr="005C53F5" w14:paraId="66BC7D27" w14:textId="77777777" w:rsidTr="00F06B16">
        <w:trPr>
          <w:trHeight w:val="267"/>
        </w:trPr>
        <w:tc>
          <w:tcPr>
            <w:tcW w:w="2795" w:type="pct"/>
            <w:tcBorders>
              <w:top w:val="single" w:sz="4" w:space="0" w:color="auto"/>
              <w:left w:val="single" w:sz="4" w:space="0" w:color="auto"/>
              <w:bottom w:val="single" w:sz="4" w:space="0" w:color="auto"/>
              <w:right w:val="single" w:sz="4" w:space="0" w:color="auto"/>
            </w:tcBorders>
            <w:shd w:val="clear" w:color="auto" w:fill="auto"/>
          </w:tcPr>
          <w:p w14:paraId="7E5641E6" w14:textId="77777777" w:rsidR="008F7787" w:rsidRPr="005C53F5" w:rsidRDefault="008F7787" w:rsidP="00057BE5">
            <w:pPr>
              <w:spacing w:after="0" w:line="240" w:lineRule="auto"/>
              <w:jc w:val="both"/>
              <w:rPr>
                <w:rFonts w:ascii="Times New Roman" w:eastAsia="Times New Roman" w:hAnsi="Times New Roman" w:cs="Times New Roman"/>
                <w:sz w:val="24"/>
                <w:szCs w:val="24"/>
                <w:lang w:eastAsia="ru-RU"/>
              </w:rPr>
            </w:pPr>
            <w:r w:rsidRPr="005C53F5">
              <w:rPr>
                <w:rFonts w:ascii="Times New Roman" w:eastAsia="Calibri" w:hAnsi="Times New Roman" w:cs="Times New Roman"/>
                <w:sz w:val="24"/>
                <w:szCs w:val="24"/>
              </w:rPr>
              <w:t>Место нахождения</w:t>
            </w:r>
            <w:r w:rsidRPr="005C53F5" w:rsidDel="00E71FA0">
              <w:rPr>
                <w:rFonts w:ascii="Times New Roman" w:eastAsia="Times New Roman" w:hAnsi="Times New Roman" w:cs="Times New Roman"/>
                <w:bCs/>
                <w:sz w:val="24"/>
                <w:szCs w:val="24"/>
                <w:lang w:eastAsia="ru-RU"/>
              </w:rPr>
              <w:t xml:space="preserve"> </w:t>
            </w:r>
          </w:p>
        </w:tc>
        <w:tc>
          <w:tcPr>
            <w:tcW w:w="2205" w:type="pct"/>
            <w:tcBorders>
              <w:top w:val="single" w:sz="4" w:space="0" w:color="auto"/>
              <w:left w:val="single" w:sz="4" w:space="0" w:color="auto"/>
              <w:bottom w:val="single" w:sz="4" w:space="0" w:color="auto"/>
              <w:right w:val="single" w:sz="4" w:space="0" w:color="auto"/>
            </w:tcBorders>
          </w:tcPr>
          <w:p w14:paraId="4E2B1B20" w14:textId="43EC3E82" w:rsidR="008F7787" w:rsidRPr="005C53F5" w:rsidRDefault="008F7787" w:rsidP="00057BE5">
            <w:pPr>
              <w:spacing w:after="0" w:line="240" w:lineRule="auto"/>
              <w:jc w:val="both"/>
              <w:rPr>
                <w:rFonts w:ascii="Times New Roman" w:eastAsia="Times New Roman" w:hAnsi="Times New Roman" w:cs="Times New Roman"/>
                <w:bCs/>
                <w:sz w:val="24"/>
                <w:szCs w:val="24"/>
                <w:lang w:eastAsia="ru-RU"/>
              </w:rPr>
            </w:pPr>
            <w:r w:rsidRPr="005C53F5">
              <w:rPr>
                <w:rFonts w:ascii="Times New Roman" w:eastAsia="Times New Roman" w:hAnsi="Times New Roman" w:cs="Times New Roman"/>
                <w:color w:val="000000"/>
                <w:sz w:val="24"/>
                <w:szCs w:val="24"/>
                <w:lang w:val="kk-KZ" w:eastAsia="ru-RU"/>
              </w:rPr>
              <w:t>Республика Казахстан, г. Нур-Султан, 010000, пр</w:t>
            </w:r>
            <w:r w:rsidR="00692529" w:rsidRPr="005C53F5">
              <w:rPr>
                <w:rFonts w:ascii="Times New Roman" w:eastAsia="Times New Roman" w:hAnsi="Times New Roman" w:cs="Times New Roman"/>
                <w:color w:val="000000"/>
                <w:sz w:val="24"/>
                <w:szCs w:val="24"/>
                <w:lang w:val="kk-KZ" w:eastAsia="ru-RU"/>
              </w:rPr>
              <w:t xml:space="preserve">оспект </w:t>
            </w:r>
            <w:r w:rsidRPr="005C53F5">
              <w:rPr>
                <w:rFonts w:ascii="Times New Roman" w:eastAsia="Times New Roman" w:hAnsi="Times New Roman" w:cs="Times New Roman"/>
                <w:color w:val="000000"/>
                <w:sz w:val="24"/>
                <w:szCs w:val="24"/>
                <w:lang w:val="kk-KZ" w:eastAsia="ru-RU"/>
              </w:rPr>
              <w:t xml:space="preserve">Мангилик Ел, </w:t>
            </w:r>
            <w:r w:rsidR="00692529" w:rsidRPr="005C53F5">
              <w:rPr>
                <w:rFonts w:ascii="Times New Roman" w:eastAsia="Times New Roman" w:hAnsi="Times New Roman" w:cs="Times New Roman"/>
                <w:color w:val="000000"/>
                <w:sz w:val="24"/>
                <w:szCs w:val="24"/>
                <w:lang w:val="kk-KZ" w:eastAsia="ru-RU"/>
              </w:rPr>
              <w:t xml:space="preserve">д. </w:t>
            </w:r>
            <w:r w:rsidRPr="005C53F5">
              <w:rPr>
                <w:rFonts w:ascii="Times New Roman" w:eastAsia="Times New Roman" w:hAnsi="Times New Roman" w:cs="Times New Roman"/>
                <w:color w:val="000000"/>
                <w:sz w:val="24"/>
                <w:szCs w:val="24"/>
                <w:lang w:val="kk-KZ" w:eastAsia="ru-RU"/>
              </w:rPr>
              <w:t>8, подъезд 4</w:t>
            </w:r>
          </w:p>
        </w:tc>
      </w:tr>
      <w:tr w:rsidR="008F7787" w:rsidRPr="005C53F5" w14:paraId="12AF9DDE" w14:textId="77777777" w:rsidTr="00F06B16">
        <w:trPr>
          <w:trHeight w:val="130"/>
        </w:trPr>
        <w:tc>
          <w:tcPr>
            <w:tcW w:w="2795" w:type="pct"/>
            <w:tcBorders>
              <w:top w:val="single" w:sz="4" w:space="0" w:color="auto"/>
              <w:left w:val="single" w:sz="4" w:space="0" w:color="auto"/>
              <w:bottom w:val="single" w:sz="4" w:space="0" w:color="auto"/>
              <w:right w:val="single" w:sz="4" w:space="0" w:color="auto"/>
            </w:tcBorders>
            <w:shd w:val="clear" w:color="auto" w:fill="auto"/>
            <w:hideMark/>
          </w:tcPr>
          <w:p w14:paraId="7F9F94D5" w14:textId="10318F77" w:rsidR="008F7787" w:rsidRPr="005C53F5" w:rsidRDefault="00692529" w:rsidP="00057BE5">
            <w:pPr>
              <w:spacing w:after="0" w:line="240" w:lineRule="auto"/>
              <w:jc w:val="both"/>
              <w:rPr>
                <w:rFonts w:ascii="Times New Roman" w:eastAsia="Times New Roman" w:hAnsi="Times New Roman" w:cs="Times New Roman"/>
                <w:sz w:val="24"/>
                <w:szCs w:val="24"/>
                <w:lang w:eastAsia="ru-RU"/>
              </w:rPr>
            </w:pPr>
            <w:r w:rsidRPr="005C53F5">
              <w:rPr>
                <w:rFonts w:ascii="Times New Roman" w:eastAsia="Times New Roman" w:hAnsi="Times New Roman" w:cs="Times New Roman"/>
                <w:color w:val="000000"/>
                <w:sz w:val="24"/>
                <w:szCs w:val="24"/>
                <w:lang w:val="kk-KZ" w:eastAsia="ru-RU"/>
              </w:rPr>
              <w:t>Адрес электронной почты</w:t>
            </w:r>
            <w:r w:rsidR="008F7787" w:rsidRPr="005C53F5">
              <w:rPr>
                <w:rFonts w:ascii="Times New Roman" w:eastAsia="Times New Roman" w:hAnsi="Times New Roman" w:cs="Times New Roman"/>
                <w:color w:val="000000"/>
                <w:sz w:val="24"/>
                <w:szCs w:val="24"/>
                <w:lang w:val="kk-KZ" w:eastAsia="ru-RU"/>
              </w:rPr>
              <w:t> </w:t>
            </w:r>
          </w:p>
        </w:tc>
        <w:tc>
          <w:tcPr>
            <w:tcW w:w="2205" w:type="pct"/>
            <w:tcBorders>
              <w:top w:val="single" w:sz="4" w:space="0" w:color="auto"/>
              <w:left w:val="single" w:sz="4" w:space="0" w:color="auto"/>
              <w:bottom w:val="single" w:sz="4" w:space="0" w:color="auto"/>
              <w:right w:val="single" w:sz="4" w:space="0" w:color="auto"/>
            </w:tcBorders>
          </w:tcPr>
          <w:p w14:paraId="281D9A27" w14:textId="02E38E64" w:rsidR="008F7787" w:rsidRPr="005C53F5" w:rsidRDefault="008E3998" w:rsidP="00057BE5">
            <w:pPr>
              <w:spacing w:after="0" w:line="240" w:lineRule="auto"/>
              <w:jc w:val="both"/>
              <w:rPr>
                <w:rFonts w:ascii="Times New Roman" w:eastAsia="Times New Roman" w:hAnsi="Times New Roman" w:cs="Times New Roman"/>
                <w:color w:val="000000"/>
                <w:sz w:val="24"/>
                <w:szCs w:val="24"/>
                <w:lang w:eastAsia="ru-RU"/>
              </w:rPr>
            </w:pPr>
            <w:hyperlink r:id="rId14" w:history="1">
              <w:r w:rsidR="002B5B18" w:rsidRPr="005C53F5">
                <w:rPr>
                  <w:rStyle w:val="ae"/>
                  <w:rFonts w:ascii="Times New Roman" w:eastAsia="Times New Roman" w:hAnsi="Times New Roman" w:cs="Times New Roman"/>
                  <w:sz w:val="24"/>
                  <w:szCs w:val="24"/>
                  <w:lang w:val="en-US" w:eastAsia="ru-RU"/>
                </w:rPr>
                <w:t>administrator</w:t>
              </w:r>
              <w:r w:rsidR="002B5B18" w:rsidRPr="005C53F5">
                <w:rPr>
                  <w:rStyle w:val="ae"/>
                  <w:rFonts w:ascii="Times New Roman" w:eastAsia="Times New Roman" w:hAnsi="Times New Roman" w:cs="Times New Roman"/>
                  <w:sz w:val="24"/>
                  <w:szCs w:val="24"/>
                  <w:lang w:eastAsia="ru-RU"/>
                </w:rPr>
                <w:t>@</w:t>
              </w:r>
              <w:r w:rsidR="002B5B18" w:rsidRPr="005C53F5">
                <w:rPr>
                  <w:rStyle w:val="ae"/>
                  <w:rFonts w:ascii="Times New Roman" w:eastAsia="Times New Roman" w:hAnsi="Times New Roman" w:cs="Times New Roman"/>
                  <w:sz w:val="24"/>
                  <w:szCs w:val="24"/>
                  <w:lang w:val="en-US" w:eastAsia="ru-RU"/>
                </w:rPr>
                <w:t>minfin</w:t>
              </w:r>
              <w:r w:rsidR="002B5B18" w:rsidRPr="005C53F5">
                <w:rPr>
                  <w:rStyle w:val="ae"/>
                  <w:rFonts w:ascii="Times New Roman" w:eastAsia="Times New Roman" w:hAnsi="Times New Roman" w:cs="Times New Roman"/>
                  <w:sz w:val="24"/>
                  <w:szCs w:val="24"/>
                  <w:lang w:eastAsia="ru-RU"/>
                </w:rPr>
                <w:t>.</w:t>
              </w:r>
              <w:r w:rsidR="002B5B18" w:rsidRPr="005C53F5">
                <w:rPr>
                  <w:rStyle w:val="ae"/>
                  <w:rFonts w:ascii="Times New Roman" w:eastAsia="Times New Roman" w:hAnsi="Times New Roman" w:cs="Times New Roman"/>
                  <w:sz w:val="24"/>
                  <w:szCs w:val="24"/>
                  <w:lang w:val="en-US" w:eastAsia="ru-RU"/>
                </w:rPr>
                <w:t>gov</w:t>
              </w:r>
              <w:r w:rsidR="002B5B18" w:rsidRPr="005C53F5">
                <w:rPr>
                  <w:rStyle w:val="ae"/>
                  <w:rFonts w:ascii="Times New Roman" w:eastAsia="Times New Roman" w:hAnsi="Times New Roman" w:cs="Times New Roman"/>
                  <w:sz w:val="24"/>
                  <w:szCs w:val="24"/>
                  <w:lang w:eastAsia="ru-RU"/>
                </w:rPr>
                <w:t>.</w:t>
              </w:r>
              <w:r w:rsidR="002B5B18" w:rsidRPr="005C53F5">
                <w:rPr>
                  <w:rStyle w:val="ae"/>
                  <w:rFonts w:ascii="Times New Roman" w:eastAsia="Times New Roman" w:hAnsi="Times New Roman" w:cs="Times New Roman"/>
                  <w:sz w:val="24"/>
                  <w:szCs w:val="24"/>
                  <w:lang w:val="en-US" w:eastAsia="ru-RU"/>
                </w:rPr>
                <w:t>kz</w:t>
              </w:r>
            </w:hyperlink>
            <w:r w:rsidR="005F135C" w:rsidRPr="005C53F5">
              <w:rPr>
                <w:rFonts w:ascii="Times New Roman" w:eastAsia="Times New Roman" w:hAnsi="Times New Roman" w:cs="Times New Roman"/>
                <w:color w:val="000000"/>
                <w:sz w:val="24"/>
                <w:szCs w:val="24"/>
                <w:lang w:eastAsia="ru-RU"/>
              </w:rPr>
              <w:t xml:space="preserve"> </w:t>
            </w:r>
          </w:p>
        </w:tc>
      </w:tr>
      <w:tr w:rsidR="008F7787" w:rsidRPr="005C53F5" w14:paraId="22F14F17" w14:textId="77777777" w:rsidTr="00F06B16">
        <w:trPr>
          <w:trHeight w:val="130"/>
        </w:trPr>
        <w:tc>
          <w:tcPr>
            <w:tcW w:w="2795" w:type="pct"/>
            <w:tcBorders>
              <w:top w:val="single" w:sz="4" w:space="0" w:color="auto"/>
              <w:left w:val="single" w:sz="4" w:space="0" w:color="auto"/>
              <w:bottom w:val="single" w:sz="4" w:space="0" w:color="auto"/>
              <w:right w:val="single" w:sz="4" w:space="0" w:color="auto"/>
            </w:tcBorders>
            <w:shd w:val="clear" w:color="auto" w:fill="auto"/>
            <w:hideMark/>
          </w:tcPr>
          <w:p w14:paraId="7647FD00" w14:textId="080B7E8E" w:rsidR="008F7787" w:rsidRPr="005C53F5" w:rsidRDefault="008F7787" w:rsidP="00057BE5">
            <w:pPr>
              <w:spacing w:after="0" w:line="240" w:lineRule="auto"/>
              <w:jc w:val="both"/>
              <w:rPr>
                <w:rFonts w:ascii="Times New Roman" w:eastAsia="Times New Roman" w:hAnsi="Times New Roman" w:cs="Times New Roman"/>
                <w:sz w:val="24"/>
                <w:szCs w:val="24"/>
                <w:lang w:eastAsia="ru-RU"/>
              </w:rPr>
            </w:pPr>
            <w:r w:rsidRPr="005C53F5">
              <w:rPr>
                <w:rFonts w:ascii="Times New Roman" w:eastAsia="Times New Roman" w:hAnsi="Times New Roman" w:cs="Times New Roman"/>
                <w:bCs/>
                <w:color w:val="000000"/>
                <w:sz w:val="24"/>
                <w:szCs w:val="24"/>
                <w:lang w:val="kk-KZ" w:eastAsia="ru-RU"/>
              </w:rPr>
              <w:t>Телефон</w:t>
            </w:r>
          </w:p>
        </w:tc>
        <w:tc>
          <w:tcPr>
            <w:tcW w:w="2205" w:type="pct"/>
            <w:tcBorders>
              <w:top w:val="single" w:sz="4" w:space="0" w:color="auto"/>
              <w:left w:val="single" w:sz="4" w:space="0" w:color="auto"/>
              <w:bottom w:val="single" w:sz="4" w:space="0" w:color="auto"/>
              <w:right w:val="single" w:sz="4" w:space="0" w:color="auto"/>
            </w:tcBorders>
          </w:tcPr>
          <w:p w14:paraId="42C1E169" w14:textId="0DD54096" w:rsidR="008F7787" w:rsidRPr="005C53F5" w:rsidRDefault="00952789" w:rsidP="00057BE5">
            <w:pPr>
              <w:spacing w:after="0" w:line="240" w:lineRule="auto"/>
              <w:jc w:val="both"/>
              <w:rPr>
                <w:rFonts w:ascii="Times New Roman" w:hAnsi="Times New Roman"/>
                <w:color w:val="000000"/>
                <w:sz w:val="24"/>
                <w:lang w:val="kk-KZ"/>
              </w:rPr>
            </w:pPr>
            <w:r w:rsidRPr="005C53F5">
              <w:rPr>
                <w:rFonts w:ascii="Times New Roman" w:eastAsia="Times New Roman" w:hAnsi="Times New Roman" w:cs="Times New Roman"/>
                <w:color w:val="000000"/>
                <w:sz w:val="24"/>
                <w:szCs w:val="24"/>
                <w:lang w:val="kk-KZ" w:eastAsia="ru-RU"/>
              </w:rPr>
              <w:t>+7 (7172) 75-02-51, +7 (7172) 75-02-45, +7 (7172) 75-02-04</w:t>
            </w:r>
          </w:p>
        </w:tc>
      </w:tr>
      <w:tr w:rsidR="008F7787" w:rsidRPr="005C53F5" w14:paraId="17EC6FFB" w14:textId="77777777" w:rsidTr="00F06B16">
        <w:trPr>
          <w:trHeight w:val="130"/>
        </w:trPr>
        <w:tc>
          <w:tcPr>
            <w:tcW w:w="2795" w:type="pct"/>
            <w:tcBorders>
              <w:top w:val="single" w:sz="4" w:space="0" w:color="auto"/>
              <w:left w:val="single" w:sz="4" w:space="0" w:color="auto"/>
              <w:bottom w:val="single" w:sz="4" w:space="0" w:color="auto"/>
              <w:right w:val="single" w:sz="4" w:space="0" w:color="auto"/>
            </w:tcBorders>
            <w:shd w:val="clear" w:color="auto" w:fill="auto"/>
            <w:hideMark/>
          </w:tcPr>
          <w:p w14:paraId="1E73E5F2" w14:textId="77777777" w:rsidR="008F7787" w:rsidRPr="005C53F5" w:rsidRDefault="008F7787" w:rsidP="00057BE5">
            <w:pPr>
              <w:spacing w:after="0" w:line="240" w:lineRule="auto"/>
              <w:jc w:val="both"/>
              <w:rPr>
                <w:rFonts w:ascii="Times New Roman" w:eastAsia="Times New Roman" w:hAnsi="Times New Roman" w:cs="Times New Roman"/>
                <w:sz w:val="24"/>
                <w:szCs w:val="24"/>
                <w:lang w:eastAsia="ru-RU"/>
              </w:rPr>
            </w:pPr>
            <w:r w:rsidRPr="005C53F5">
              <w:rPr>
                <w:rFonts w:ascii="Times New Roman" w:eastAsia="Times New Roman" w:hAnsi="Times New Roman" w:cs="Times New Roman"/>
                <w:bCs/>
                <w:color w:val="000000"/>
                <w:sz w:val="24"/>
                <w:szCs w:val="24"/>
                <w:lang w:val="kk-KZ" w:eastAsia="ru-RU"/>
              </w:rPr>
              <w:t xml:space="preserve">Факс </w:t>
            </w:r>
          </w:p>
        </w:tc>
        <w:tc>
          <w:tcPr>
            <w:tcW w:w="2205" w:type="pct"/>
            <w:tcBorders>
              <w:top w:val="single" w:sz="4" w:space="0" w:color="auto"/>
              <w:left w:val="single" w:sz="4" w:space="0" w:color="auto"/>
              <w:bottom w:val="single" w:sz="4" w:space="0" w:color="auto"/>
              <w:right w:val="single" w:sz="4" w:space="0" w:color="auto"/>
            </w:tcBorders>
          </w:tcPr>
          <w:p w14:paraId="5F493E6B" w14:textId="388DA57B" w:rsidR="008F7787" w:rsidRPr="005C53F5" w:rsidRDefault="00A37D73" w:rsidP="00057BE5">
            <w:pPr>
              <w:spacing w:after="0" w:line="240" w:lineRule="auto"/>
              <w:jc w:val="both"/>
              <w:rPr>
                <w:rFonts w:ascii="Times New Roman" w:eastAsia="Times New Roman" w:hAnsi="Times New Roman" w:cs="Times New Roman"/>
                <w:bCs/>
                <w:color w:val="000000"/>
                <w:sz w:val="24"/>
                <w:szCs w:val="24"/>
                <w:lang w:val="kk-KZ" w:eastAsia="ru-RU"/>
              </w:rPr>
            </w:pPr>
            <w:r w:rsidRPr="005C53F5">
              <w:rPr>
                <w:rFonts w:ascii="Times New Roman" w:eastAsia="Times New Roman" w:hAnsi="Times New Roman" w:cs="Times New Roman"/>
                <w:color w:val="000000"/>
                <w:sz w:val="24"/>
                <w:szCs w:val="24"/>
                <w:lang w:val="kk-KZ" w:eastAsia="ru-RU"/>
              </w:rPr>
              <w:t>+7</w:t>
            </w:r>
            <w:r w:rsidRPr="005C53F5" w:rsidDel="00692529">
              <w:rPr>
                <w:rFonts w:ascii="Times New Roman" w:eastAsia="Times New Roman" w:hAnsi="Times New Roman" w:cs="Times New Roman"/>
                <w:color w:val="000000"/>
                <w:sz w:val="24"/>
                <w:szCs w:val="24"/>
                <w:lang w:val="kk-KZ" w:eastAsia="ru-RU"/>
              </w:rPr>
              <w:t xml:space="preserve"> </w:t>
            </w:r>
            <w:r w:rsidR="008F7787" w:rsidRPr="005C53F5">
              <w:rPr>
                <w:rFonts w:ascii="Times New Roman" w:eastAsia="Times New Roman" w:hAnsi="Times New Roman" w:cs="Times New Roman"/>
                <w:color w:val="000000"/>
                <w:sz w:val="24"/>
                <w:szCs w:val="24"/>
                <w:lang w:val="kk-KZ" w:eastAsia="ru-RU"/>
              </w:rPr>
              <w:t>(7172) 75-03-52</w:t>
            </w:r>
          </w:p>
        </w:tc>
      </w:tr>
      <w:tr w:rsidR="008F7787" w:rsidRPr="00E00AD2" w14:paraId="4B28A013" w14:textId="77777777" w:rsidTr="00F06B16">
        <w:trPr>
          <w:trHeight w:val="130"/>
        </w:trPr>
        <w:tc>
          <w:tcPr>
            <w:tcW w:w="2795" w:type="pct"/>
            <w:tcBorders>
              <w:top w:val="single" w:sz="4" w:space="0" w:color="auto"/>
              <w:left w:val="single" w:sz="4" w:space="0" w:color="auto"/>
              <w:bottom w:val="single" w:sz="4" w:space="0" w:color="auto"/>
              <w:right w:val="single" w:sz="4" w:space="0" w:color="auto"/>
            </w:tcBorders>
            <w:shd w:val="clear" w:color="auto" w:fill="auto"/>
          </w:tcPr>
          <w:p w14:paraId="6490B33E" w14:textId="77777777" w:rsidR="008F7787" w:rsidRPr="005C53F5" w:rsidRDefault="008F7787" w:rsidP="00057BE5">
            <w:pPr>
              <w:spacing w:after="0" w:line="240" w:lineRule="auto"/>
              <w:jc w:val="both"/>
              <w:rPr>
                <w:rFonts w:ascii="Times New Roman" w:eastAsia="Times New Roman" w:hAnsi="Times New Roman" w:cs="Times New Roman"/>
                <w:bCs/>
                <w:color w:val="000000"/>
                <w:sz w:val="24"/>
                <w:szCs w:val="24"/>
                <w:lang w:val="kk-KZ" w:eastAsia="ru-RU"/>
              </w:rPr>
            </w:pPr>
            <w:r w:rsidRPr="005C53F5">
              <w:rPr>
                <w:rFonts w:ascii="Times New Roman" w:eastAsia="Times New Roman" w:hAnsi="Times New Roman" w:cs="Times New Roman"/>
                <w:bCs/>
                <w:color w:val="000000"/>
                <w:sz w:val="24"/>
                <w:szCs w:val="24"/>
                <w:lang w:val="kk-KZ" w:eastAsia="ru-RU"/>
              </w:rPr>
              <w:t>Адрес страницы (страниц) в сети Интернет, на которой (на которых) доступна информация об эмитенте, выпущенных и/или выпускаемых им ценных бумагах</w:t>
            </w:r>
          </w:p>
        </w:tc>
        <w:tc>
          <w:tcPr>
            <w:tcW w:w="2205" w:type="pct"/>
            <w:tcBorders>
              <w:top w:val="single" w:sz="4" w:space="0" w:color="auto"/>
              <w:left w:val="single" w:sz="4" w:space="0" w:color="auto"/>
              <w:bottom w:val="single" w:sz="4" w:space="0" w:color="auto"/>
              <w:right w:val="single" w:sz="4" w:space="0" w:color="auto"/>
            </w:tcBorders>
          </w:tcPr>
          <w:p w14:paraId="1E39412B" w14:textId="4AAA72EE" w:rsidR="008F7787" w:rsidRPr="00D66AF4" w:rsidRDefault="008E3998" w:rsidP="00057BE5">
            <w:pPr>
              <w:spacing w:after="0" w:line="240" w:lineRule="auto"/>
              <w:jc w:val="both"/>
              <w:rPr>
                <w:rStyle w:val="ae"/>
                <w:lang w:val="kk-KZ"/>
              </w:rPr>
            </w:pPr>
            <w:hyperlink r:id="rId15" w:history="1">
              <w:r w:rsidR="005F135C" w:rsidRPr="005C53F5">
                <w:rPr>
                  <w:rStyle w:val="ae"/>
                  <w:rFonts w:ascii="Times New Roman" w:hAnsi="Times New Roman" w:cs="Times New Roman"/>
                  <w:sz w:val="24"/>
                  <w:szCs w:val="24"/>
                  <w:lang w:val="kk-KZ"/>
                </w:rPr>
                <w:t>http://www.minfin.gov.kz/</w:t>
              </w:r>
            </w:hyperlink>
          </w:p>
          <w:p w14:paraId="1585DAD3" w14:textId="34E7552C" w:rsidR="008F7787" w:rsidRPr="00D66AF4" w:rsidRDefault="00A12642" w:rsidP="00057BE5">
            <w:pPr>
              <w:pStyle w:val="ConsPlusNormal"/>
              <w:jc w:val="both"/>
              <w:rPr>
                <w:rStyle w:val="ae"/>
                <w:rFonts w:eastAsiaTheme="minorHAnsi"/>
                <w:lang w:val="kk-KZ" w:eastAsia="en-US"/>
              </w:rPr>
            </w:pPr>
            <w:r w:rsidRPr="00A12642">
              <w:rPr>
                <w:rStyle w:val="ae"/>
                <w:rFonts w:eastAsiaTheme="minorHAnsi"/>
                <w:lang w:val="kk-KZ" w:eastAsia="en-US"/>
              </w:rPr>
              <w:t>http://e-disclosure.ru/portal/company.aspx?id=38193</w:t>
            </w:r>
            <w:r w:rsidR="00B51777" w:rsidRPr="00D66AF4">
              <w:rPr>
                <w:rStyle w:val="ae"/>
                <w:rFonts w:eastAsiaTheme="minorHAnsi"/>
                <w:lang w:val="kk-KZ" w:eastAsia="en-US"/>
              </w:rPr>
              <w:t xml:space="preserve"> </w:t>
            </w:r>
          </w:p>
        </w:tc>
      </w:tr>
    </w:tbl>
    <w:p w14:paraId="293936B5" w14:textId="316FFB37" w:rsidR="00BC771C" w:rsidRPr="005C53F5" w:rsidRDefault="00D666B6"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А</w:t>
      </w:r>
      <w:r w:rsidR="00BC771C" w:rsidRPr="005C53F5">
        <w:rPr>
          <w:rFonts w:ascii="Times New Roman" w:hAnsi="Times New Roman" w:cs="Times New Roman"/>
          <w:b/>
          <w:i/>
          <w:sz w:val="24"/>
          <w:szCs w:val="24"/>
          <w:u w:val="single"/>
        </w:rPr>
        <w:t xml:space="preserve">дрес, номер телефона, факса, адрес электронной почты, адрес страницы </w:t>
      </w:r>
      <w:r w:rsidR="00C93AB0" w:rsidRPr="005C53F5">
        <w:rPr>
          <w:rFonts w:ascii="Times New Roman" w:hAnsi="Times New Roman" w:cs="Times New Roman"/>
          <w:b/>
          <w:i/>
          <w:sz w:val="24"/>
          <w:szCs w:val="24"/>
          <w:u w:val="single"/>
        </w:rPr>
        <w:br/>
      </w:r>
      <w:r w:rsidR="00BC771C" w:rsidRPr="005C53F5">
        <w:rPr>
          <w:rFonts w:ascii="Times New Roman" w:hAnsi="Times New Roman" w:cs="Times New Roman"/>
          <w:b/>
          <w:i/>
          <w:sz w:val="24"/>
          <w:szCs w:val="24"/>
          <w:u w:val="single"/>
        </w:rPr>
        <w:t xml:space="preserve">в сети Интернет специального подразделения эмитента (третьего лица) по работе </w:t>
      </w:r>
      <w:r w:rsidR="00C93AB0" w:rsidRPr="005C53F5">
        <w:rPr>
          <w:rFonts w:ascii="Times New Roman" w:hAnsi="Times New Roman" w:cs="Times New Roman"/>
          <w:b/>
          <w:i/>
          <w:sz w:val="24"/>
          <w:szCs w:val="24"/>
          <w:u w:val="single"/>
        </w:rPr>
        <w:br/>
      </w:r>
      <w:r w:rsidR="00BC771C" w:rsidRPr="005C53F5">
        <w:rPr>
          <w:rFonts w:ascii="Times New Roman" w:hAnsi="Times New Roman" w:cs="Times New Roman"/>
          <w:b/>
          <w:i/>
          <w:sz w:val="24"/>
          <w:szCs w:val="24"/>
          <w:u w:val="single"/>
        </w:rPr>
        <w:t>с акционерами и инвесторами эмитента (в случае его наличия):</w:t>
      </w:r>
      <w:bookmarkEnd w:id="252"/>
      <w:bookmarkEnd w:id="253"/>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541"/>
        <w:gridCol w:w="4086"/>
      </w:tblGrid>
      <w:tr w:rsidR="008F7787" w:rsidRPr="005C53F5" w14:paraId="7299CDB7" w14:textId="77777777" w:rsidTr="0037162F">
        <w:trPr>
          <w:trHeight w:val="55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04BA1A91" w14:textId="5DED43E8" w:rsidR="008F7787" w:rsidRPr="005C53F5" w:rsidRDefault="008F7787" w:rsidP="00057BE5">
            <w:pPr>
              <w:shd w:val="clear" w:color="auto" w:fill="FFFFFF"/>
              <w:spacing w:after="0" w:line="240" w:lineRule="auto"/>
              <w:jc w:val="center"/>
              <w:rPr>
                <w:rFonts w:ascii="Times New Roman" w:eastAsia="Times New Roman" w:hAnsi="Times New Roman" w:cs="Times New Roman"/>
                <w:b/>
                <w:sz w:val="24"/>
                <w:szCs w:val="24"/>
                <w:lang w:eastAsia="ru-RU"/>
              </w:rPr>
            </w:pPr>
            <w:r w:rsidRPr="005C53F5">
              <w:rPr>
                <w:rFonts w:ascii="Times New Roman" w:eastAsia="Times New Roman" w:hAnsi="Times New Roman" w:cs="Times New Roman"/>
                <w:b/>
                <w:sz w:val="24"/>
                <w:szCs w:val="24"/>
                <w:lang w:eastAsia="ru-RU"/>
              </w:rPr>
              <w:t>Департамент государственного заимствования</w:t>
            </w:r>
            <w:r w:rsidR="00EE0E53" w:rsidRPr="005C53F5">
              <w:rPr>
                <w:rFonts w:ascii="Times New Roman" w:eastAsia="Times New Roman" w:hAnsi="Times New Roman" w:cs="Times New Roman"/>
                <w:b/>
                <w:sz w:val="24"/>
                <w:szCs w:val="24"/>
                <w:lang w:eastAsia="ru-RU"/>
              </w:rPr>
              <w:t xml:space="preserve"> Минист</w:t>
            </w:r>
            <w:r w:rsidR="00EE0E53" w:rsidRPr="005C53F5">
              <w:rPr>
                <w:rFonts w:ascii="Times New Roman" w:eastAsia="Times New Roman" w:hAnsi="Times New Roman" w:cs="Times New Roman"/>
                <w:b/>
                <w:sz w:val="24"/>
                <w:szCs w:val="24"/>
                <w:lang w:val="kk-KZ" w:eastAsia="ru-RU"/>
              </w:rPr>
              <w:t>ерства</w:t>
            </w:r>
            <w:r w:rsidR="00EE0E53" w:rsidRPr="005C53F5">
              <w:rPr>
                <w:rFonts w:ascii="Times New Roman" w:eastAsia="Times New Roman" w:hAnsi="Times New Roman" w:cs="Times New Roman"/>
                <w:b/>
                <w:sz w:val="24"/>
                <w:szCs w:val="24"/>
                <w:lang w:eastAsia="ru-RU"/>
              </w:rPr>
              <w:t xml:space="preserve"> финансов</w:t>
            </w:r>
            <w:r w:rsidR="00EE0E53" w:rsidRPr="005C53F5">
              <w:rPr>
                <w:rFonts w:ascii="Times New Roman" w:eastAsia="Times New Roman" w:hAnsi="Times New Roman" w:cs="Times New Roman"/>
                <w:b/>
                <w:sz w:val="24"/>
                <w:szCs w:val="24"/>
                <w:lang w:val="kk-KZ" w:eastAsia="ru-RU"/>
              </w:rPr>
              <w:t xml:space="preserve"> Республики Казахстан</w:t>
            </w:r>
          </w:p>
        </w:tc>
      </w:tr>
      <w:tr w:rsidR="008F7787" w:rsidRPr="005C53F5" w14:paraId="331D027C" w14:textId="77777777" w:rsidTr="0037162F">
        <w:trPr>
          <w:trHeight w:val="267"/>
        </w:trPr>
        <w:tc>
          <w:tcPr>
            <w:tcW w:w="2878" w:type="pct"/>
            <w:tcBorders>
              <w:top w:val="single" w:sz="4" w:space="0" w:color="auto"/>
              <w:left w:val="single" w:sz="4" w:space="0" w:color="auto"/>
              <w:bottom w:val="single" w:sz="4" w:space="0" w:color="auto"/>
              <w:right w:val="single" w:sz="4" w:space="0" w:color="auto"/>
            </w:tcBorders>
            <w:shd w:val="clear" w:color="auto" w:fill="auto"/>
          </w:tcPr>
          <w:p w14:paraId="1175E9A8" w14:textId="77777777" w:rsidR="008F7787" w:rsidRPr="005C53F5" w:rsidRDefault="008F7787" w:rsidP="00057BE5">
            <w:pPr>
              <w:spacing w:after="0" w:line="240" w:lineRule="auto"/>
              <w:rPr>
                <w:rFonts w:ascii="Times New Roman" w:eastAsia="Times New Roman" w:hAnsi="Times New Roman" w:cs="Times New Roman"/>
                <w:sz w:val="24"/>
                <w:szCs w:val="24"/>
                <w:lang w:eastAsia="ru-RU"/>
              </w:rPr>
            </w:pPr>
            <w:r w:rsidRPr="005C53F5">
              <w:rPr>
                <w:rFonts w:ascii="Times New Roman" w:eastAsia="Calibri" w:hAnsi="Times New Roman" w:cs="Times New Roman"/>
                <w:sz w:val="24"/>
                <w:szCs w:val="24"/>
              </w:rPr>
              <w:t>Место нахождения</w:t>
            </w:r>
            <w:r w:rsidRPr="005C53F5" w:rsidDel="00E71FA0">
              <w:rPr>
                <w:rFonts w:ascii="Times New Roman" w:eastAsia="Times New Roman" w:hAnsi="Times New Roman" w:cs="Times New Roman"/>
                <w:bCs/>
                <w:sz w:val="24"/>
                <w:szCs w:val="24"/>
                <w:lang w:eastAsia="ru-RU"/>
              </w:rPr>
              <w:t xml:space="preserve"> </w:t>
            </w:r>
          </w:p>
        </w:tc>
        <w:tc>
          <w:tcPr>
            <w:tcW w:w="2122" w:type="pct"/>
            <w:tcBorders>
              <w:top w:val="single" w:sz="4" w:space="0" w:color="auto"/>
              <w:left w:val="single" w:sz="4" w:space="0" w:color="auto"/>
              <w:bottom w:val="single" w:sz="4" w:space="0" w:color="auto"/>
              <w:right w:val="single" w:sz="4" w:space="0" w:color="auto"/>
            </w:tcBorders>
          </w:tcPr>
          <w:p w14:paraId="73919564" w14:textId="77777777" w:rsidR="008F7787" w:rsidRPr="005C53F5" w:rsidRDefault="008F7787" w:rsidP="00057BE5">
            <w:pPr>
              <w:spacing w:after="0" w:line="240" w:lineRule="auto"/>
              <w:rPr>
                <w:rFonts w:ascii="Times New Roman" w:eastAsia="Times New Roman" w:hAnsi="Times New Roman" w:cs="Times New Roman"/>
                <w:bCs/>
                <w:sz w:val="24"/>
                <w:szCs w:val="24"/>
                <w:lang w:eastAsia="ru-RU"/>
              </w:rPr>
            </w:pPr>
            <w:r w:rsidRPr="005C53F5">
              <w:rPr>
                <w:rFonts w:ascii="Times New Roman" w:eastAsia="Times New Roman" w:hAnsi="Times New Roman" w:cs="Times New Roman"/>
                <w:color w:val="000000"/>
                <w:sz w:val="24"/>
                <w:szCs w:val="24"/>
                <w:lang w:val="kk-KZ" w:eastAsia="ru-RU"/>
              </w:rPr>
              <w:t>Республика Казахстан, г. Нур-Султан, 010000, пр. Мангилик Ел, 8, подъезд 4</w:t>
            </w:r>
          </w:p>
        </w:tc>
      </w:tr>
      <w:tr w:rsidR="008F7787" w:rsidRPr="005C53F5" w14:paraId="01D8C9FE" w14:textId="77777777" w:rsidTr="0037162F">
        <w:trPr>
          <w:trHeight w:val="267"/>
        </w:trPr>
        <w:tc>
          <w:tcPr>
            <w:tcW w:w="2878" w:type="pct"/>
            <w:tcBorders>
              <w:top w:val="single" w:sz="4" w:space="0" w:color="auto"/>
              <w:left w:val="single" w:sz="4" w:space="0" w:color="auto"/>
              <w:bottom w:val="single" w:sz="4" w:space="0" w:color="auto"/>
              <w:right w:val="single" w:sz="4" w:space="0" w:color="auto"/>
            </w:tcBorders>
            <w:shd w:val="clear" w:color="auto" w:fill="auto"/>
          </w:tcPr>
          <w:p w14:paraId="7AF50AE9" w14:textId="77777777" w:rsidR="008F7787" w:rsidRPr="005C53F5" w:rsidRDefault="008F7787" w:rsidP="00057BE5">
            <w:pPr>
              <w:spacing w:after="0" w:line="240" w:lineRule="auto"/>
              <w:jc w:val="both"/>
              <w:rPr>
                <w:rFonts w:ascii="Times New Roman" w:eastAsia="Times New Roman" w:hAnsi="Times New Roman" w:cs="Times New Roman"/>
                <w:bCs/>
                <w:sz w:val="24"/>
                <w:szCs w:val="24"/>
                <w:lang w:eastAsia="ru-RU"/>
              </w:rPr>
            </w:pPr>
            <w:r w:rsidRPr="005C53F5">
              <w:rPr>
                <w:rFonts w:ascii="Times New Roman" w:eastAsia="Calibri" w:hAnsi="Times New Roman" w:cs="Times New Roman"/>
                <w:sz w:val="24"/>
                <w:szCs w:val="24"/>
              </w:rPr>
              <w:t>Телефон</w:t>
            </w:r>
          </w:p>
        </w:tc>
        <w:tc>
          <w:tcPr>
            <w:tcW w:w="2122" w:type="pct"/>
            <w:tcBorders>
              <w:top w:val="single" w:sz="4" w:space="0" w:color="auto"/>
              <w:left w:val="single" w:sz="4" w:space="0" w:color="auto"/>
              <w:bottom w:val="single" w:sz="4" w:space="0" w:color="auto"/>
              <w:right w:val="single" w:sz="4" w:space="0" w:color="auto"/>
            </w:tcBorders>
          </w:tcPr>
          <w:p w14:paraId="25B091DE" w14:textId="298F2671" w:rsidR="008F7787" w:rsidRPr="005C53F5" w:rsidRDefault="008F7787" w:rsidP="00057BE5">
            <w:pPr>
              <w:spacing w:after="0" w:line="240" w:lineRule="auto"/>
              <w:rPr>
                <w:rFonts w:ascii="Times New Roman" w:eastAsia="Times New Roman" w:hAnsi="Times New Roman" w:cs="Times New Roman"/>
                <w:color w:val="000000"/>
                <w:sz w:val="24"/>
                <w:szCs w:val="24"/>
                <w:lang w:val="kk-KZ" w:eastAsia="ru-RU"/>
              </w:rPr>
            </w:pPr>
            <w:r w:rsidRPr="005C53F5">
              <w:rPr>
                <w:rFonts w:ascii="Times New Roman" w:eastAsia="Times New Roman" w:hAnsi="Times New Roman" w:cs="Times New Roman"/>
                <w:color w:val="000000"/>
                <w:sz w:val="24"/>
                <w:szCs w:val="24"/>
                <w:lang w:val="kk-KZ" w:eastAsia="ru-RU"/>
              </w:rPr>
              <w:t xml:space="preserve">+ </w:t>
            </w:r>
            <w:r w:rsidR="00FA49CF" w:rsidRPr="005C53F5">
              <w:rPr>
                <w:rFonts w:ascii="Times New Roman" w:eastAsia="Times New Roman" w:hAnsi="Times New Roman" w:cs="Times New Roman"/>
                <w:color w:val="000000"/>
                <w:sz w:val="24"/>
                <w:szCs w:val="24"/>
                <w:lang w:val="kk-KZ" w:eastAsia="ru-RU"/>
              </w:rPr>
              <w:t>7</w:t>
            </w:r>
            <w:r w:rsidRPr="005C53F5">
              <w:rPr>
                <w:rFonts w:ascii="Times New Roman" w:eastAsia="Times New Roman" w:hAnsi="Times New Roman" w:cs="Times New Roman"/>
                <w:color w:val="000000"/>
                <w:sz w:val="24"/>
                <w:szCs w:val="24"/>
                <w:lang w:val="en-US" w:eastAsia="ru-RU"/>
              </w:rPr>
              <w:t xml:space="preserve"> </w:t>
            </w:r>
            <w:r w:rsidRPr="005C53F5">
              <w:rPr>
                <w:rFonts w:ascii="Times New Roman" w:eastAsia="Times New Roman" w:hAnsi="Times New Roman" w:cs="Times New Roman"/>
                <w:color w:val="000000"/>
                <w:sz w:val="24"/>
                <w:szCs w:val="24"/>
                <w:lang w:val="kk-KZ" w:eastAsia="ru-RU"/>
              </w:rPr>
              <w:t>(7172)</w:t>
            </w:r>
            <w:r w:rsidR="00FA49CF" w:rsidRPr="005C53F5">
              <w:rPr>
                <w:rFonts w:ascii="Times New Roman" w:eastAsia="Times New Roman" w:hAnsi="Times New Roman" w:cs="Times New Roman"/>
                <w:color w:val="000000"/>
                <w:sz w:val="24"/>
                <w:szCs w:val="24"/>
                <w:lang w:val="en-US" w:eastAsia="ru-RU"/>
              </w:rPr>
              <w:t xml:space="preserve"> </w:t>
            </w:r>
            <w:r w:rsidRPr="005C53F5">
              <w:rPr>
                <w:rFonts w:ascii="Times New Roman" w:eastAsia="Times New Roman" w:hAnsi="Times New Roman" w:cs="Times New Roman"/>
                <w:color w:val="000000"/>
                <w:sz w:val="24"/>
                <w:szCs w:val="24"/>
                <w:lang w:val="kk-KZ" w:eastAsia="ru-RU"/>
              </w:rPr>
              <w:t>75</w:t>
            </w:r>
            <w:r w:rsidR="00FA49CF" w:rsidRPr="005C53F5">
              <w:rPr>
                <w:rFonts w:ascii="Times New Roman" w:eastAsia="Times New Roman" w:hAnsi="Times New Roman" w:cs="Times New Roman"/>
                <w:color w:val="000000"/>
                <w:sz w:val="24"/>
                <w:szCs w:val="24"/>
                <w:lang w:val="en-US" w:eastAsia="ru-RU"/>
              </w:rPr>
              <w:t>-</w:t>
            </w:r>
            <w:r w:rsidRPr="005C53F5">
              <w:rPr>
                <w:rFonts w:ascii="Times New Roman" w:eastAsia="Times New Roman" w:hAnsi="Times New Roman" w:cs="Times New Roman"/>
                <w:color w:val="000000"/>
                <w:sz w:val="24"/>
                <w:szCs w:val="24"/>
                <w:lang w:val="kk-KZ" w:eastAsia="ru-RU"/>
              </w:rPr>
              <w:t>04</w:t>
            </w:r>
            <w:r w:rsidR="00FA49CF" w:rsidRPr="005C53F5">
              <w:rPr>
                <w:rFonts w:ascii="Times New Roman" w:eastAsia="Times New Roman" w:hAnsi="Times New Roman" w:cs="Times New Roman"/>
                <w:color w:val="000000"/>
                <w:sz w:val="24"/>
                <w:szCs w:val="24"/>
                <w:lang w:val="en-US" w:eastAsia="ru-RU"/>
              </w:rPr>
              <w:t>-</w:t>
            </w:r>
            <w:r w:rsidRPr="005C53F5">
              <w:rPr>
                <w:rFonts w:ascii="Times New Roman" w:eastAsia="Times New Roman" w:hAnsi="Times New Roman" w:cs="Times New Roman"/>
                <w:color w:val="000000"/>
                <w:sz w:val="24"/>
                <w:szCs w:val="24"/>
                <w:lang w:val="kk-KZ" w:eastAsia="ru-RU"/>
              </w:rPr>
              <w:t>66</w:t>
            </w:r>
          </w:p>
        </w:tc>
      </w:tr>
      <w:tr w:rsidR="008F7787" w:rsidRPr="005C53F5" w14:paraId="1073AFFE" w14:textId="77777777" w:rsidTr="0037162F">
        <w:trPr>
          <w:trHeight w:val="267"/>
        </w:trPr>
        <w:tc>
          <w:tcPr>
            <w:tcW w:w="2878" w:type="pct"/>
            <w:tcBorders>
              <w:top w:val="single" w:sz="4" w:space="0" w:color="auto"/>
              <w:left w:val="single" w:sz="4" w:space="0" w:color="auto"/>
              <w:bottom w:val="single" w:sz="4" w:space="0" w:color="auto"/>
              <w:right w:val="single" w:sz="4" w:space="0" w:color="auto"/>
            </w:tcBorders>
            <w:shd w:val="clear" w:color="auto" w:fill="auto"/>
            <w:hideMark/>
          </w:tcPr>
          <w:p w14:paraId="74C9CEAA" w14:textId="77777777" w:rsidR="008F7787" w:rsidRPr="005C53F5" w:rsidRDefault="008F7787" w:rsidP="00057BE5">
            <w:pPr>
              <w:spacing w:after="0" w:line="240" w:lineRule="auto"/>
              <w:jc w:val="both"/>
              <w:rPr>
                <w:rFonts w:ascii="Times New Roman" w:eastAsia="Times New Roman" w:hAnsi="Times New Roman" w:cs="Times New Roman"/>
                <w:sz w:val="24"/>
                <w:szCs w:val="24"/>
                <w:lang w:eastAsia="ru-RU"/>
              </w:rPr>
            </w:pPr>
            <w:r w:rsidRPr="005C53F5">
              <w:rPr>
                <w:rFonts w:ascii="Times New Roman" w:eastAsia="Calibri" w:hAnsi="Times New Roman" w:cs="Times New Roman"/>
                <w:sz w:val="24"/>
                <w:szCs w:val="24"/>
              </w:rPr>
              <w:t>Факс:</w:t>
            </w:r>
          </w:p>
        </w:tc>
        <w:tc>
          <w:tcPr>
            <w:tcW w:w="2122" w:type="pct"/>
            <w:tcBorders>
              <w:top w:val="single" w:sz="4" w:space="0" w:color="auto"/>
              <w:left w:val="single" w:sz="4" w:space="0" w:color="auto"/>
              <w:bottom w:val="single" w:sz="4" w:space="0" w:color="auto"/>
              <w:right w:val="single" w:sz="4" w:space="0" w:color="auto"/>
            </w:tcBorders>
          </w:tcPr>
          <w:p w14:paraId="7D0A5534" w14:textId="1BCC4223" w:rsidR="008F7787" w:rsidRPr="005C53F5" w:rsidRDefault="00A76BF9" w:rsidP="00057BE5">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C53F5">
              <w:rPr>
                <w:rFonts w:ascii="Times New Roman" w:hAnsi="Times New Roman" w:cs="Times New Roman"/>
                <w:sz w:val="24"/>
                <w:lang w:val="kk-KZ"/>
              </w:rPr>
              <w:t>+7</w:t>
            </w:r>
            <w:r w:rsidRPr="005C53F5" w:rsidDel="00692529">
              <w:rPr>
                <w:rFonts w:ascii="Times New Roman" w:hAnsi="Times New Roman" w:cs="Times New Roman"/>
                <w:sz w:val="24"/>
                <w:lang w:val="kk-KZ"/>
              </w:rPr>
              <w:t xml:space="preserve"> </w:t>
            </w:r>
            <w:r w:rsidRPr="005C53F5">
              <w:rPr>
                <w:rFonts w:ascii="Times New Roman" w:hAnsi="Times New Roman" w:cs="Times New Roman"/>
                <w:sz w:val="24"/>
                <w:lang w:val="kk-KZ"/>
              </w:rPr>
              <w:t>(7172) 75-03-52</w:t>
            </w:r>
          </w:p>
        </w:tc>
      </w:tr>
      <w:tr w:rsidR="008F7787" w:rsidRPr="005C53F5" w14:paraId="18710C82" w14:textId="77777777" w:rsidTr="0037162F">
        <w:trPr>
          <w:trHeight w:val="534"/>
        </w:trPr>
        <w:tc>
          <w:tcPr>
            <w:tcW w:w="2878" w:type="pct"/>
            <w:tcBorders>
              <w:top w:val="single" w:sz="4" w:space="0" w:color="auto"/>
              <w:left w:val="single" w:sz="4" w:space="0" w:color="auto"/>
              <w:bottom w:val="single" w:sz="4" w:space="0" w:color="auto"/>
              <w:right w:val="single" w:sz="4" w:space="0" w:color="auto"/>
            </w:tcBorders>
            <w:shd w:val="clear" w:color="auto" w:fill="auto"/>
            <w:hideMark/>
          </w:tcPr>
          <w:p w14:paraId="41335FBE" w14:textId="77777777" w:rsidR="008F7787" w:rsidRPr="005C53F5" w:rsidRDefault="008F7787" w:rsidP="00057BE5">
            <w:pPr>
              <w:spacing w:after="0" w:line="240" w:lineRule="auto"/>
              <w:jc w:val="both"/>
              <w:rPr>
                <w:rFonts w:ascii="Times New Roman" w:eastAsia="Times New Roman" w:hAnsi="Times New Roman" w:cs="Times New Roman"/>
                <w:sz w:val="24"/>
                <w:szCs w:val="24"/>
                <w:lang w:eastAsia="ru-RU"/>
              </w:rPr>
            </w:pPr>
            <w:r w:rsidRPr="005C53F5">
              <w:rPr>
                <w:rFonts w:ascii="Times New Roman" w:eastAsia="Calibri" w:hAnsi="Times New Roman" w:cs="Times New Roman"/>
                <w:sz w:val="24"/>
                <w:szCs w:val="24"/>
              </w:rPr>
              <w:t>Адрес электронной почты:</w:t>
            </w:r>
          </w:p>
        </w:tc>
        <w:tc>
          <w:tcPr>
            <w:tcW w:w="2122" w:type="pct"/>
            <w:tcBorders>
              <w:top w:val="single" w:sz="4" w:space="0" w:color="auto"/>
              <w:left w:val="single" w:sz="4" w:space="0" w:color="auto"/>
              <w:bottom w:val="single" w:sz="4" w:space="0" w:color="auto"/>
              <w:right w:val="single" w:sz="4" w:space="0" w:color="auto"/>
            </w:tcBorders>
          </w:tcPr>
          <w:p w14:paraId="55089275" w14:textId="7CFA334A" w:rsidR="008F7787" w:rsidRPr="005C53F5" w:rsidRDefault="008E3998" w:rsidP="00057BE5">
            <w:pPr>
              <w:widowControl w:val="0"/>
              <w:autoSpaceDE w:val="0"/>
              <w:autoSpaceDN w:val="0"/>
              <w:spacing w:after="0" w:line="240" w:lineRule="auto"/>
              <w:jc w:val="both"/>
              <w:rPr>
                <w:rFonts w:ascii="Times New Roman" w:eastAsia="Times New Roman" w:hAnsi="Times New Roman" w:cs="Times New Roman"/>
                <w:sz w:val="24"/>
                <w:szCs w:val="24"/>
                <w:lang w:eastAsia="ru-RU"/>
              </w:rPr>
            </w:pPr>
            <w:hyperlink r:id="rId16" w:history="1">
              <w:r w:rsidR="008F7787" w:rsidRPr="005C53F5">
                <w:rPr>
                  <w:rFonts w:ascii="Times New Roman" w:hAnsi="Times New Roman"/>
                  <w:color w:val="0563C1"/>
                  <w:sz w:val="24"/>
                  <w:u w:val="single"/>
                  <w:lang w:val="en-US"/>
                </w:rPr>
                <w:t>d</w:t>
              </w:r>
              <w:r w:rsidR="008F7787" w:rsidRPr="005C53F5">
                <w:rPr>
                  <w:rFonts w:ascii="Times New Roman" w:hAnsi="Times New Roman"/>
                  <w:color w:val="0563C1"/>
                  <w:sz w:val="24"/>
                  <w:u w:val="single"/>
                </w:rPr>
                <w:t>.</w:t>
              </w:r>
              <w:r w:rsidR="008F7787" w:rsidRPr="005C53F5">
                <w:rPr>
                  <w:rFonts w:ascii="Times New Roman" w:hAnsi="Times New Roman"/>
                  <w:color w:val="0563C1"/>
                  <w:sz w:val="24"/>
                  <w:u w:val="single"/>
                  <w:lang w:val="en-US"/>
                </w:rPr>
                <w:t>kenbeil</w:t>
              </w:r>
              <w:r w:rsidR="008F7787" w:rsidRPr="005C53F5">
                <w:rPr>
                  <w:rFonts w:ascii="Times New Roman" w:hAnsi="Times New Roman"/>
                  <w:color w:val="0563C1"/>
                  <w:sz w:val="24"/>
                  <w:u w:val="single"/>
                </w:rPr>
                <w:t>@</w:t>
              </w:r>
              <w:r w:rsidR="008F7787" w:rsidRPr="005C53F5">
                <w:rPr>
                  <w:rFonts w:ascii="Times New Roman" w:hAnsi="Times New Roman"/>
                  <w:color w:val="0563C1"/>
                  <w:sz w:val="24"/>
                  <w:u w:val="single"/>
                  <w:lang w:val="en-US"/>
                </w:rPr>
                <w:t>minfin</w:t>
              </w:r>
              <w:r w:rsidR="008F7787" w:rsidRPr="005C53F5">
                <w:rPr>
                  <w:rFonts w:ascii="Times New Roman" w:hAnsi="Times New Roman"/>
                  <w:color w:val="0563C1"/>
                  <w:sz w:val="24"/>
                  <w:u w:val="single"/>
                </w:rPr>
                <w:t>.</w:t>
              </w:r>
              <w:r w:rsidR="008F7787" w:rsidRPr="005C53F5">
                <w:rPr>
                  <w:rFonts w:ascii="Times New Roman" w:hAnsi="Times New Roman"/>
                  <w:color w:val="0563C1"/>
                  <w:sz w:val="24"/>
                  <w:u w:val="single"/>
                  <w:lang w:val="en-US"/>
                </w:rPr>
                <w:t>gov</w:t>
              </w:r>
              <w:r w:rsidR="008F7787" w:rsidRPr="005C53F5">
                <w:rPr>
                  <w:rFonts w:ascii="Times New Roman" w:hAnsi="Times New Roman"/>
                  <w:color w:val="0563C1"/>
                  <w:sz w:val="24"/>
                  <w:u w:val="single"/>
                </w:rPr>
                <w:t>.</w:t>
              </w:r>
              <w:r w:rsidR="008F7787" w:rsidRPr="005C53F5">
                <w:rPr>
                  <w:rFonts w:ascii="Times New Roman" w:hAnsi="Times New Roman"/>
                  <w:color w:val="0563C1"/>
                  <w:sz w:val="24"/>
                  <w:u w:val="single"/>
                  <w:lang w:val="en-US"/>
                </w:rPr>
                <w:t>kz</w:t>
              </w:r>
            </w:hyperlink>
          </w:p>
          <w:p w14:paraId="41CD42B6" w14:textId="77777777" w:rsidR="00A76BF9" w:rsidRPr="005C53F5" w:rsidRDefault="008E3998" w:rsidP="00057BE5">
            <w:pPr>
              <w:widowControl w:val="0"/>
              <w:autoSpaceDE w:val="0"/>
              <w:autoSpaceDN w:val="0"/>
              <w:spacing w:after="0" w:line="240" w:lineRule="auto"/>
              <w:jc w:val="both"/>
              <w:rPr>
                <w:rFonts w:ascii="Times New Roman" w:eastAsia="Times New Roman" w:hAnsi="Times New Roman" w:cs="Times New Roman"/>
                <w:sz w:val="24"/>
                <w:szCs w:val="24"/>
                <w:lang w:eastAsia="ru-RU"/>
              </w:rPr>
            </w:pPr>
            <w:hyperlink r:id="rId17" w:history="1">
              <w:r w:rsidR="00A76BF9" w:rsidRPr="005C53F5">
                <w:rPr>
                  <w:rStyle w:val="ae"/>
                  <w:rFonts w:ascii="Times New Roman" w:eastAsia="Times New Roman" w:hAnsi="Times New Roman" w:cs="Times New Roman"/>
                  <w:sz w:val="24"/>
                  <w:szCs w:val="24"/>
                  <w:lang w:val="en-US" w:eastAsia="ru-RU"/>
                </w:rPr>
                <w:t>m</w:t>
              </w:r>
              <w:r w:rsidR="00A76BF9" w:rsidRPr="005C53F5">
                <w:rPr>
                  <w:rStyle w:val="ae"/>
                  <w:rFonts w:ascii="Times New Roman" w:eastAsia="Times New Roman" w:hAnsi="Times New Roman" w:cs="Times New Roman"/>
                  <w:sz w:val="24"/>
                  <w:szCs w:val="24"/>
                  <w:lang w:eastAsia="ru-RU"/>
                </w:rPr>
                <w:t>.</w:t>
              </w:r>
              <w:r w:rsidR="00A76BF9" w:rsidRPr="005C53F5">
                <w:rPr>
                  <w:rStyle w:val="ae"/>
                  <w:rFonts w:ascii="Times New Roman" w:eastAsia="Times New Roman" w:hAnsi="Times New Roman" w:cs="Times New Roman"/>
                  <w:sz w:val="24"/>
                  <w:szCs w:val="24"/>
                  <w:lang w:val="en-US" w:eastAsia="ru-RU"/>
                </w:rPr>
                <w:t>aitpysheva</w:t>
              </w:r>
              <w:r w:rsidR="00A76BF9" w:rsidRPr="005C53F5">
                <w:rPr>
                  <w:rStyle w:val="ae"/>
                  <w:rFonts w:ascii="Times New Roman" w:eastAsia="Times New Roman" w:hAnsi="Times New Roman" w:cs="Times New Roman"/>
                  <w:sz w:val="24"/>
                  <w:szCs w:val="24"/>
                  <w:lang w:eastAsia="ru-RU"/>
                </w:rPr>
                <w:t>@</w:t>
              </w:r>
              <w:r w:rsidR="00A76BF9" w:rsidRPr="005C53F5">
                <w:rPr>
                  <w:rStyle w:val="ae"/>
                  <w:rFonts w:ascii="Times New Roman" w:eastAsia="Times New Roman" w:hAnsi="Times New Roman" w:cs="Times New Roman"/>
                  <w:sz w:val="24"/>
                  <w:szCs w:val="24"/>
                  <w:lang w:val="en-US" w:eastAsia="ru-RU"/>
                </w:rPr>
                <w:t>minfin</w:t>
              </w:r>
              <w:r w:rsidR="00A76BF9" w:rsidRPr="005C53F5">
                <w:rPr>
                  <w:rStyle w:val="ae"/>
                  <w:rFonts w:ascii="Times New Roman" w:eastAsia="Times New Roman" w:hAnsi="Times New Roman" w:cs="Times New Roman"/>
                  <w:sz w:val="24"/>
                  <w:szCs w:val="24"/>
                  <w:lang w:eastAsia="ru-RU"/>
                </w:rPr>
                <w:t>.</w:t>
              </w:r>
              <w:r w:rsidR="00A76BF9" w:rsidRPr="005C53F5">
                <w:rPr>
                  <w:rStyle w:val="ae"/>
                  <w:rFonts w:ascii="Times New Roman" w:eastAsia="Times New Roman" w:hAnsi="Times New Roman" w:cs="Times New Roman"/>
                  <w:sz w:val="24"/>
                  <w:szCs w:val="24"/>
                  <w:lang w:val="en-US" w:eastAsia="ru-RU"/>
                </w:rPr>
                <w:t>gov</w:t>
              </w:r>
              <w:r w:rsidR="00A76BF9" w:rsidRPr="005C53F5">
                <w:rPr>
                  <w:rStyle w:val="ae"/>
                  <w:rFonts w:ascii="Times New Roman" w:eastAsia="Times New Roman" w:hAnsi="Times New Roman" w:cs="Times New Roman"/>
                  <w:sz w:val="24"/>
                  <w:szCs w:val="24"/>
                  <w:lang w:eastAsia="ru-RU"/>
                </w:rPr>
                <w:t>.</w:t>
              </w:r>
              <w:r w:rsidR="00A76BF9" w:rsidRPr="005C53F5">
                <w:rPr>
                  <w:rStyle w:val="ae"/>
                  <w:rFonts w:ascii="Times New Roman" w:eastAsia="Times New Roman" w:hAnsi="Times New Roman" w:cs="Times New Roman"/>
                  <w:sz w:val="24"/>
                  <w:szCs w:val="24"/>
                  <w:lang w:val="en-US" w:eastAsia="ru-RU"/>
                </w:rPr>
                <w:t>kz</w:t>
              </w:r>
            </w:hyperlink>
          </w:p>
          <w:p w14:paraId="6AECC5E7" w14:textId="0E385C82" w:rsidR="00A76BF9" w:rsidRPr="005C53F5" w:rsidRDefault="008E3998" w:rsidP="00057BE5">
            <w:pPr>
              <w:widowControl w:val="0"/>
              <w:autoSpaceDE w:val="0"/>
              <w:autoSpaceDN w:val="0"/>
              <w:spacing w:after="0" w:line="240" w:lineRule="auto"/>
              <w:jc w:val="both"/>
              <w:rPr>
                <w:rFonts w:ascii="Times New Roman" w:hAnsi="Times New Roman"/>
                <w:sz w:val="24"/>
              </w:rPr>
            </w:pPr>
            <w:hyperlink r:id="rId18" w:history="1">
              <w:r w:rsidR="005F135C" w:rsidRPr="005C53F5">
                <w:rPr>
                  <w:rStyle w:val="ae"/>
                  <w:rFonts w:ascii="Times New Roman" w:eastAsia="Times New Roman" w:hAnsi="Times New Roman" w:cs="Times New Roman"/>
                  <w:sz w:val="24"/>
                  <w:szCs w:val="24"/>
                  <w:lang w:val="en-US" w:eastAsia="ru-RU"/>
                </w:rPr>
                <w:t>su</w:t>
              </w:r>
              <w:r w:rsidR="005F135C" w:rsidRPr="005C53F5">
                <w:rPr>
                  <w:rStyle w:val="ae"/>
                  <w:rFonts w:ascii="Times New Roman" w:eastAsia="Times New Roman" w:hAnsi="Times New Roman" w:cs="Times New Roman"/>
                  <w:sz w:val="24"/>
                  <w:szCs w:val="24"/>
                  <w:lang w:eastAsia="ru-RU"/>
                </w:rPr>
                <w:t>.</w:t>
              </w:r>
              <w:r w:rsidR="005F135C" w:rsidRPr="005C53F5">
                <w:rPr>
                  <w:rStyle w:val="ae"/>
                  <w:rFonts w:ascii="Times New Roman" w:eastAsia="Times New Roman" w:hAnsi="Times New Roman" w:cs="Times New Roman"/>
                  <w:sz w:val="24"/>
                  <w:szCs w:val="24"/>
                  <w:lang w:val="en-US" w:eastAsia="ru-RU"/>
                </w:rPr>
                <w:t>shirbaev</w:t>
              </w:r>
              <w:r w:rsidR="005F135C" w:rsidRPr="005C53F5">
                <w:rPr>
                  <w:rStyle w:val="ae"/>
                  <w:rFonts w:ascii="Times New Roman" w:eastAsia="Times New Roman" w:hAnsi="Times New Roman" w:cs="Times New Roman"/>
                  <w:sz w:val="24"/>
                  <w:szCs w:val="24"/>
                  <w:lang w:eastAsia="ru-RU"/>
                </w:rPr>
                <w:t>@</w:t>
              </w:r>
              <w:r w:rsidR="005F135C" w:rsidRPr="005C53F5">
                <w:rPr>
                  <w:rStyle w:val="ae"/>
                  <w:rFonts w:ascii="Times New Roman" w:eastAsia="Times New Roman" w:hAnsi="Times New Roman" w:cs="Times New Roman"/>
                  <w:sz w:val="24"/>
                  <w:szCs w:val="24"/>
                  <w:lang w:val="en-US" w:eastAsia="ru-RU"/>
                </w:rPr>
                <w:t>minfin</w:t>
              </w:r>
              <w:r w:rsidR="005F135C" w:rsidRPr="005C53F5">
                <w:rPr>
                  <w:rStyle w:val="ae"/>
                  <w:rFonts w:ascii="Times New Roman" w:eastAsia="Times New Roman" w:hAnsi="Times New Roman" w:cs="Times New Roman"/>
                  <w:sz w:val="24"/>
                  <w:szCs w:val="24"/>
                  <w:lang w:eastAsia="ru-RU"/>
                </w:rPr>
                <w:t>.</w:t>
              </w:r>
              <w:r w:rsidR="005F135C" w:rsidRPr="005C53F5">
                <w:rPr>
                  <w:rStyle w:val="ae"/>
                  <w:rFonts w:ascii="Times New Roman" w:eastAsia="Times New Roman" w:hAnsi="Times New Roman" w:cs="Times New Roman"/>
                  <w:sz w:val="24"/>
                  <w:szCs w:val="24"/>
                  <w:lang w:val="en-US" w:eastAsia="ru-RU"/>
                </w:rPr>
                <w:t>gov</w:t>
              </w:r>
              <w:r w:rsidR="005F135C" w:rsidRPr="005C53F5">
                <w:rPr>
                  <w:rStyle w:val="ae"/>
                  <w:rFonts w:ascii="Times New Roman" w:eastAsia="Times New Roman" w:hAnsi="Times New Roman" w:cs="Times New Roman"/>
                  <w:sz w:val="24"/>
                  <w:szCs w:val="24"/>
                  <w:lang w:eastAsia="ru-RU"/>
                </w:rPr>
                <w:t>.</w:t>
              </w:r>
              <w:r w:rsidR="005F135C" w:rsidRPr="005C53F5">
                <w:rPr>
                  <w:rStyle w:val="ae"/>
                  <w:rFonts w:ascii="Times New Roman" w:eastAsia="Times New Roman" w:hAnsi="Times New Roman" w:cs="Times New Roman"/>
                  <w:sz w:val="24"/>
                  <w:szCs w:val="24"/>
                  <w:lang w:val="en-US" w:eastAsia="ru-RU"/>
                </w:rPr>
                <w:t>kz</w:t>
              </w:r>
            </w:hyperlink>
            <w:r w:rsidR="005F135C" w:rsidRPr="005C53F5">
              <w:rPr>
                <w:rFonts w:ascii="Times New Roman" w:eastAsia="Times New Roman" w:hAnsi="Times New Roman" w:cs="Times New Roman"/>
                <w:sz w:val="24"/>
                <w:szCs w:val="24"/>
                <w:lang w:eastAsia="ru-RU"/>
              </w:rPr>
              <w:t xml:space="preserve"> </w:t>
            </w:r>
          </w:p>
        </w:tc>
      </w:tr>
      <w:tr w:rsidR="008F7787" w:rsidRPr="005C53F5" w14:paraId="5D3864D0" w14:textId="77777777" w:rsidTr="0037162F">
        <w:trPr>
          <w:trHeight w:val="534"/>
        </w:trPr>
        <w:tc>
          <w:tcPr>
            <w:tcW w:w="2878" w:type="pct"/>
            <w:tcBorders>
              <w:top w:val="single" w:sz="4" w:space="0" w:color="auto"/>
              <w:left w:val="single" w:sz="4" w:space="0" w:color="auto"/>
              <w:bottom w:val="single" w:sz="4" w:space="0" w:color="auto"/>
              <w:right w:val="single" w:sz="4" w:space="0" w:color="auto"/>
            </w:tcBorders>
            <w:shd w:val="clear" w:color="auto" w:fill="auto"/>
          </w:tcPr>
          <w:p w14:paraId="0718E3BD" w14:textId="4CB03A26" w:rsidR="008F7787" w:rsidRPr="005C53F5" w:rsidRDefault="008F7787" w:rsidP="00057BE5">
            <w:pPr>
              <w:spacing w:after="0" w:line="240" w:lineRule="auto"/>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Директор Департамент</w:t>
            </w:r>
            <w:r w:rsidR="00EE0E53" w:rsidRPr="005C53F5">
              <w:rPr>
                <w:rFonts w:ascii="Times New Roman" w:eastAsia="Calibri" w:hAnsi="Times New Roman" w:cs="Times New Roman"/>
                <w:sz w:val="24"/>
                <w:szCs w:val="24"/>
              </w:rPr>
              <w:t>а</w:t>
            </w:r>
            <w:r w:rsidRPr="005C53F5">
              <w:rPr>
                <w:rFonts w:ascii="Times New Roman" w:eastAsia="Calibri" w:hAnsi="Times New Roman" w:cs="Times New Roman"/>
                <w:sz w:val="24"/>
                <w:szCs w:val="24"/>
              </w:rPr>
              <w:t xml:space="preserve"> государственного заимствования</w:t>
            </w:r>
          </w:p>
        </w:tc>
        <w:tc>
          <w:tcPr>
            <w:tcW w:w="2122" w:type="pct"/>
            <w:tcBorders>
              <w:top w:val="single" w:sz="4" w:space="0" w:color="auto"/>
              <w:left w:val="single" w:sz="4" w:space="0" w:color="auto"/>
              <w:bottom w:val="single" w:sz="4" w:space="0" w:color="auto"/>
              <w:right w:val="single" w:sz="4" w:space="0" w:color="auto"/>
            </w:tcBorders>
          </w:tcPr>
          <w:p w14:paraId="02ADE879" w14:textId="0D6724BF" w:rsidR="00A76BF9" w:rsidRPr="005C53F5" w:rsidRDefault="00A76BF9" w:rsidP="00057BE5">
            <w:pPr>
              <w:spacing w:after="0" w:line="240" w:lineRule="auto"/>
              <w:rPr>
                <w:rFonts w:ascii="Times New Roman" w:eastAsia="Times New Roman" w:hAnsi="Times New Roman" w:cs="Times New Roman"/>
                <w:color w:val="000000"/>
                <w:sz w:val="24"/>
                <w:szCs w:val="24"/>
                <w:lang w:val="kk-KZ" w:eastAsia="ru-RU"/>
              </w:rPr>
            </w:pPr>
            <w:r w:rsidRPr="005C53F5">
              <w:rPr>
                <w:rFonts w:ascii="Times New Roman" w:eastAsia="Times New Roman" w:hAnsi="Times New Roman" w:cs="Times New Roman"/>
                <w:color w:val="000000"/>
                <w:sz w:val="24"/>
                <w:szCs w:val="24"/>
                <w:lang w:val="kk-KZ" w:eastAsia="ru-RU"/>
              </w:rPr>
              <w:t xml:space="preserve">Кенбеил </w:t>
            </w:r>
            <w:r w:rsidR="005F21AE" w:rsidRPr="005C53F5">
              <w:rPr>
                <w:rFonts w:ascii="Times New Roman" w:hAnsi="Times New Roman"/>
                <w:sz w:val="24"/>
                <w:lang w:val="kk-KZ"/>
              </w:rPr>
              <w:t xml:space="preserve">Даурен </w:t>
            </w:r>
            <w:r w:rsidR="005F21AE" w:rsidRPr="005C53F5">
              <w:rPr>
                <w:rFonts w:ascii="Times New Roman" w:eastAsia="Times New Roman" w:hAnsi="Times New Roman" w:cs="Times New Roman"/>
                <w:sz w:val="24"/>
                <w:szCs w:val="24"/>
                <w:lang w:val="kk-KZ" w:eastAsia="ru-RU"/>
              </w:rPr>
              <w:t>Маратулы</w:t>
            </w:r>
          </w:p>
          <w:p w14:paraId="60E5714C" w14:textId="59AE5E08" w:rsidR="008F7787" w:rsidRPr="005C53F5" w:rsidRDefault="00A76BF9" w:rsidP="00057BE5">
            <w:pPr>
              <w:widowControl w:val="0"/>
              <w:autoSpaceDE w:val="0"/>
              <w:autoSpaceDN w:val="0"/>
              <w:spacing w:after="0" w:line="240" w:lineRule="auto"/>
              <w:jc w:val="both"/>
              <w:rPr>
                <w:rFonts w:ascii="Times New Roman" w:hAnsi="Times New Roman"/>
                <w:sz w:val="24"/>
              </w:rPr>
            </w:pPr>
            <w:r w:rsidRPr="005C53F5">
              <w:rPr>
                <w:rFonts w:ascii="Times New Roman" w:eastAsia="Times New Roman" w:hAnsi="Times New Roman" w:cs="Times New Roman"/>
                <w:sz w:val="24"/>
                <w:szCs w:val="24"/>
                <w:lang w:eastAsia="ru-RU"/>
              </w:rPr>
              <w:t xml:space="preserve"> +7</w:t>
            </w:r>
            <w:r w:rsidR="00952789" w:rsidRPr="005C53F5">
              <w:rPr>
                <w:rFonts w:ascii="Times New Roman" w:eastAsia="Times New Roman" w:hAnsi="Times New Roman" w:cs="Times New Roman"/>
                <w:sz w:val="24"/>
                <w:szCs w:val="24"/>
                <w:lang w:eastAsia="ru-RU"/>
              </w:rPr>
              <w:t> </w:t>
            </w:r>
            <w:r w:rsidRPr="005C53F5">
              <w:rPr>
                <w:rFonts w:ascii="Times New Roman" w:eastAsia="Times New Roman" w:hAnsi="Times New Roman" w:cs="Times New Roman"/>
                <w:sz w:val="24"/>
                <w:szCs w:val="24"/>
                <w:lang w:eastAsia="ru-RU"/>
              </w:rPr>
              <w:t>(7172) 75-02-51</w:t>
            </w:r>
          </w:p>
        </w:tc>
      </w:tr>
    </w:tbl>
    <w:p w14:paraId="149920F6" w14:textId="50E5ECBA" w:rsidR="00BC771C" w:rsidRPr="005C53F5" w:rsidRDefault="00BC771C" w:rsidP="00057BE5">
      <w:pPr>
        <w:pStyle w:val="ConsPlusNormal"/>
        <w:ind w:firstLine="709"/>
        <w:jc w:val="both"/>
        <w:outlineLvl w:val="2"/>
        <w:rPr>
          <w:rFonts w:ascii="Times New Roman" w:hAnsi="Times New Roman" w:cs="Times New Roman"/>
          <w:b/>
          <w:sz w:val="24"/>
          <w:szCs w:val="24"/>
        </w:rPr>
      </w:pPr>
      <w:bookmarkStart w:id="254" w:name="_Toc39616351"/>
      <w:bookmarkStart w:id="255" w:name="_Toc36145589"/>
      <w:r w:rsidRPr="005C53F5">
        <w:rPr>
          <w:rFonts w:ascii="Times New Roman" w:hAnsi="Times New Roman" w:cs="Times New Roman"/>
          <w:b/>
          <w:sz w:val="24"/>
          <w:szCs w:val="24"/>
        </w:rPr>
        <w:t>3.1.5. Идентификационный номер налогоплательщика</w:t>
      </w:r>
      <w:bookmarkEnd w:id="254"/>
      <w:bookmarkEnd w:id="255"/>
    </w:p>
    <w:p w14:paraId="51924A78" w14:textId="7D061A98" w:rsidR="00BC771C" w:rsidRPr="005C53F5" w:rsidRDefault="00D666B6" w:rsidP="00057BE5">
      <w:pPr>
        <w:pStyle w:val="ConsPlusNormal"/>
        <w:ind w:firstLine="709"/>
        <w:jc w:val="both"/>
        <w:rPr>
          <w:rFonts w:ascii="Times New Roman" w:hAnsi="Times New Roman" w:cs="Times New Roman"/>
          <w:b/>
          <w:i/>
          <w:sz w:val="24"/>
          <w:szCs w:val="24"/>
          <w:u w:val="single"/>
        </w:rPr>
      </w:pPr>
      <w:bookmarkStart w:id="256" w:name="_Toc521609312"/>
      <w:bookmarkStart w:id="257" w:name="_Toc533785071"/>
      <w:r w:rsidRPr="005C53F5">
        <w:rPr>
          <w:rFonts w:ascii="Times New Roman" w:hAnsi="Times New Roman" w:cs="Times New Roman"/>
          <w:b/>
          <w:i/>
          <w:sz w:val="24"/>
          <w:szCs w:val="24"/>
          <w:u w:val="single"/>
        </w:rPr>
        <w:t>П</w:t>
      </w:r>
      <w:r w:rsidR="00BC771C" w:rsidRPr="005C53F5">
        <w:rPr>
          <w:rFonts w:ascii="Times New Roman" w:hAnsi="Times New Roman" w:cs="Times New Roman"/>
          <w:b/>
          <w:i/>
          <w:sz w:val="24"/>
          <w:szCs w:val="24"/>
          <w:u w:val="single"/>
        </w:rPr>
        <w:t>рисвоенный эмитенту налоговыми органами ИНН:</w:t>
      </w:r>
      <w:bookmarkEnd w:id="256"/>
      <w:bookmarkEnd w:id="257"/>
    </w:p>
    <w:p w14:paraId="743FB3E9" w14:textId="6C35D72E" w:rsidR="00BC771C" w:rsidRPr="005C53F5" w:rsidRDefault="00BC771C" w:rsidP="00057BE5">
      <w:pPr>
        <w:pStyle w:val="ConsPlusNormal"/>
        <w:ind w:firstLine="709"/>
        <w:jc w:val="both"/>
        <w:rPr>
          <w:rFonts w:ascii="Times New Roman" w:hAnsi="Times New Roman" w:cs="Times New Roman"/>
          <w:sz w:val="24"/>
          <w:szCs w:val="24"/>
        </w:rPr>
      </w:pPr>
      <w:bookmarkStart w:id="258" w:name="_Toc521609313"/>
      <w:bookmarkStart w:id="259" w:name="_Toc533785072"/>
      <w:r w:rsidRPr="005C53F5">
        <w:rPr>
          <w:rFonts w:ascii="Times New Roman" w:hAnsi="Times New Roman" w:cs="Times New Roman"/>
          <w:sz w:val="24"/>
          <w:szCs w:val="24"/>
        </w:rPr>
        <w:t>Эмитент не подлежал и не подлежит постановке на учет в налогов</w:t>
      </w:r>
      <w:r w:rsidR="00201954" w:rsidRPr="005C53F5">
        <w:rPr>
          <w:rFonts w:ascii="Times New Roman" w:hAnsi="Times New Roman" w:cs="Times New Roman"/>
          <w:sz w:val="24"/>
          <w:szCs w:val="24"/>
        </w:rPr>
        <w:t>ом</w:t>
      </w:r>
      <w:r w:rsidRPr="005C53F5">
        <w:rPr>
          <w:rFonts w:ascii="Times New Roman" w:hAnsi="Times New Roman" w:cs="Times New Roman"/>
          <w:sz w:val="24"/>
          <w:szCs w:val="24"/>
        </w:rPr>
        <w:t xml:space="preserve"> орган</w:t>
      </w:r>
      <w:r w:rsidR="00201954" w:rsidRPr="005C53F5">
        <w:rPr>
          <w:rFonts w:ascii="Times New Roman" w:hAnsi="Times New Roman" w:cs="Times New Roman"/>
          <w:sz w:val="24"/>
          <w:szCs w:val="24"/>
        </w:rPr>
        <w:t>е</w:t>
      </w:r>
      <w:r w:rsidRPr="005C53F5">
        <w:rPr>
          <w:rFonts w:ascii="Times New Roman" w:hAnsi="Times New Roman" w:cs="Times New Roman"/>
          <w:sz w:val="24"/>
          <w:szCs w:val="24"/>
        </w:rPr>
        <w:t xml:space="preserve"> в соответствии с законодательством Российской Федерации.</w:t>
      </w:r>
      <w:bookmarkEnd w:id="258"/>
      <w:bookmarkEnd w:id="259"/>
    </w:p>
    <w:p w14:paraId="4AE5D513" w14:textId="77777777" w:rsidR="00BC771C" w:rsidRPr="005C53F5" w:rsidRDefault="00BC771C" w:rsidP="00057BE5">
      <w:pPr>
        <w:pStyle w:val="ConsPlusNormal"/>
        <w:ind w:firstLine="709"/>
        <w:jc w:val="both"/>
        <w:outlineLvl w:val="2"/>
        <w:rPr>
          <w:rFonts w:ascii="Times New Roman" w:hAnsi="Times New Roman" w:cs="Times New Roman"/>
          <w:b/>
          <w:sz w:val="24"/>
          <w:szCs w:val="24"/>
        </w:rPr>
      </w:pPr>
      <w:bookmarkStart w:id="260" w:name="_Toc39616352"/>
      <w:bookmarkStart w:id="261" w:name="_Toc36145590"/>
      <w:r w:rsidRPr="005C53F5">
        <w:rPr>
          <w:rFonts w:ascii="Times New Roman" w:hAnsi="Times New Roman" w:cs="Times New Roman"/>
          <w:b/>
          <w:sz w:val="24"/>
          <w:szCs w:val="24"/>
        </w:rPr>
        <w:t>3.1.6. Филиалы и представительства эмитента</w:t>
      </w:r>
      <w:bookmarkEnd w:id="260"/>
      <w:bookmarkEnd w:id="261"/>
    </w:p>
    <w:p w14:paraId="6E2C153D" w14:textId="2CC6CCB7" w:rsidR="00BC771C" w:rsidRPr="005C53F5" w:rsidRDefault="004424B9" w:rsidP="00057BE5">
      <w:pPr>
        <w:pStyle w:val="ConsPlusNormal"/>
        <w:ind w:firstLine="709"/>
        <w:jc w:val="both"/>
        <w:rPr>
          <w:rFonts w:ascii="Times New Roman" w:hAnsi="Times New Roman" w:cs="Times New Roman"/>
          <w:b/>
          <w:i/>
          <w:sz w:val="24"/>
          <w:szCs w:val="24"/>
          <w:u w:val="single"/>
        </w:rPr>
      </w:pPr>
      <w:bookmarkStart w:id="262" w:name="_Toc521609315"/>
      <w:bookmarkStart w:id="263" w:name="_Toc533785074"/>
      <w:r w:rsidRPr="005C53F5">
        <w:rPr>
          <w:rFonts w:ascii="Times New Roman" w:hAnsi="Times New Roman" w:cs="Times New Roman"/>
          <w:b/>
          <w:i/>
          <w:sz w:val="24"/>
          <w:szCs w:val="24"/>
          <w:u w:val="single"/>
        </w:rPr>
        <w:t>Н</w:t>
      </w:r>
      <w:r w:rsidR="00BC771C" w:rsidRPr="005C53F5">
        <w:rPr>
          <w:rFonts w:ascii="Times New Roman" w:hAnsi="Times New Roman" w:cs="Times New Roman"/>
          <w:b/>
          <w:i/>
          <w:sz w:val="24"/>
          <w:szCs w:val="24"/>
          <w:u w:val="single"/>
        </w:rPr>
        <w:t>аименования, даты открытия, места нахождения всех филиалов и представительств эмитента, а также фамилии, имена и отчества (если имеются) руководителей всех филиалов и представительств эмитента, а также сроки действия выданных им эмитентом доверенностей:</w:t>
      </w:r>
      <w:bookmarkEnd w:id="262"/>
      <w:bookmarkEnd w:id="263"/>
    </w:p>
    <w:p w14:paraId="19C9EC85" w14:textId="1C638359" w:rsidR="00CC7004" w:rsidRPr="005C53F5" w:rsidRDefault="00CC7004"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По данным Министерства иностранных дел Республики Казахстан, Эмитент установил дипломатические отношения с 186 странами и является членом 73 международных организаций. </w:t>
      </w:r>
    </w:p>
    <w:p w14:paraId="1FE953BD" w14:textId="21321BC4" w:rsidR="003A1D6B" w:rsidRPr="005C53F5" w:rsidRDefault="00CC7004"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По данным Министерства иностранных дел Республики Казахстан, Эмитентом открыто 63 посольства, </w:t>
      </w:r>
      <w:r w:rsidR="00FF3BC2" w:rsidRPr="005C53F5">
        <w:rPr>
          <w:rFonts w:ascii="Times New Roman" w:eastAsia="Calibri" w:hAnsi="Times New Roman" w:cs="Times New Roman"/>
          <w:sz w:val="24"/>
          <w:szCs w:val="24"/>
        </w:rPr>
        <w:t>1</w:t>
      </w:r>
      <w:r w:rsidR="00FF3BC2" w:rsidRPr="00FF3BC2">
        <w:rPr>
          <w:rFonts w:ascii="Times New Roman" w:eastAsia="Calibri" w:hAnsi="Times New Roman" w:cs="Times New Roman"/>
          <w:sz w:val="24"/>
          <w:szCs w:val="24"/>
        </w:rPr>
        <w:t>4</w:t>
      </w:r>
      <w:r w:rsidR="00FF3BC2"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 xml:space="preserve">генеральных консульств, </w:t>
      </w:r>
      <w:r w:rsidR="00FF3BC2" w:rsidRPr="005C53F5">
        <w:rPr>
          <w:rFonts w:ascii="Times New Roman" w:eastAsia="Calibri" w:hAnsi="Times New Roman" w:cs="Times New Roman"/>
          <w:sz w:val="24"/>
          <w:szCs w:val="24"/>
        </w:rPr>
        <w:t>1</w:t>
      </w:r>
      <w:r w:rsidR="00FF3BC2" w:rsidRPr="00FF3BC2">
        <w:rPr>
          <w:rFonts w:ascii="Times New Roman" w:eastAsia="Calibri" w:hAnsi="Times New Roman" w:cs="Times New Roman"/>
          <w:sz w:val="24"/>
          <w:szCs w:val="24"/>
        </w:rPr>
        <w:t>2</w:t>
      </w:r>
      <w:r w:rsidR="00FF3BC2"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 xml:space="preserve">консульств, 2 постоянных представительства, 1 дипломатическая миссия и 1 паспортно-визовая служба Республики Казахстан. </w:t>
      </w:r>
    </w:p>
    <w:p w14:paraId="6F459904" w14:textId="44021B9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264" w:name="_Toc39616353"/>
      <w:bookmarkStart w:id="265" w:name="_Toc36145591"/>
      <w:r w:rsidRPr="005C53F5">
        <w:rPr>
          <w:rFonts w:ascii="Times New Roman" w:hAnsi="Times New Roman" w:cs="Times New Roman"/>
          <w:b/>
          <w:sz w:val="24"/>
          <w:szCs w:val="24"/>
        </w:rPr>
        <w:t>3.2. Основная хозяйственная деятельность эмитента</w:t>
      </w:r>
      <w:bookmarkEnd w:id="264"/>
      <w:bookmarkEnd w:id="265"/>
    </w:p>
    <w:p w14:paraId="5C0C121B" w14:textId="77777777" w:rsidR="00C23408" w:rsidRPr="005C53F5" w:rsidRDefault="00C23408" w:rsidP="00057BE5">
      <w:pPr>
        <w:pStyle w:val="ConsPlusNormal"/>
        <w:ind w:firstLine="709"/>
        <w:jc w:val="both"/>
        <w:rPr>
          <w:rFonts w:ascii="Times New Roman" w:hAnsi="Times New Roman" w:cs="Times New Roman"/>
          <w:b/>
          <w:sz w:val="24"/>
          <w:szCs w:val="24"/>
        </w:rPr>
      </w:pPr>
      <w:bookmarkStart w:id="266" w:name="_Toc521609318"/>
      <w:bookmarkStart w:id="267" w:name="_Toc533785077"/>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266"/>
      <w:bookmarkEnd w:id="267"/>
    </w:p>
    <w:p w14:paraId="561F8620"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268" w:name="_Toc39616354"/>
      <w:bookmarkStart w:id="269" w:name="_Toc36145592"/>
      <w:r w:rsidRPr="005C53F5">
        <w:rPr>
          <w:rFonts w:ascii="Times New Roman" w:hAnsi="Times New Roman" w:cs="Times New Roman"/>
          <w:b/>
          <w:sz w:val="24"/>
          <w:szCs w:val="24"/>
        </w:rPr>
        <w:t>3.3. Планы будущей деятельности эмитента</w:t>
      </w:r>
      <w:bookmarkEnd w:id="268"/>
      <w:bookmarkEnd w:id="269"/>
    </w:p>
    <w:p w14:paraId="12695E2F" w14:textId="77777777" w:rsidR="00C23408" w:rsidRPr="005C53F5" w:rsidRDefault="00C23408" w:rsidP="00057BE5">
      <w:pPr>
        <w:pStyle w:val="ConsPlusNormal"/>
        <w:ind w:firstLine="709"/>
        <w:jc w:val="both"/>
        <w:rPr>
          <w:rFonts w:ascii="Times New Roman" w:hAnsi="Times New Roman" w:cs="Times New Roman"/>
          <w:b/>
          <w:sz w:val="24"/>
          <w:szCs w:val="24"/>
        </w:rPr>
      </w:pPr>
      <w:bookmarkStart w:id="270" w:name="_Toc521609320"/>
      <w:bookmarkStart w:id="271" w:name="_Toc533785079"/>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270"/>
      <w:bookmarkEnd w:id="271"/>
    </w:p>
    <w:p w14:paraId="6F4EDB68"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272" w:name="_Toc39616355"/>
      <w:bookmarkStart w:id="273" w:name="_Toc36145593"/>
      <w:r w:rsidRPr="005C53F5">
        <w:rPr>
          <w:rFonts w:ascii="Times New Roman" w:hAnsi="Times New Roman" w:cs="Times New Roman"/>
          <w:b/>
          <w:sz w:val="24"/>
          <w:szCs w:val="24"/>
        </w:rPr>
        <w:t>3.4. Участие эмитента в банковских группах, банковских холдингах, холдингах и ассоциациях</w:t>
      </w:r>
      <w:bookmarkEnd w:id="272"/>
      <w:bookmarkEnd w:id="273"/>
    </w:p>
    <w:p w14:paraId="00770BE9" w14:textId="77777777" w:rsidR="00D12FD1" w:rsidRPr="005C53F5" w:rsidRDefault="00D12FD1" w:rsidP="00057BE5">
      <w:pPr>
        <w:spacing w:after="0" w:line="240" w:lineRule="auto"/>
        <w:ind w:firstLine="709"/>
        <w:jc w:val="both"/>
        <w:rPr>
          <w:rFonts w:ascii="Times New Roman" w:eastAsia="Calibri" w:hAnsi="Times New Roman" w:cs="Times New Roman"/>
          <w:sz w:val="24"/>
          <w:szCs w:val="24"/>
        </w:rPr>
      </w:pPr>
      <w:bookmarkStart w:id="274" w:name="_Toc521609323"/>
      <w:bookmarkStart w:id="275" w:name="_Toc533785082"/>
      <w:r w:rsidRPr="005C53F5">
        <w:rPr>
          <w:rFonts w:ascii="Times New Roman" w:eastAsia="Calibri" w:hAnsi="Times New Roman" w:cs="Times New Roman"/>
          <w:sz w:val="24"/>
          <w:szCs w:val="24"/>
        </w:rPr>
        <w:t>В соответствии с пунктом 91.3 Положения Банка России № 454-П в настоящем пункте приводится информация об участии Эмитента в международных финансовых организациях.</w:t>
      </w:r>
    </w:p>
    <w:p w14:paraId="12F9330F" w14:textId="457738B6" w:rsidR="000E68F0"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С момента обретения независимости Казахстан принимает активное участие в сотрудничестве с различными международными и иностранными</w:t>
      </w:r>
      <w:r w:rsidR="00B7204C"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 xml:space="preserve">общественными организациями и учреждениями, а также с зарубежными неправительственными общественными организациями и фондами. Такое сотрудничество в основном осуществляется в форме совместных проектов и реализации программ, финансируемых за счет </w:t>
      </w:r>
      <w:r w:rsidR="000E68F0" w:rsidRPr="005C53F5">
        <w:rPr>
          <w:rFonts w:ascii="Times New Roman" w:eastAsia="Calibri" w:hAnsi="Times New Roman" w:cs="Times New Roman"/>
          <w:sz w:val="24"/>
          <w:szCs w:val="24"/>
        </w:rPr>
        <w:t xml:space="preserve">привлечения </w:t>
      </w:r>
      <w:r w:rsidRPr="005C53F5">
        <w:rPr>
          <w:rFonts w:ascii="Times New Roman" w:eastAsia="Calibri" w:hAnsi="Times New Roman" w:cs="Times New Roman"/>
          <w:sz w:val="24"/>
          <w:szCs w:val="24"/>
        </w:rPr>
        <w:t>финансовой и технической помощи. Казахстан является членом МВФ, МБРР, МФК, МАР, Многостороннего агентства по гарантированию инвестиций, Международного центра по урегулированию инвестиционных споров, ЕБРР, АБР и ИБР.</w:t>
      </w:r>
    </w:p>
    <w:p w14:paraId="4C45AA23" w14:textId="2DC6927A" w:rsidR="00FA5EE3" w:rsidRPr="005C53F5" w:rsidRDefault="00FA5EE3" w:rsidP="00057BE5">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Эмитент отмечает, что значение государственного внешнего</w:t>
      </w:r>
      <w:r w:rsidRPr="005C53F5">
        <w:rPr>
          <w:rFonts w:ascii="Times New Roman" w:eastAsia="Calibri" w:hAnsi="Times New Roman" w:cs="Times New Roman"/>
          <w:sz w:val="24"/>
          <w:szCs w:val="24"/>
        </w:rPr>
        <w:t xml:space="preserve"> долг</w:t>
      </w:r>
      <w:r>
        <w:rPr>
          <w:rFonts w:ascii="Times New Roman" w:eastAsia="Calibri" w:hAnsi="Times New Roman" w:cs="Times New Roman"/>
          <w:sz w:val="24"/>
          <w:szCs w:val="24"/>
        </w:rPr>
        <w:t>а</w:t>
      </w:r>
      <w:r w:rsidRPr="005C53F5">
        <w:rPr>
          <w:rFonts w:ascii="Times New Roman" w:eastAsia="Calibri" w:hAnsi="Times New Roman" w:cs="Times New Roman"/>
          <w:sz w:val="24"/>
          <w:szCs w:val="24"/>
        </w:rPr>
        <w:t xml:space="preserve"> Казахстана перед </w:t>
      </w:r>
      <w:r>
        <w:rPr>
          <w:rFonts w:ascii="Times New Roman" w:eastAsia="Calibri" w:hAnsi="Times New Roman" w:cs="Times New Roman"/>
          <w:sz w:val="24"/>
          <w:szCs w:val="24"/>
        </w:rPr>
        <w:t xml:space="preserve">международными финансовыми организациями по состоянию на дату утверждения Проспекта ценных бумаг не приводится в настоящем пункте в связи с тем, что </w:t>
      </w:r>
      <w:r w:rsidRPr="005C53F5">
        <w:rPr>
          <w:rFonts w:ascii="Times New Roman" w:hAnsi="Times New Roman" w:cs="Times New Roman"/>
          <w:sz w:val="24"/>
          <w:szCs w:val="24"/>
        </w:rPr>
        <w:t>Бюджетным кодексом Республики Казахстан составление промежуточной государственной бюджетной отчетности (промежуточной отчетности об исполнении государственного бюджета Республики Казахстан) не предусмотрено.</w:t>
      </w:r>
    </w:p>
    <w:p w14:paraId="01714B10" w14:textId="7DF3BB55" w:rsidR="00D12FD1" w:rsidRPr="005C53F5" w:rsidRDefault="00D12FD1" w:rsidP="00057BE5">
      <w:pPr>
        <w:spacing w:after="0" w:line="240" w:lineRule="auto"/>
        <w:ind w:firstLine="709"/>
        <w:jc w:val="both"/>
        <w:rPr>
          <w:rFonts w:ascii="Times New Roman" w:eastAsia="Calibri" w:hAnsi="Times New Roman" w:cs="Times New Roman"/>
          <w:b/>
          <w:i/>
          <w:sz w:val="24"/>
          <w:szCs w:val="24"/>
          <w:u w:val="single"/>
        </w:rPr>
      </w:pPr>
      <w:r w:rsidRPr="005C53F5">
        <w:rPr>
          <w:rFonts w:ascii="Times New Roman" w:eastAsia="Calibri" w:hAnsi="Times New Roman" w:cs="Times New Roman"/>
          <w:b/>
          <w:i/>
          <w:sz w:val="24"/>
          <w:szCs w:val="24"/>
          <w:u w:val="single"/>
        </w:rPr>
        <w:t>Взаимодействие с Международным валютным фондом (МВФ)</w:t>
      </w:r>
    </w:p>
    <w:p w14:paraId="72594627" w14:textId="2DC9577B" w:rsidR="00D12FD1" w:rsidRPr="005C53F5"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1994 году Казахстан согласовал программу экономической стабилизации с МВФ путем подписания соглашения о кредите «стэнд-бай» («</w:t>
      </w:r>
      <w:r w:rsidRPr="005C53F5">
        <w:rPr>
          <w:rFonts w:ascii="Times New Roman" w:eastAsia="Calibri" w:hAnsi="Times New Roman" w:cs="Times New Roman"/>
          <w:i/>
          <w:sz w:val="24"/>
          <w:szCs w:val="24"/>
          <w:lang w:val="en-US"/>
        </w:rPr>
        <w:t>stand</w:t>
      </w:r>
      <w:r w:rsidRPr="005C53F5">
        <w:rPr>
          <w:rFonts w:ascii="Times New Roman" w:eastAsia="Calibri" w:hAnsi="Times New Roman" w:cs="Times New Roman"/>
          <w:i/>
          <w:sz w:val="24"/>
          <w:szCs w:val="24"/>
        </w:rPr>
        <w:t>-</w:t>
      </w:r>
      <w:r w:rsidRPr="005C53F5">
        <w:rPr>
          <w:rFonts w:ascii="Times New Roman" w:eastAsia="Calibri" w:hAnsi="Times New Roman" w:cs="Times New Roman"/>
          <w:i/>
          <w:sz w:val="24"/>
          <w:szCs w:val="24"/>
          <w:lang w:val="en-US"/>
        </w:rPr>
        <w:t>by</w:t>
      </w:r>
      <w:r w:rsidRPr="005C53F5">
        <w:rPr>
          <w:rFonts w:ascii="Times New Roman" w:eastAsia="Calibri" w:hAnsi="Times New Roman" w:cs="Times New Roman"/>
          <w:i/>
          <w:sz w:val="24"/>
          <w:szCs w:val="24"/>
        </w:rPr>
        <w:t xml:space="preserve"> </w:t>
      </w:r>
      <w:r w:rsidRPr="005C53F5">
        <w:rPr>
          <w:rFonts w:ascii="Times New Roman" w:eastAsia="Calibri" w:hAnsi="Times New Roman" w:cs="Times New Roman"/>
          <w:i/>
          <w:sz w:val="24"/>
          <w:szCs w:val="24"/>
          <w:lang w:val="en-US"/>
        </w:rPr>
        <w:t>credit</w:t>
      </w:r>
      <w:r w:rsidRPr="005C53F5">
        <w:rPr>
          <w:rFonts w:ascii="Times New Roman" w:eastAsia="Calibri" w:hAnsi="Times New Roman" w:cs="Times New Roman"/>
          <w:sz w:val="24"/>
          <w:szCs w:val="24"/>
        </w:rPr>
        <w:t xml:space="preserve">») сроком на 1 год, подписанного в январе 1994 года. В июне 1995 года МВФ предоставил Казахстану поддержку в размере 185,6 млн специальных прав заимствования. В июле 1996 года Казахстан заключил договор расширенного кредитования МВФ </w:t>
      </w:r>
      <w:r w:rsidRPr="005C53F5">
        <w:rPr>
          <w:rFonts w:ascii="Times New Roman" w:eastAsia="Calibri" w:hAnsi="Times New Roman" w:cs="Times New Roman"/>
          <w:i/>
          <w:sz w:val="24"/>
          <w:szCs w:val="24"/>
        </w:rPr>
        <w:t>(«Extended Fund Facility»</w:t>
      </w:r>
      <w:r w:rsidRPr="005C53F5">
        <w:rPr>
          <w:rFonts w:ascii="Times New Roman" w:eastAsia="Calibri" w:hAnsi="Times New Roman" w:cs="Times New Roman"/>
          <w:sz w:val="24"/>
          <w:szCs w:val="24"/>
        </w:rPr>
        <w:t>), в соответствии с которым для заимствования были доступны специальные права заимствования в размере 309,4 млн Казахстан заимствовал определенные суммы в соответствии с этим соглашением в 1996 году. В декабре 1999 года правительство и МВФ подписали новый договор расширенного кредитования МВФ на сумму 329,1 млн специальных прав заимствования, сроком на 3 года. В 2000 году Казахстан стал первой бывшей республикой Советского Союза, которая выплатила все свои долги МВФ на семь лет раньше срока. В настоящее время Казахстан не имеет непогашенных заимствований перед МВФ. В марте 2003 года Казахстан стал 53-м подписчиком Специального стандарта распространения данных МВФ.</w:t>
      </w:r>
    </w:p>
    <w:p w14:paraId="65E53FDA" w14:textId="69241E14" w:rsidR="00D12FD1" w:rsidRPr="005C53F5" w:rsidRDefault="00D12FD1" w:rsidP="00057BE5">
      <w:pPr>
        <w:spacing w:after="0" w:line="240" w:lineRule="auto"/>
        <w:ind w:firstLine="709"/>
        <w:jc w:val="both"/>
        <w:rPr>
          <w:rFonts w:ascii="Times New Roman" w:eastAsia="Calibri" w:hAnsi="Times New Roman" w:cs="Times New Roman"/>
          <w:b/>
          <w:i/>
          <w:sz w:val="24"/>
          <w:szCs w:val="24"/>
          <w:u w:val="single"/>
        </w:rPr>
      </w:pPr>
      <w:r w:rsidRPr="005C53F5">
        <w:rPr>
          <w:rFonts w:ascii="Times New Roman" w:eastAsia="Calibri" w:hAnsi="Times New Roman" w:cs="Times New Roman"/>
          <w:b/>
          <w:i/>
          <w:sz w:val="24"/>
          <w:szCs w:val="24"/>
          <w:u w:val="single"/>
        </w:rPr>
        <w:t>Взаимодействие с Группой Всемирного банка</w:t>
      </w:r>
    </w:p>
    <w:p w14:paraId="26CF72FA" w14:textId="690AC11C" w:rsidR="00D12FD1" w:rsidRPr="005C53F5"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Казахстан стал членом Международного банка реконструкции и развития и Международной ассоциации развития («МАР»), входящих в группу Всемирного банка, в июле 1992 года, а также членом Международной финансовой корпорации («МФК»), также входящей в Группу Всемирного банка в сентябре 1993 года. В 2010 году Казахстан стал финансирующей стороной в отношении МАР в рамках 16-го пополнения бюджета МАР. Казахстан является крупнейшим клиентом МФК в Центральной Азии.</w:t>
      </w:r>
    </w:p>
    <w:p w14:paraId="7F7AA00E" w14:textId="45D69557" w:rsidR="00D12FD1" w:rsidRPr="005C53F5" w:rsidRDefault="00D12FD1" w:rsidP="00057BE5">
      <w:pPr>
        <w:spacing w:after="0" w:line="240" w:lineRule="auto"/>
        <w:ind w:firstLine="709"/>
        <w:jc w:val="both"/>
        <w:rPr>
          <w:rFonts w:ascii="Times New Roman" w:eastAsia="Calibri" w:hAnsi="Times New Roman" w:cs="Times New Roman"/>
          <w:b/>
          <w:i/>
          <w:sz w:val="24"/>
          <w:szCs w:val="24"/>
          <w:u w:val="single"/>
        </w:rPr>
      </w:pPr>
      <w:r w:rsidRPr="005C53F5">
        <w:rPr>
          <w:rFonts w:ascii="Times New Roman" w:eastAsia="Calibri" w:hAnsi="Times New Roman" w:cs="Times New Roman"/>
          <w:b/>
          <w:i/>
          <w:sz w:val="24"/>
          <w:szCs w:val="24"/>
          <w:u w:val="single"/>
        </w:rPr>
        <w:t>Взаимодействие с Международным банком реконструкции и развития (МБРР)</w:t>
      </w:r>
    </w:p>
    <w:p w14:paraId="1E5B44FB" w14:textId="0F8F516B" w:rsidR="00D12FD1" w:rsidRPr="001D15F2"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Казахстану было предоставлено в общей сложности 42 займа от МБРР на сумму более 7,7 млрд долларов США. За период с 2014 по 2018 год и в течение шести месяцев, закончившихся 30 июня 2019 года, МБРР предоставил Казахстану 8 займов. Текущий портфель МБРР в Казахстане включает 21 проект на общую сумму 6,1 млрд долларов США, из которых 4,8 млрд долларов США уже погашено. Более 90% текущего портфеля МБРР сконцентрировано на проектах по развитию дорог. Другие проекты направлены на развитие определенных секторов, включая образование, здравоохранение, охрану окружающей среды и государственный сектор. Государственный внешний долг Казахстана перед МБРР по состоянию на 31 марта 2015 года составлял 3,2 млрд долл. США, по состоянию на 31 марта 2016 года - 3,0 млрд долл. США, по состоянию на 31 марта 2017 года - 4,1 млрд долл. США и по состоянию на 31 марта 2018 года - 4,0 млрд долл. США. По состоянию на </w:t>
      </w:r>
      <w:r w:rsidR="00DF6794" w:rsidRPr="005C53F5">
        <w:rPr>
          <w:rFonts w:ascii="Times New Roman" w:eastAsia="Calibri" w:hAnsi="Times New Roman" w:cs="Times New Roman"/>
          <w:sz w:val="24"/>
          <w:szCs w:val="24"/>
        </w:rPr>
        <w:t>1 января</w:t>
      </w:r>
      <w:r w:rsidRPr="005C53F5">
        <w:rPr>
          <w:rFonts w:ascii="Times New Roman" w:eastAsia="Calibri" w:hAnsi="Times New Roman" w:cs="Times New Roman"/>
          <w:sz w:val="24"/>
          <w:szCs w:val="24"/>
        </w:rPr>
        <w:t xml:space="preserve"> 20</w:t>
      </w:r>
      <w:r w:rsidR="00DF6794" w:rsidRPr="005C53F5">
        <w:rPr>
          <w:rFonts w:ascii="Times New Roman" w:eastAsia="Calibri" w:hAnsi="Times New Roman" w:cs="Times New Roman"/>
          <w:sz w:val="24"/>
          <w:szCs w:val="24"/>
        </w:rPr>
        <w:t>20</w:t>
      </w:r>
      <w:r w:rsidRPr="005C53F5">
        <w:rPr>
          <w:rFonts w:ascii="Times New Roman" w:eastAsia="Calibri" w:hAnsi="Times New Roman" w:cs="Times New Roman"/>
          <w:sz w:val="24"/>
          <w:szCs w:val="24"/>
        </w:rPr>
        <w:t xml:space="preserve"> года государственный внешний долг Казахстана перед МБРР составлял </w:t>
      </w:r>
      <w:r w:rsidR="00DF6794" w:rsidRPr="005C53F5">
        <w:rPr>
          <w:rFonts w:ascii="Times New Roman" w:eastAsia="Calibri" w:hAnsi="Times New Roman" w:cs="Times New Roman"/>
          <w:sz w:val="24"/>
          <w:szCs w:val="24"/>
        </w:rPr>
        <w:t>1 405,2</w:t>
      </w:r>
      <w:r w:rsidRPr="005C53F5">
        <w:rPr>
          <w:rFonts w:ascii="Times New Roman" w:eastAsia="Calibri" w:hAnsi="Times New Roman" w:cs="Times New Roman"/>
          <w:sz w:val="24"/>
          <w:szCs w:val="24"/>
        </w:rPr>
        <w:t xml:space="preserve"> млрд тенге или 3,7 млрд долларов США.</w:t>
      </w:r>
    </w:p>
    <w:p w14:paraId="2E720975" w14:textId="2324305F" w:rsidR="00D12FD1" w:rsidRPr="005C53F5" w:rsidRDefault="00C16BB1" w:rsidP="00057BE5">
      <w:pPr>
        <w:spacing w:after="0" w:line="240" w:lineRule="auto"/>
        <w:ind w:firstLine="709"/>
        <w:jc w:val="both"/>
        <w:rPr>
          <w:rFonts w:ascii="Times New Roman" w:eastAsia="Calibri" w:hAnsi="Times New Roman" w:cs="Times New Roman"/>
          <w:b/>
          <w:i/>
          <w:sz w:val="24"/>
          <w:szCs w:val="24"/>
          <w:u w:val="single"/>
        </w:rPr>
      </w:pPr>
      <w:r w:rsidRPr="005C53F5">
        <w:rPr>
          <w:rFonts w:ascii="Times New Roman" w:eastAsia="Calibri" w:hAnsi="Times New Roman" w:cs="Times New Roman"/>
          <w:b/>
          <w:i/>
          <w:sz w:val="24"/>
          <w:szCs w:val="24"/>
          <w:u w:val="single"/>
        </w:rPr>
        <w:t>Взаимодействие с Международной финансовой корпорацией (МФК)</w:t>
      </w:r>
    </w:p>
    <w:p w14:paraId="67E190CA" w14:textId="07B17B9E" w:rsidR="00D12FD1" w:rsidRPr="005C53F5"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Казахстан стал членом МФК в 1993 году. МФК начала свою деятельность в Казахстане с предоставления консультационных услуг, направленных на развитие частного сектора. С момента начала своей инвестиционной деятельности в 1997 году МФК инвестировала более 1,25 млрд долл. США в частные предприятия Казахстана</w:t>
      </w:r>
      <w:r w:rsidR="00C16BB1"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 xml:space="preserve">для поддержки 61 проекта частного сектора в различных отраслях, включая агробизнес, финансовые услуги, инфраструктуру, производство и нефтегазовый сектор. МФК способствует развитию частного сектора посредством инвестиций и консультационных услуг, которые способствуют диверсификации и конкурентоспособности экономики. Стратегия МФК в Казахстане направлена на укрепление финансового сектора, улучшение доступа к инфраструктуре и содействие развитию малых и средних предприятий, особенно в секторах агробизнеса, производства и обслуживания. </w:t>
      </w:r>
    </w:p>
    <w:p w14:paraId="537C7391" w14:textId="0A3C113B" w:rsidR="00D12FD1" w:rsidRPr="005C53F5"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По состоянию на </w:t>
      </w:r>
      <w:r w:rsidR="00A76BF9" w:rsidRPr="005C53F5">
        <w:rPr>
          <w:rFonts w:ascii="Times New Roman" w:eastAsia="Calibri" w:hAnsi="Times New Roman" w:cs="Times New Roman"/>
          <w:sz w:val="24"/>
          <w:szCs w:val="24"/>
        </w:rPr>
        <w:t xml:space="preserve">1 января 2020 </w:t>
      </w:r>
      <w:r w:rsidRPr="005C53F5">
        <w:rPr>
          <w:rFonts w:ascii="Times New Roman" w:eastAsia="Calibri" w:hAnsi="Times New Roman" w:cs="Times New Roman"/>
          <w:sz w:val="24"/>
          <w:szCs w:val="24"/>
        </w:rPr>
        <w:t>Казахстан не имел непогашенной внешней задолженности государственного сектора перед МФК.</w:t>
      </w:r>
    </w:p>
    <w:p w14:paraId="686A67E0" w14:textId="5295FA55" w:rsidR="00D12FD1" w:rsidRPr="005C53F5" w:rsidRDefault="00C16BB1" w:rsidP="00057BE5">
      <w:pPr>
        <w:spacing w:after="0" w:line="240" w:lineRule="auto"/>
        <w:ind w:firstLine="709"/>
        <w:jc w:val="both"/>
        <w:rPr>
          <w:rFonts w:ascii="Times New Roman" w:eastAsia="Calibri" w:hAnsi="Times New Roman" w:cs="Times New Roman"/>
          <w:b/>
          <w:i/>
          <w:sz w:val="24"/>
          <w:szCs w:val="24"/>
          <w:u w:val="single"/>
        </w:rPr>
      </w:pPr>
      <w:r w:rsidRPr="005C53F5">
        <w:rPr>
          <w:rFonts w:ascii="Times New Roman" w:eastAsia="Calibri" w:hAnsi="Times New Roman" w:cs="Times New Roman"/>
          <w:b/>
          <w:i/>
          <w:sz w:val="24"/>
          <w:szCs w:val="24"/>
          <w:u w:val="single"/>
        </w:rPr>
        <w:t>Взаимодействие с Европейским</w:t>
      </w:r>
      <w:r w:rsidR="00D12FD1" w:rsidRPr="005C53F5">
        <w:rPr>
          <w:rFonts w:ascii="Times New Roman" w:eastAsia="Calibri" w:hAnsi="Times New Roman" w:cs="Times New Roman"/>
          <w:b/>
          <w:i/>
          <w:sz w:val="24"/>
          <w:szCs w:val="24"/>
          <w:u w:val="single"/>
        </w:rPr>
        <w:t xml:space="preserve"> банк</w:t>
      </w:r>
      <w:r w:rsidRPr="005C53F5">
        <w:rPr>
          <w:rFonts w:ascii="Times New Roman" w:eastAsia="Calibri" w:hAnsi="Times New Roman" w:cs="Times New Roman"/>
          <w:b/>
          <w:i/>
          <w:sz w:val="24"/>
          <w:szCs w:val="24"/>
          <w:u w:val="single"/>
        </w:rPr>
        <w:t>ом</w:t>
      </w:r>
      <w:r w:rsidR="00D12FD1" w:rsidRPr="005C53F5">
        <w:rPr>
          <w:rFonts w:ascii="Times New Roman" w:eastAsia="Calibri" w:hAnsi="Times New Roman" w:cs="Times New Roman"/>
          <w:b/>
          <w:i/>
          <w:sz w:val="24"/>
          <w:szCs w:val="24"/>
          <w:u w:val="single"/>
        </w:rPr>
        <w:t xml:space="preserve"> реконструкции и развития</w:t>
      </w:r>
      <w:r w:rsidRPr="005C53F5">
        <w:rPr>
          <w:rFonts w:ascii="Times New Roman" w:eastAsia="Calibri" w:hAnsi="Times New Roman" w:cs="Times New Roman"/>
          <w:b/>
          <w:i/>
          <w:sz w:val="24"/>
          <w:szCs w:val="24"/>
          <w:u w:val="single"/>
        </w:rPr>
        <w:t xml:space="preserve"> (ЕБРР)</w:t>
      </w:r>
    </w:p>
    <w:p w14:paraId="551FF349" w14:textId="37C4B3E8" w:rsidR="00D12FD1" w:rsidRPr="005C53F5"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Казахстан является членом ЕБРР с 1993 года. Ежегодное заседание Совета управляющих ЕБРР состоялось в Астане в 2011 году. ЕБРР подписал соглашения о реализации в общей сложности 262 проектов в Казахстане (в том числе 26 проектов в 2018 году, 25 проектов в 2017 году, 33 проекта в 2016 году, 30 проектов в 2015 году и 19 проектов в 2014 году с совокупной инвестиционной стоимостью 8 047 млн евро с момента начала деятельности в Казахстане в 1991 году. Из общего текущего портфеля ЕБРР (по состоянию на 1 августа 2019 года) в размере 2 653 млн евро (включая неосвоенные средства), 31% выделяется на проекты с участием финансовых учреждений, а 65% выделяется на так называемый сектор устойчивой инфраструктуры, который состоит из муниципальных инфраструктурных проектов и проектов в секторах энергетики / природных ресурсов.</w:t>
      </w:r>
    </w:p>
    <w:p w14:paraId="45C51B79" w14:textId="77777777" w:rsidR="00D12FD1" w:rsidRPr="005C53F5"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ЕБРР является крупнейшим внешним инвестором нефтегазового сектора в Казахстане. С начала своей деятельности в Казахстане ЕБРР играет активную роль в реализации проектов как в частном, так и в государственном секторах. ЕБРР также помогает в продвижении диверсификации экономики и переходе к более стабильной модели финансового развития. Портфель ЕБРР включает заемные средства и собственный капитал, кредит для частных компаний, на которые не распространяются государственные гарантии, и кредит для предприятий государственного сектора.</w:t>
      </w:r>
    </w:p>
    <w:p w14:paraId="35BBD6A3" w14:textId="5E23BBB0" w:rsidR="00D12FD1" w:rsidRPr="005C53F5"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По состоянию на </w:t>
      </w:r>
      <w:r w:rsidR="00DF6794" w:rsidRPr="005C53F5">
        <w:rPr>
          <w:rFonts w:ascii="Times New Roman" w:eastAsia="Calibri" w:hAnsi="Times New Roman" w:cs="Times New Roman"/>
          <w:sz w:val="24"/>
          <w:szCs w:val="24"/>
        </w:rPr>
        <w:t xml:space="preserve">1 января 2020 </w:t>
      </w:r>
      <w:r w:rsidRPr="005C53F5">
        <w:rPr>
          <w:rFonts w:ascii="Times New Roman" w:eastAsia="Calibri" w:hAnsi="Times New Roman" w:cs="Times New Roman"/>
          <w:sz w:val="24"/>
          <w:szCs w:val="24"/>
        </w:rPr>
        <w:t xml:space="preserve">года государственный внешний долг Казахстана перед ЕБРР составлял </w:t>
      </w:r>
      <w:r w:rsidR="00DF6794" w:rsidRPr="005C53F5">
        <w:rPr>
          <w:rFonts w:ascii="Times New Roman" w:eastAsia="Calibri" w:hAnsi="Times New Roman" w:cs="Times New Roman"/>
          <w:sz w:val="24"/>
          <w:szCs w:val="24"/>
        </w:rPr>
        <w:t>64,3</w:t>
      </w:r>
      <w:r w:rsidRPr="005C53F5">
        <w:rPr>
          <w:rFonts w:ascii="Times New Roman" w:eastAsia="Calibri" w:hAnsi="Times New Roman" w:cs="Times New Roman"/>
          <w:sz w:val="24"/>
          <w:szCs w:val="24"/>
        </w:rPr>
        <w:t xml:space="preserve"> млрд тенге или </w:t>
      </w:r>
      <w:r w:rsidR="00DF6794" w:rsidRPr="005C53F5">
        <w:rPr>
          <w:rFonts w:ascii="Times New Roman" w:eastAsia="Calibri" w:hAnsi="Times New Roman" w:cs="Times New Roman"/>
          <w:sz w:val="24"/>
          <w:szCs w:val="24"/>
        </w:rPr>
        <w:t xml:space="preserve">200 </w:t>
      </w:r>
      <w:r w:rsidRPr="005C53F5">
        <w:rPr>
          <w:rFonts w:ascii="Times New Roman" w:eastAsia="Calibri" w:hAnsi="Times New Roman" w:cs="Times New Roman"/>
          <w:sz w:val="24"/>
          <w:szCs w:val="24"/>
        </w:rPr>
        <w:t>млн долларов США.</w:t>
      </w:r>
    </w:p>
    <w:p w14:paraId="0225F15A" w14:textId="10932DB2" w:rsidR="00D12FD1" w:rsidRPr="005C53F5" w:rsidRDefault="00C16BB1" w:rsidP="00057BE5">
      <w:pPr>
        <w:spacing w:after="0" w:line="240" w:lineRule="auto"/>
        <w:ind w:firstLine="709"/>
        <w:jc w:val="both"/>
        <w:rPr>
          <w:rFonts w:ascii="Times New Roman" w:eastAsia="Calibri" w:hAnsi="Times New Roman" w:cs="Times New Roman"/>
          <w:b/>
          <w:i/>
          <w:sz w:val="24"/>
          <w:szCs w:val="24"/>
          <w:u w:val="single"/>
        </w:rPr>
      </w:pPr>
      <w:r w:rsidRPr="005C53F5">
        <w:rPr>
          <w:rFonts w:ascii="Times New Roman" w:eastAsia="Calibri" w:hAnsi="Times New Roman" w:cs="Times New Roman"/>
          <w:b/>
          <w:i/>
          <w:sz w:val="24"/>
          <w:szCs w:val="24"/>
          <w:u w:val="single"/>
        </w:rPr>
        <w:t xml:space="preserve">Взаимодействие с Азиатским </w:t>
      </w:r>
      <w:r w:rsidR="00D12FD1" w:rsidRPr="005C53F5">
        <w:rPr>
          <w:rFonts w:ascii="Times New Roman" w:eastAsia="Calibri" w:hAnsi="Times New Roman" w:cs="Times New Roman"/>
          <w:b/>
          <w:i/>
          <w:sz w:val="24"/>
          <w:szCs w:val="24"/>
          <w:u w:val="single"/>
        </w:rPr>
        <w:t>банк</w:t>
      </w:r>
      <w:r w:rsidRPr="005C53F5">
        <w:rPr>
          <w:rFonts w:ascii="Times New Roman" w:eastAsia="Calibri" w:hAnsi="Times New Roman" w:cs="Times New Roman"/>
          <w:b/>
          <w:i/>
          <w:sz w:val="24"/>
          <w:szCs w:val="24"/>
          <w:u w:val="single"/>
        </w:rPr>
        <w:t>ом</w:t>
      </w:r>
      <w:r w:rsidR="00D12FD1" w:rsidRPr="005C53F5">
        <w:rPr>
          <w:rFonts w:ascii="Times New Roman" w:eastAsia="Calibri" w:hAnsi="Times New Roman" w:cs="Times New Roman"/>
          <w:b/>
          <w:i/>
          <w:sz w:val="24"/>
          <w:szCs w:val="24"/>
          <w:u w:val="single"/>
        </w:rPr>
        <w:t xml:space="preserve"> развития</w:t>
      </w:r>
      <w:r w:rsidRPr="005C53F5">
        <w:rPr>
          <w:rFonts w:ascii="Times New Roman" w:eastAsia="Calibri" w:hAnsi="Times New Roman" w:cs="Times New Roman"/>
          <w:b/>
          <w:i/>
          <w:sz w:val="24"/>
          <w:szCs w:val="24"/>
          <w:u w:val="single"/>
        </w:rPr>
        <w:t xml:space="preserve"> (АБР)</w:t>
      </w:r>
    </w:p>
    <w:p w14:paraId="04A8BDC6" w14:textId="794CB34B" w:rsidR="00D12FD1" w:rsidRPr="005C53F5"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Казахстан является членом АБР с 1994 года. В 2013 году Астана была выбрана местом проведения 47-го Ежегодного Собрания АБР, которое состоялось в мае 2014 года. На встрече присутствовало около 5000 участников, включая менеджеров из стран-членов АБР, министров финансов, руководителей крупнейших международных банков и финансовых учреждений, а также ведущих должностных лиц правительственных, неправительственных и других организаций. В настоящее время действует стратегия Партнерства АБР для Казахстана на 2017-2021 годы. АБР разработал эту последнюю стратегию партнерства между странами для достижения трех основных целей. Во-первых, чтобы помочь снизить зависимость Казахстана от экспорта сырьевых товаров, АБР будет поддерживать диверсификацию экономики путем содействия развитию частного сектора и улучшения доступа к финансам. Во-вторых, чтобы помочь уменьшить неравенство, АБР поможет Казахстану реализовать качественную инфраструктуру и улучшить качество государственных и социальных услуг. В-третьих, для уменьшения уязвимости, связанной с изменением климата, АБР будет поддерживать достижение устойчивого роста в соответствии с целями Казахстана по снижению выбросов парниковых газов и обязательствами по повышению устойчивости к изменению климата.</w:t>
      </w:r>
    </w:p>
    <w:p w14:paraId="5885119F" w14:textId="722826AD" w:rsidR="00D12FD1" w:rsidRPr="005C53F5"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АБР начал оказывать поддержку Казахстану в 1994 году. С 1994 года по 1 июля 2019 года АБР утвердил суверенные займы, несуверенные займы и гарантии на сумму более 5 млрд долларов США в поддержку развития Казахстана. Совокупные кредитные выплаты Казахстану составили 4,1 млрд долларов США.</w:t>
      </w:r>
    </w:p>
    <w:p w14:paraId="0401F68B" w14:textId="52DB8789" w:rsidR="00D12FD1" w:rsidRPr="005C53F5"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После мирового финансового кризиса в 2007-2008 годах правительство Казахстана запросило доступ к льготным ресурсам для поддержки своих программ. АБР предоставил антициклический заем в размере 500 млн долларов США. В 2015 году АБР выделил еще один антициклический заем в размере 1 млр</w:t>
      </w:r>
      <w:r w:rsidR="00481436" w:rsidRPr="005C53F5">
        <w:rPr>
          <w:rFonts w:ascii="Times New Roman" w:eastAsia="Calibri" w:hAnsi="Times New Roman" w:cs="Times New Roman"/>
          <w:sz w:val="24"/>
          <w:szCs w:val="24"/>
        </w:rPr>
        <w:t>д</w:t>
      </w:r>
      <w:r w:rsidRPr="005C53F5">
        <w:rPr>
          <w:rFonts w:ascii="Times New Roman" w:eastAsia="Calibri" w:hAnsi="Times New Roman" w:cs="Times New Roman"/>
          <w:sz w:val="24"/>
          <w:szCs w:val="24"/>
        </w:rPr>
        <w:t xml:space="preserve"> долл. США, чтобы помочь Казахстану отреагировать на резкое снижение цен на нефть и замедление экономического роста его основных торговых партнеров, включая Российскую Федерацию, страны-члены Европейского союза и Китайскую Народную Республику. Кредит помог Правительству модернизировать инфраструктуру и способствовать созданию рабочих мест, предоставлять социальные услуги, поддерживать домохозяйства с низкими доходами и развивать частный сектор. В 2018 году АБР предоставил кредит в местной валюте, эквивалентный 120 млн</w:t>
      </w:r>
      <w:r w:rsidR="009B6098"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долларов США, Самрук-Энерджи, крупнейшей казахстанской генерирующей компании, для поддержки общего плана реструктуризации и преобразования бизнеса.</w:t>
      </w:r>
    </w:p>
    <w:p w14:paraId="5A5BEB5E" w14:textId="30DAF3AD" w:rsidR="00D12FD1" w:rsidRPr="005C53F5"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Государственный внешний долг Казахстана перед АБР по состоянию на </w:t>
      </w:r>
      <w:r w:rsidR="00DF6794" w:rsidRPr="005C53F5">
        <w:rPr>
          <w:rFonts w:ascii="Times New Roman" w:eastAsia="Calibri" w:hAnsi="Times New Roman" w:cs="Times New Roman"/>
          <w:sz w:val="24"/>
          <w:szCs w:val="24"/>
        </w:rPr>
        <w:t>1 января</w:t>
      </w:r>
      <w:r w:rsidRPr="005C53F5">
        <w:rPr>
          <w:rFonts w:ascii="Times New Roman" w:eastAsia="Calibri" w:hAnsi="Times New Roman" w:cs="Times New Roman"/>
          <w:sz w:val="24"/>
          <w:szCs w:val="24"/>
        </w:rPr>
        <w:t xml:space="preserve"> 20</w:t>
      </w:r>
      <w:r w:rsidR="00DF6794" w:rsidRPr="005C53F5">
        <w:rPr>
          <w:rFonts w:ascii="Times New Roman" w:eastAsia="Calibri" w:hAnsi="Times New Roman" w:cs="Times New Roman"/>
          <w:sz w:val="24"/>
          <w:szCs w:val="24"/>
        </w:rPr>
        <w:t>20</w:t>
      </w:r>
      <w:r w:rsidRPr="005C53F5">
        <w:rPr>
          <w:rFonts w:ascii="Times New Roman" w:eastAsia="Calibri" w:hAnsi="Times New Roman" w:cs="Times New Roman"/>
          <w:sz w:val="24"/>
          <w:szCs w:val="24"/>
        </w:rPr>
        <w:t xml:space="preserve"> года составлял </w:t>
      </w:r>
      <w:r w:rsidR="00DF6794" w:rsidRPr="005C53F5">
        <w:rPr>
          <w:rFonts w:ascii="Times New Roman" w:eastAsia="Calibri" w:hAnsi="Times New Roman" w:cs="Times New Roman"/>
          <w:sz w:val="24"/>
          <w:szCs w:val="24"/>
        </w:rPr>
        <w:t>1,7</w:t>
      </w:r>
      <w:r w:rsidRPr="005C53F5">
        <w:rPr>
          <w:rFonts w:ascii="Times New Roman" w:eastAsia="Calibri" w:hAnsi="Times New Roman" w:cs="Times New Roman"/>
          <w:sz w:val="24"/>
          <w:szCs w:val="24"/>
        </w:rPr>
        <w:t xml:space="preserve"> мл</w:t>
      </w:r>
      <w:r w:rsidR="00DF6794" w:rsidRPr="005C53F5">
        <w:rPr>
          <w:rFonts w:ascii="Times New Roman" w:eastAsia="Calibri" w:hAnsi="Times New Roman" w:cs="Times New Roman"/>
          <w:sz w:val="24"/>
          <w:szCs w:val="24"/>
        </w:rPr>
        <w:t>рд</w:t>
      </w:r>
      <w:r w:rsidRPr="005C53F5">
        <w:rPr>
          <w:rFonts w:ascii="Times New Roman" w:eastAsia="Calibri" w:hAnsi="Times New Roman" w:cs="Times New Roman"/>
          <w:sz w:val="24"/>
          <w:szCs w:val="24"/>
        </w:rPr>
        <w:t xml:space="preserve"> долларов США.</w:t>
      </w:r>
    </w:p>
    <w:p w14:paraId="136149D2" w14:textId="7FFED09B" w:rsidR="00D12FD1" w:rsidRPr="001C5155" w:rsidRDefault="00AD1108" w:rsidP="00057BE5">
      <w:pPr>
        <w:spacing w:after="0" w:line="240" w:lineRule="auto"/>
        <w:ind w:firstLine="709"/>
        <w:jc w:val="both"/>
        <w:rPr>
          <w:rFonts w:ascii="Times New Roman" w:eastAsia="Calibri" w:hAnsi="Times New Roman" w:cs="Times New Roman"/>
          <w:b/>
          <w:i/>
        </w:rPr>
      </w:pPr>
      <w:r w:rsidRPr="001C5155">
        <w:rPr>
          <w:rFonts w:ascii="Times New Roman" w:eastAsia="Calibri" w:hAnsi="Times New Roman" w:cs="Times New Roman"/>
          <w:b/>
          <w:i/>
          <w:u w:val="single"/>
        </w:rPr>
        <w:t>Взаимодействие с Японским</w:t>
      </w:r>
      <w:r w:rsidR="00D12FD1" w:rsidRPr="001C5155">
        <w:rPr>
          <w:rFonts w:ascii="Times New Roman" w:eastAsia="Calibri" w:hAnsi="Times New Roman" w:cs="Times New Roman"/>
          <w:b/>
          <w:i/>
          <w:u w:val="single"/>
        </w:rPr>
        <w:t xml:space="preserve"> агентство</w:t>
      </w:r>
      <w:r w:rsidRPr="001C5155">
        <w:rPr>
          <w:rFonts w:ascii="Times New Roman" w:eastAsia="Calibri" w:hAnsi="Times New Roman" w:cs="Times New Roman"/>
          <w:b/>
          <w:i/>
          <w:u w:val="single"/>
        </w:rPr>
        <w:t>м</w:t>
      </w:r>
      <w:r w:rsidR="00D12FD1" w:rsidRPr="001C5155">
        <w:rPr>
          <w:rFonts w:ascii="Times New Roman" w:eastAsia="Calibri" w:hAnsi="Times New Roman" w:cs="Times New Roman"/>
          <w:b/>
          <w:i/>
          <w:u w:val="single"/>
        </w:rPr>
        <w:t xml:space="preserve"> международного сотрудничества</w:t>
      </w:r>
      <w:r w:rsidRPr="001C5155">
        <w:rPr>
          <w:rFonts w:ascii="Times New Roman" w:eastAsia="Calibri" w:hAnsi="Times New Roman" w:cs="Times New Roman"/>
          <w:b/>
          <w:i/>
          <w:u w:val="single"/>
        </w:rPr>
        <w:t xml:space="preserve"> (ЯАМС)</w:t>
      </w:r>
    </w:p>
    <w:p w14:paraId="1659BA82" w14:textId="457BA54A" w:rsidR="00D12FD1" w:rsidRPr="005C53F5"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Казахстан сотрудничает с Японским агентство</w:t>
      </w:r>
      <w:r w:rsidR="00AD1108" w:rsidRPr="005C53F5">
        <w:rPr>
          <w:rFonts w:ascii="Times New Roman" w:eastAsia="Calibri" w:hAnsi="Times New Roman" w:cs="Times New Roman"/>
          <w:sz w:val="24"/>
          <w:szCs w:val="24"/>
        </w:rPr>
        <w:t>м международного сотрудничества</w:t>
      </w:r>
      <w:r w:rsidRPr="005C53F5">
        <w:rPr>
          <w:rFonts w:ascii="Times New Roman" w:eastAsia="Calibri" w:hAnsi="Times New Roman" w:cs="Times New Roman"/>
          <w:sz w:val="24"/>
          <w:szCs w:val="24"/>
        </w:rPr>
        <w:t xml:space="preserve"> и его предшественниками (Международный фонд экономического сотрудничества и Эксимбанк Японии) с 1994 года. ЯАМС оказывает помощь и поддержку развивающимся странам в качестве исполнительного органа Японской официальной программы помощи развитию. ЯАМС предоставило Казахстану кредиты на общую сумму 1,2 млрд долларов США. Кредитные средства были использованы для финансирования транспортной инфраструктуры и проектов городского развития, а также для проведения экономических реформ. </w:t>
      </w:r>
    </w:p>
    <w:p w14:paraId="0B54D011" w14:textId="08B30D3B" w:rsidR="00D12FD1" w:rsidRPr="005C53F5" w:rsidRDefault="00D12FD1"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Непогашенный государственный долг Казахстана перед ЯАМС по состоянию на </w:t>
      </w:r>
      <w:r w:rsidR="00DF6794" w:rsidRPr="005C53F5">
        <w:rPr>
          <w:rFonts w:ascii="Times New Roman" w:eastAsia="Calibri" w:hAnsi="Times New Roman" w:cs="Times New Roman"/>
          <w:sz w:val="24"/>
          <w:szCs w:val="24"/>
        </w:rPr>
        <w:t>1 января 2020</w:t>
      </w:r>
      <w:r w:rsidRPr="005C53F5">
        <w:rPr>
          <w:rFonts w:ascii="Times New Roman" w:eastAsia="Calibri" w:hAnsi="Times New Roman" w:cs="Times New Roman"/>
          <w:sz w:val="24"/>
          <w:szCs w:val="24"/>
        </w:rPr>
        <w:t xml:space="preserve"> года составлял</w:t>
      </w:r>
      <w:r w:rsidR="00EA19DF" w:rsidRPr="005C53F5">
        <w:rPr>
          <w:rFonts w:ascii="Times New Roman" w:eastAsia="Calibri" w:hAnsi="Times New Roman" w:cs="Times New Roman"/>
          <w:sz w:val="24"/>
          <w:szCs w:val="24"/>
        </w:rPr>
        <w:t xml:space="preserve"> 160</w:t>
      </w:r>
      <w:r w:rsidR="00D8214B" w:rsidRPr="005C53F5">
        <w:rPr>
          <w:rFonts w:ascii="Times New Roman" w:eastAsia="Calibri" w:hAnsi="Times New Roman" w:cs="Times New Roman"/>
          <w:sz w:val="24"/>
          <w:szCs w:val="24"/>
        </w:rPr>
        <w:t>,</w:t>
      </w:r>
      <w:r w:rsidR="00EA19DF" w:rsidRPr="005C53F5">
        <w:rPr>
          <w:rFonts w:ascii="Times New Roman" w:eastAsia="Calibri" w:hAnsi="Times New Roman" w:cs="Times New Roman"/>
          <w:sz w:val="24"/>
          <w:szCs w:val="24"/>
        </w:rPr>
        <w:t>5 млрд тенге</w:t>
      </w:r>
      <w:r w:rsidR="00D8214B" w:rsidRPr="005C53F5">
        <w:rPr>
          <w:rFonts w:ascii="Times New Roman" w:eastAsia="Calibri" w:hAnsi="Times New Roman" w:cs="Times New Roman"/>
          <w:sz w:val="24"/>
          <w:szCs w:val="24"/>
        </w:rPr>
        <w:t>,</w:t>
      </w:r>
      <w:r w:rsidR="00EA19DF" w:rsidRPr="005C53F5">
        <w:rPr>
          <w:rFonts w:ascii="Times New Roman" w:eastAsia="Calibri" w:hAnsi="Times New Roman" w:cs="Times New Roman"/>
          <w:sz w:val="24"/>
          <w:szCs w:val="24"/>
        </w:rPr>
        <w:t xml:space="preserve"> или 0,4</w:t>
      </w:r>
      <w:r w:rsidR="00D8214B" w:rsidRPr="005C53F5">
        <w:rPr>
          <w:rFonts w:ascii="Times New Roman" w:eastAsia="Calibri" w:hAnsi="Times New Roman" w:cs="Times New Roman"/>
          <w:sz w:val="24"/>
          <w:szCs w:val="24"/>
        </w:rPr>
        <w:t xml:space="preserve"> </w:t>
      </w:r>
      <w:r w:rsidR="00EA19DF" w:rsidRPr="005C53F5">
        <w:rPr>
          <w:rFonts w:ascii="Times New Roman" w:eastAsia="Calibri" w:hAnsi="Times New Roman" w:cs="Times New Roman"/>
          <w:sz w:val="24"/>
          <w:szCs w:val="24"/>
        </w:rPr>
        <w:t>млрд</w:t>
      </w:r>
      <w:r w:rsidRPr="005C53F5">
        <w:rPr>
          <w:rFonts w:ascii="Times New Roman" w:eastAsia="Calibri" w:hAnsi="Times New Roman" w:cs="Times New Roman"/>
          <w:sz w:val="24"/>
          <w:szCs w:val="24"/>
        </w:rPr>
        <w:t xml:space="preserve"> долларов США.</w:t>
      </w:r>
    </w:p>
    <w:p w14:paraId="2A51962A" w14:textId="7F03BE3E"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276" w:name="_Toc39616356"/>
      <w:bookmarkStart w:id="277" w:name="_Toc36145594"/>
      <w:bookmarkEnd w:id="274"/>
      <w:bookmarkEnd w:id="275"/>
      <w:r w:rsidRPr="005C53F5">
        <w:rPr>
          <w:rFonts w:ascii="Times New Roman" w:hAnsi="Times New Roman" w:cs="Times New Roman"/>
          <w:b/>
          <w:sz w:val="24"/>
          <w:szCs w:val="24"/>
        </w:rPr>
        <w:t>3.5. Дочерние и зависимые хозяйственные общества эмитента</w:t>
      </w:r>
      <w:bookmarkEnd w:id="276"/>
      <w:bookmarkEnd w:id="277"/>
    </w:p>
    <w:p w14:paraId="16FA9B62" w14:textId="77777777" w:rsidR="00C23408" w:rsidRPr="005C53F5" w:rsidRDefault="00C23408" w:rsidP="00057BE5">
      <w:pPr>
        <w:pStyle w:val="ConsPlusNormal"/>
        <w:ind w:firstLine="709"/>
        <w:jc w:val="both"/>
        <w:rPr>
          <w:rFonts w:ascii="Times New Roman" w:hAnsi="Times New Roman" w:cs="Times New Roman"/>
          <w:b/>
          <w:sz w:val="24"/>
          <w:szCs w:val="24"/>
        </w:rPr>
      </w:pPr>
      <w:bookmarkStart w:id="278" w:name="_Toc521609368"/>
      <w:bookmarkStart w:id="279" w:name="_Toc533785127"/>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278"/>
      <w:bookmarkEnd w:id="279"/>
    </w:p>
    <w:p w14:paraId="2727B514"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280" w:name="_Toc39616357"/>
      <w:bookmarkStart w:id="281" w:name="_Toc36145595"/>
      <w:r w:rsidRPr="005C53F5">
        <w:rPr>
          <w:rFonts w:ascii="Times New Roman" w:hAnsi="Times New Roman" w:cs="Times New Roman"/>
          <w:b/>
          <w:sz w:val="24"/>
          <w:szCs w:val="24"/>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280"/>
      <w:bookmarkEnd w:id="281"/>
    </w:p>
    <w:p w14:paraId="395A75C4" w14:textId="77777777" w:rsidR="00C23408" w:rsidRPr="005C53F5" w:rsidRDefault="00C23408" w:rsidP="00057BE5">
      <w:pPr>
        <w:pStyle w:val="ConsPlusNormal"/>
        <w:ind w:firstLine="709"/>
        <w:jc w:val="both"/>
        <w:rPr>
          <w:rFonts w:ascii="Times New Roman" w:hAnsi="Times New Roman" w:cs="Times New Roman"/>
          <w:b/>
          <w:sz w:val="24"/>
          <w:szCs w:val="24"/>
        </w:rPr>
      </w:pPr>
      <w:bookmarkStart w:id="282" w:name="_Toc521609370"/>
      <w:bookmarkStart w:id="283" w:name="_Toc533785129"/>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282"/>
      <w:bookmarkEnd w:id="283"/>
    </w:p>
    <w:p w14:paraId="5E64AE34"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284" w:name="_Toc39616358"/>
      <w:bookmarkStart w:id="285" w:name="_Toc36145596"/>
      <w:r w:rsidRPr="005C53F5">
        <w:rPr>
          <w:rFonts w:ascii="Times New Roman" w:hAnsi="Times New Roman" w:cs="Times New Roman"/>
          <w:b/>
          <w:sz w:val="24"/>
          <w:szCs w:val="24"/>
        </w:rPr>
        <w:t>3.7. Подконтрольные эмитенту организации, имеющие для него существенное значение</w:t>
      </w:r>
      <w:bookmarkEnd w:id="284"/>
      <w:bookmarkEnd w:id="285"/>
    </w:p>
    <w:p w14:paraId="577BDE1A" w14:textId="77777777" w:rsidR="001B6FBF" w:rsidRPr="005C53F5" w:rsidRDefault="00C23408" w:rsidP="00057BE5">
      <w:pPr>
        <w:pStyle w:val="ConsPlusNormal"/>
        <w:ind w:firstLine="709"/>
        <w:jc w:val="both"/>
        <w:rPr>
          <w:rFonts w:ascii="Times New Roman" w:hAnsi="Times New Roman" w:cs="Times New Roman"/>
          <w:b/>
          <w:sz w:val="24"/>
          <w:szCs w:val="24"/>
        </w:rPr>
      </w:pPr>
      <w:bookmarkStart w:id="286" w:name="_Toc521609372"/>
      <w:bookmarkStart w:id="287" w:name="_Toc533785131"/>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286"/>
      <w:bookmarkEnd w:id="287"/>
      <w:r w:rsidR="001B6FBF" w:rsidRPr="005C53F5">
        <w:rPr>
          <w:rFonts w:ascii="Times New Roman" w:hAnsi="Times New Roman" w:cs="Times New Roman"/>
          <w:b/>
          <w:sz w:val="24"/>
          <w:szCs w:val="24"/>
        </w:rPr>
        <w:br w:type="page"/>
      </w:r>
    </w:p>
    <w:p w14:paraId="460463C9" w14:textId="77777777" w:rsidR="00BF5F06" w:rsidRPr="005C53F5" w:rsidRDefault="00BF5F06" w:rsidP="00057BE5">
      <w:pPr>
        <w:pStyle w:val="ConsPlusNormal"/>
        <w:ind w:firstLine="709"/>
        <w:jc w:val="both"/>
        <w:outlineLvl w:val="0"/>
        <w:rPr>
          <w:rFonts w:ascii="Times New Roman" w:hAnsi="Times New Roman" w:cs="Times New Roman"/>
          <w:b/>
          <w:sz w:val="24"/>
          <w:szCs w:val="24"/>
        </w:rPr>
      </w:pPr>
      <w:bookmarkStart w:id="288" w:name="_Toc39616359"/>
      <w:bookmarkStart w:id="289" w:name="_Toc36145597"/>
      <w:r w:rsidRPr="005C53F5">
        <w:rPr>
          <w:rFonts w:ascii="Times New Roman" w:hAnsi="Times New Roman" w:cs="Times New Roman"/>
          <w:b/>
          <w:sz w:val="24"/>
          <w:szCs w:val="24"/>
        </w:rPr>
        <w:t>Раздел IV. Сведения о финансово-хозяйственной деятельности эмитента</w:t>
      </w:r>
      <w:bookmarkEnd w:id="288"/>
      <w:bookmarkEnd w:id="289"/>
    </w:p>
    <w:p w14:paraId="3174F5C7"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290" w:name="_Toc39616360"/>
      <w:bookmarkStart w:id="291" w:name="_Toc36145598"/>
      <w:r w:rsidRPr="005C53F5">
        <w:rPr>
          <w:rFonts w:ascii="Times New Roman" w:hAnsi="Times New Roman" w:cs="Times New Roman"/>
          <w:b/>
          <w:sz w:val="24"/>
          <w:szCs w:val="24"/>
        </w:rPr>
        <w:t>4.1. Результаты финансово-хозяйственной деятельности эмитента</w:t>
      </w:r>
      <w:bookmarkEnd w:id="290"/>
      <w:bookmarkEnd w:id="291"/>
    </w:p>
    <w:p w14:paraId="6F05B260" w14:textId="77777777" w:rsidR="00FB49B4" w:rsidRPr="005C53F5" w:rsidRDefault="00FB49B4" w:rsidP="00057BE5">
      <w:pPr>
        <w:pStyle w:val="ConsPlusNormal"/>
        <w:ind w:firstLine="709"/>
        <w:jc w:val="both"/>
        <w:rPr>
          <w:rFonts w:ascii="Times New Roman" w:hAnsi="Times New Roman" w:cs="Times New Roman"/>
          <w:b/>
          <w:sz w:val="24"/>
          <w:szCs w:val="24"/>
        </w:rPr>
      </w:pPr>
      <w:bookmarkStart w:id="292" w:name="_Toc521609375"/>
      <w:bookmarkStart w:id="293" w:name="_Toc533785134"/>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292"/>
      <w:bookmarkEnd w:id="293"/>
    </w:p>
    <w:p w14:paraId="4898F9F8"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294" w:name="_Toc39616361"/>
      <w:bookmarkStart w:id="295" w:name="_Toc36145599"/>
      <w:r w:rsidRPr="005C53F5">
        <w:rPr>
          <w:rFonts w:ascii="Times New Roman" w:hAnsi="Times New Roman" w:cs="Times New Roman"/>
          <w:b/>
          <w:sz w:val="24"/>
          <w:szCs w:val="24"/>
        </w:rPr>
        <w:t>4.2. Ликвидность эмитента, достаточность капитала и оборотных средств</w:t>
      </w:r>
      <w:bookmarkEnd w:id="294"/>
      <w:bookmarkEnd w:id="295"/>
    </w:p>
    <w:p w14:paraId="2FBA8AEB" w14:textId="77777777" w:rsidR="00FB49B4" w:rsidRPr="005C53F5" w:rsidRDefault="00FB49B4" w:rsidP="00057BE5">
      <w:pPr>
        <w:pStyle w:val="ConsPlusNormal"/>
        <w:ind w:firstLine="709"/>
        <w:jc w:val="both"/>
        <w:rPr>
          <w:rFonts w:ascii="Times New Roman" w:hAnsi="Times New Roman" w:cs="Times New Roman"/>
          <w:b/>
          <w:sz w:val="24"/>
          <w:szCs w:val="24"/>
        </w:rPr>
      </w:pPr>
      <w:bookmarkStart w:id="296" w:name="_Toc521609377"/>
      <w:bookmarkStart w:id="297" w:name="_Toc533785136"/>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296"/>
      <w:bookmarkEnd w:id="297"/>
    </w:p>
    <w:p w14:paraId="22701B76"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298" w:name="_Toc39616362"/>
      <w:bookmarkStart w:id="299" w:name="_Toc36145600"/>
      <w:r w:rsidRPr="005C53F5">
        <w:rPr>
          <w:rFonts w:ascii="Times New Roman" w:hAnsi="Times New Roman" w:cs="Times New Roman"/>
          <w:b/>
          <w:sz w:val="24"/>
          <w:szCs w:val="24"/>
        </w:rPr>
        <w:t>4.3. Размер и структура капитала и оборотных средств эмитента</w:t>
      </w:r>
      <w:bookmarkEnd w:id="298"/>
      <w:bookmarkEnd w:id="299"/>
    </w:p>
    <w:p w14:paraId="41DA3949" w14:textId="77777777" w:rsidR="00FB49B4" w:rsidRPr="005C53F5" w:rsidRDefault="00FB49B4" w:rsidP="00057BE5">
      <w:pPr>
        <w:pStyle w:val="ConsPlusNormal"/>
        <w:ind w:firstLine="709"/>
        <w:jc w:val="both"/>
        <w:rPr>
          <w:rFonts w:ascii="Times New Roman" w:hAnsi="Times New Roman" w:cs="Times New Roman"/>
          <w:b/>
          <w:sz w:val="24"/>
          <w:szCs w:val="24"/>
        </w:rPr>
      </w:pPr>
      <w:bookmarkStart w:id="300" w:name="_Toc521609379"/>
      <w:bookmarkStart w:id="301" w:name="_Toc533785138"/>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300"/>
      <w:bookmarkEnd w:id="301"/>
    </w:p>
    <w:p w14:paraId="6BD480EE"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302" w:name="_Toc39616363"/>
      <w:bookmarkStart w:id="303" w:name="_Toc36145601"/>
      <w:r w:rsidRPr="005C53F5">
        <w:rPr>
          <w:rFonts w:ascii="Times New Roman" w:hAnsi="Times New Roman" w:cs="Times New Roman"/>
          <w:b/>
          <w:sz w:val="24"/>
          <w:szCs w:val="24"/>
        </w:rPr>
        <w:t>4.4.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302"/>
      <w:bookmarkEnd w:id="303"/>
    </w:p>
    <w:p w14:paraId="52631B61" w14:textId="77777777" w:rsidR="00FB49B4" w:rsidRPr="005C53F5" w:rsidRDefault="00FB49B4" w:rsidP="00057BE5">
      <w:pPr>
        <w:pStyle w:val="ConsPlusNormal"/>
        <w:ind w:firstLine="709"/>
        <w:jc w:val="both"/>
        <w:rPr>
          <w:rFonts w:ascii="Times New Roman" w:hAnsi="Times New Roman" w:cs="Times New Roman"/>
          <w:b/>
          <w:sz w:val="24"/>
          <w:szCs w:val="24"/>
        </w:rPr>
      </w:pPr>
      <w:bookmarkStart w:id="304" w:name="_Toc521609381"/>
      <w:bookmarkStart w:id="305" w:name="_Toc533785140"/>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304"/>
      <w:bookmarkEnd w:id="305"/>
    </w:p>
    <w:p w14:paraId="3F1E27E3"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306" w:name="_Toc39616364"/>
      <w:bookmarkStart w:id="307" w:name="_Toc36145602"/>
      <w:r w:rsidRPr="005C53F5">
        <w:rPr>
          <w:rFonts w:ascii="Times New Roman" w:hAnsi="Times New Roman" w:cs="Times New Roman"/>
          <w:b/>
          <w:sz w:val="24"/>
          <w:szCs w:val="24"/>
        </w:rPr>
        <w:t>4.5. Анализ тенденций развития в сфере основной деятельности эмитента</w:t>
      </w:r>
      <w:bookmarkEnd w:id="306"/>
      <w:bookmarkEnd w:id="307"/>
    </w:p>
    <w:p w14:paraId="02ED0C88" w14:textId="77777777" w:rsidR="00FB49B4" w:rsidRPr="005C53F5" w:rsidRDefault="00FB49B4" w:rsidP="00057BE5">
      <w:pPr>
        <w:pStyle w:val="ConsPlusNormal"/>
        <w:ind w:firstLine="709"/>
        <w:jc w:val="both"/>
        <w:rPr>
          <w:rFonts w:ascii="Times New Roman" w:hAnsi="Times New Roman" w:cs="Times New Roman"/>
          <w:b/>
          <w:sz w:val="24"/>
          <w:szCs w:val="24"/>
        </w:rPr>
      </w:pPr>
      <w:bookmarkStart w:id="308" w:name="_Toc521609383"/>
      <w:bookmarkStart w:id="309" w:name="_Toc533785142"/>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308"/>
      <w:bookmarkEnd w:id="309"/>
    </w:p>
    <w:p w14:paraId="5B066172"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310" w:name="_Toc39616365"/>
      <w:bookmarkStart w:id="311" w:name="_Toc36145603"/>
      <w:r w:rsidRPr="005C53F5">
        <w:rPr>
          <w:rFonts w:ascii="Times New Roman" w:hAnsi="Times New Roman" w:cs="Times New Roman"/>
          <w:b/>
          <w:sz w:val="24"/>
          <w:szCs w:val="24"/>
        </w:rPr>
        <w:t>4.6. Анализ факторов и условий, влияющих на деятельность эмитента</w:t>
      </w:r>
      <w:bookmarkEnd w:id="310"/>
      <w:bookmarkEnd w:id="311"/>
    </w:p>
    <w:p w14:paraId="1ED53A6B" w14:textId="77777777" w:rsidR="00FB49B4" w:rsidRPr="005C53F5" w:rsidRDefault="00FB49B4" w:rsidP="00057BE5">
      <w:pPr>
        <w:pStyle w:val="ConsPlusNormal"/>
        <w:ind w:firstLine="709"/>
        <w:jc w:val="both"/>
        <w:rPr>
          <w:rFonts w:ascii="Times New Roman" w:hAnsi="Times New Roman" w:cs="Times New Roman"/>
          <w:b/>
          <w:sz w:val="24"/>
          <w:szCs w:val="24"/>
        </w:rPr>
      </w:pPr>
      <w:bookmarkStart w:id="312" w:name="_Toc521609385"/>
      <w:bookmarkStart w:id="313" w:name="_Toc533785144"/>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312"/>
      <w:bookmarkEnd w:id="313"/>
    </w:p>
    <w:p w14:paraId="752EE9D8"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314" w:name="_Toc39616366"/>
      <w:bookmarkStart w:id="315" w:name="_Toc36145604"/>
      <w:r w:rsidRPr="005C53F5">
        <w:rPr>
          <w:rFonts w:ascii="Times New Roman" w:hAnsi="Times New Roman" w:cs="Times New Roman"/>
          <w:b/>
          <w:sz w:val="24"/>
          <w:szCs w:val="24"/>
        </w:rPr>
        <w:t>4.7. Конкуренты эмитента</w:t>
      </w:r>
      <w:bookmarkEnd w:id="314"/>
      <w:bookmarkEnd w:id="315"/>
    </w:p>
    <w:p w14:paraId="23CDEE8B" w14:textId="77777777" w:rsidR="001B6FBF" w:rsidRPr="005C53F5" w:rsidRDefault="00FB49B4" w:rsidP="00057BE5">
      <w:pPr>
        <w:pStyle w:val="ConsPlusNormal"/>
        <w:ind w:firstLine="709"/>
        <w:jc w:val="both"/>
        <w:rPr>
          <w:rFonts w:ascii="Times New Roman" w:hAnsi="Times New Roman" w:cs="Times New Roman"/>
          <w:b/>
          <w:sz w:val="24"/>
          <w:szCs w:val="24"/>
        </w:rPr>
      </w:pPr>
      <w:bookmarkStart w:id="316" w:name="_Toc521609387"/>
      <w:bookmarkStart w:id="317" w:name="_Toc533785146"/>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316"/>
      <w:bookmarkEnd w:id="317"/>
      <w:r w:rsidR="001B6FBF" w:rsidRPr="005C53F5">
        <w:rPr>
          <w:rFonts w:ascii="Times New Roman" w:hAnsi="Times New Roman" w:cs="Times New Roman"/>
          <w:b/>
          <w:sz w:val="24"/>
          <w:szCs w:val="24"/>
        </w:rPr>
        <w:br w:type="page"/>
      </w:r>
    </w:p>
    <w:p w14:paraId="2E4513B4" w14:textId="77777777" w:rsidR="00BF5F06" w:rsidRPr="005C53F5" w:rsidRDefault="00BF5F06" w:rsidP="00057BE5">
      <w:pPr>
        <w:pStyle w:val="ConsPlusNormal"/>
        <w:ind w:firstLine="709"/>
        <w:jc w:val="both"/>
        <w:outlineLvl w:val="0"/>
        <w:rPr>
          <w:rFonts w:ascii="Times New Roman" w:hAnsi="Times New Roman" w:cs="Times New Roman"/>
          <w:b/>
          <w:sz w:val="24"/>
          <w:szCs w:val="24"/>
        </w:rPr>
      </w:pPr>
      <w:bookmarkStart w:id="318" w:name="_Toc39616367"/>
      <w:bookmarkStart w:id="319" w:name="_Toc36145605"/>
      <w:r w:rsidRPr="005C53F5">
        <w:rPr>
          <w:rFonts w:ascii="Times New Roman" w:hAnsi="Times New Roman" w:cs="Times New Roman"/>
          <w:b/>
          <w:sz w:val="24"/>
          <w:szCs w:val="24"/>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318"/>
      <w:bookmarkEnd w:id="319"/>
    </w:p>
    <w:p w14:paraId="2B11A5A0" w14:textId="77777777" w:rsidR="008A083A" w:rsidRPr="005C53F5" w:rsidRDefault="008A083A" w:rsidP="00057BE5">
      <w:pPr>
        <w:pStyle w:val="ConsPlusNormal"/>
        <w:ind w:firstLine="709"/>
        <w:jc w:val="both"/>
        <w:outlineLvl w:val="1"/>
        <w:rPr>
          <w:rFonts w:ascii="Times New Roman" w:hAnsi="Times New Roman" w:cs="Times New Roman"/>
          <w:b/>
          <w:sz w:val="24"/>
          <w:szCs w:val="24"/>
        </w:rPr>
      </w:pPr>
      <w:bookmarkStart w:id="320" w:name="_Toc39616368"/>
      <w:bookmarkStart w:id="321" w:name="_Toc36145606"/>
      <w:r w:rsidRPr="005C53F5">
        <w:rPr>
          <w:rFonts w:ascii="Times New Roman" w:hAnsi="Times New Roman" w:cs="Times New Roman"/>
          <w:b/>
          <w:sz w:val="24"/>
          <w:szCs w:val="24"/>
        </w:rPr>
        <w:t>5.1. Сведения о структуре и компетенции органов управления эмитента</w:t>
      </w:r>
      <w:bookmarkEnd w:id="320"/>
      <w:bookmarkEnd w:id="321"/>
    </w:p>
    <w:p w14:paraId="5F0BBEAB" w14:textId="748E5B90" w:rsidR="008A083A" w:rsidRPr="005C53F5" w:rsidRDefault="004424B9" w:rsidP="00057BE5">
      <w:pPr>
        <w:pStyle w:val="ConsPlusNormal"/>
        <w:ind w:firstLine="709"/>
        <w:jc w:val="both"/>
        <w:rPr>
          <w:rFonts w:ascii="Times New Roman" w:hAnsi="Times New Roman" w:cs="Times New Roman"/>
          <w:b/>
          <w:i/>
          <w:sz w:val="24"/>
          <w:szCs w:val="24"/>
          <w:u w:val="single"/>
        </w:rPr>
      </w:pPr>
      <w:bookmarkStart w:id="322" w:name="_Toc521609390"/>
      <w:bookmarkStart w:id="323" w:name="_Toc533785149"/>
      <w:r w:rsidRPr="005C53F5">
        <w:rPr>
          <w:rFonts w:ascii="Times New Roman" w:hAnsi="Times New Roman" w:cs="Times New Roman"/>
          <w:b/>
          <w:i/>
          <w:sz w:val="24"/>
          <w:szCs w:val="24"/>
          <w:u w:val="single"/>
        </w:rPr>
        <w:t>П</w:t>
      </w:r>
      <w:r w:rsidR="008A083A" w:rsidRPr="005C53F5">
        <w:rPr>
          <w:rFonts w:ascii="Times New Roman" w:hAnsi="Times New Roman" w:cs="Times New Roman"/>
          <w:b/>
          <w:i/>
          <w:sz w:val="24"/>
          <w:szCs w:val="24"/>
          <w:u w:val="single"/>
        </w:rPr>
        <w:t>олное описание структуры органов управления эмитента и их компетенции в соответствии с уставом (учредительными документами) эмитента:</w:t>
      </w:r>
      <w:bookmarkEnd w:id="322"/>
      <w:bookmarkEnd w:id="323"/>
    </w:p>
    <w:p w14:paraId="763FABFD" w14:textId="77777777" w:rsidR="00794697" w:rsidRPr="005C53F5" w:rsidRDefault="00794697" w:rsidP="00057BE5">
      <w:pPr>
        <w:spacing w:after="0" w:line="240" w:lineRule="auto"/>
        <w:ind w:firstLine="709"/>
        <w:jc w:val="both"/>
        <w:rPr>
          <w:rFonts w:ascii="Times New Roman" w:eastAsia="Calibri" w:hAnsi="Times New Roman" w:cs="Times New Roman"/>
          <w:sz w:val="24"/>
          <w:szCs w:val="24"/>
        </w:rPr>
      </w:pPr>
      <w:bookmarkStart w:id="324" w:name="_Toc521609561"/>
      <w:bookmarkStart w:id="325" w:name="_Toc533785320"/>
      <w:r w:rsidRPr="005C53F5">
        <w:rPr>
          <w:rFonts w:ascii="Times New Roman" w:eastAsia="Calibri" w:hAnsi="Times New Roman" w:cs="Times New Roman"/>
          <w:sz w:val="24"/>
          <w:szCs w:val="24"/>
        </w:rPr>
        <w:t xml:space="preserve">В связи с тем, что уполномоченным органом государственной власти Республики Казахстан, который выступает от имени Республики Казахстан при осуществлении Республикой Казахстан эмиссии Облигаций, является Министерство финансов Республики Казахстан, информация в настоящем пункте указывается в отношении Министерства финансов Республики Казахстан. </w:t>
      </w:r>
    </w:p>
    <w:p w14:paraId="03B61208" w14:textId="47D3E4BB" w:rsidR="00794697" w:rsidRPr="005C53F5" w:rsidRDefault="00794697"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Министерство финансов Республики Казахстан (ранее и далее также – </w:t>
      </w:r>
      <w:r w:rsidR="009E4379" w:rsidRPr="005C53F5">
        <w:rPr>
          <w:rFonts w:ascii="Times New Roman" w:eastAsia="Calibri" w:hAnsi="Times New Roman" w:cs="Times New Roman"/>
          <w:sz w:val="24"/>
          <w:szCs w:val="24"/>
        </w:rPr>
        <w:t>«</w:t>
      </w:r>
      <w:r w:rsidRPr="005C53F5">
        <w:rPr>
          <w:rFonts w:ascii="Times New Roman" w:eastAsia="Calibri" w:hAnsi="Times New Roman" w:cs="Times New Roman"/>
          <w:b/>
          <w:bCs/>
          <w:sz w:val="24"/>
          <w:szCs w:val="24"/>
        </w:rPr>
        <w:t>Минфин</w:t>
      </w:r>
      <w:r w:rsidR="009E4379" w:rsidRPr="005C53F5">
        <w:rPr>
          <w:rFonts w:ascii="Times New Roman" w:eastAsia="Calibri" w:hAnsi="Times New Roman" w:cs="Times New Roman"/>
          <w:bCs/>
          <w:sz w:val="24"/>
          <w:szCs w:val="24"/>
        </w:rPr>
        <w:t>»</w:t>
      </w:r>
      <w:r w:rsidRPr="005C53F5">
        <w:rPr>
          <w:rFonts w:ascii="Times New Roman" w:eastAsia="Calibri" w:hAnsi="Times New Roman" w:cs="Times New Roman"/>
          <w:sz w:val="24"/>
          <w:szCs w:val="24"/>
        </w:rPr>
        <w:t>) является центральным исполнительным органом Республики Казахстан, осуществляющим руководство, а также в пределах, предусмотренных законодательством, межотраслевую координацию в сфере деятельности, отнесенной к его компетенции.</w:t>
      </w:r>
    </w:p>
    <w:p w14:paraId="7ADE7FF7" w14:textId="1CE75E84" w:rsidR="00794697" w:rsidRPr="005C53F5" w:rsidRDefault="00794697"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Министерство финансов Республики Казахстан имеет </w:t>
      </w:r>
      <w:r w:rsidR="007F75F0" w:rsidRPr="005C53F5">
        <w:rPr>
          <w:rFonts w:ascii="Times New Roman" w:eastAsia="Calibri" w:hAnsi="Times New Roman" w:cs="Times New Roman"/>
          <w:sz w:val="24"/>
          <w:szCs w:val="24"/>
        </w:rPr>
        <w:t xml:space="preserve">следующие </w:t>
      </w:r>
      <w:r w:rsidRPr="005C53F5">
        <w:rPr>
          <w:rFonts w:ascii="Times New Roman" w:eastAsia="Calibri" w:hAnsi="Times New Roman" w:cs="Times New Roman"/>
          <w:sz w:val="24"/>
          <w:szCs w:val="24"/>
        </w:rPr>
        <w:t>ведомства:</w:t>
      </w:r>
    </w:p>
    <w:p w14:paraId="44E01660" w14:textId="77777777" w:rsidR="00794697" w:rsidRPr="005C53F5" w:rsidRDefault="00794697" w:rsidP="00057BE5">
      <w:pPr>
        <w:numPr>
          <w:ilvl w:val="0"/>
          <w:numId w:val="8"/>
        </w:numPr>
        <w:spacing w:after="0" w:line="240" w:lineRule="auto"/>
        <w:ind w:left="0" w:firstLine="709"/>
        <w:jc w:val="both"/>
        <w:rPr>
          <w:rFonts w:ascii="Times New Roman" w:eastAsia="Calibri" w:hAnsi="Times New Roman" w:cs="Times New Roman"/>
          <w:sz w:val="24"/>
          <w:szCs w:val="24"/>
        </w:rPr>
      </w:pPr>
      <w:bookmarkStart w:id="326" w:name="z900"/>
      <w:r w:rsidRPr="005C53F5">
        <w:rPr>
          <w:rFonts w:ascii="Times New Roman" w:eastAsia="Calibri" w:hAnsi="Times New Roman" w:cs="Times New Roman"/>
          <w:sz w:val="24"/>
          <w:szCs w:val="24"/>
        </w:rPr>
        <w:t>Комитет казначейства Министерства финансов Республики Казахстан;</w:t>
      </w:r>
    </w:p>
    <w:p w14:paraId="63C72D3A" w14:textId="77777777" w:rsidR="00794697" w:rsidRPr="005C53F5" w:rsidRDefault="00794697" w:rsidP="00057BE5">
      <w:pPr>
        <w:numPr>
          <w:ilvl w:val="0"/>
          <w:numId w:val="8"/>
        </w:numPr>
        <w:spacing w:after="0" w:line="240" w:lineRule="auto"/>
        <w:ind w:left="0" w:firstLine="709"/>
        <w:jc w:val="both"/>
        <w:rPr>
          <w:rFonts w:ascii="Times New Roman" w:eastAsia="Calibri" w:hAnsi="Times New Roman" w:cs="Times New Roman"/>
          <w:sz w:val="24"/>
          <w:szCs w:val="24"/>
        </w:rPr>
      </w:pPr>
      <w:bookmarkStart w:id="327" w:name="z901"/>
      <w:bookmarkEnd w:id="326"/>
      <w:r w:rsidRPr="005C53F5">
        <w:rPr>
          <w:rFonts w:ascii="Times New Roman" w:eastAsia="Calibri" w:hAnsi="Times New Roman" w:cs="Times New Roman"/>
          <w:sz w:val="24"/>
          <w:szCs w:val="24"/>
        </w:rPr>
        <w:t>Комитет внутреннего государственного аудита Министерства финансов Республики Казахстан;</w:t>
      </w:r>
    </w:p>
    <w:p w14:paraId="6B1EE76E" w14:textId="77777777" w:rsidR="00794697" w:rsidRPr="005C53F5" w:rsidRDefault="00794697" w:rsidP="00057BE5">
      <w:pPr>
        <w:numPr>
          <w:ilvl w:val="0"/>
          <w:numId w:val="8"/>
        </w:numPr>
        <w:spacing w:after="0" w:line="240" w:lineRule="auto"/>
        <w:ind w:left="0" w:firstLine="709"/>
        <w:jc w:val="both"/>
        <w:rPr>
          <w:rFonts w:ascii="Times New Roman" w:eastAsia="Calibri" w:hAnsi="Times New Roman" w:cs="Times New Roman"/>
          <w:sz w:val="24"/>
          <w:szCs w:val="24"/>
        </w:rPr>
      </w:pPr>
      <w:bookmarkStart w:id="328" w:name="z902"/>
      <w:bookmarkEnd w:id="327"/>
      <w:r w:rsidRPr="005C53F5">
        <w:rPr>
          <w:rFonts w:ascii="Times New Roman" w:eastAsia="Calibri" w:hAnsi="Times New Roman" w:cs="Times New Roman"/>
          <w:sz w:val="24"/>
          <w:szCs w:val="24"/>
        </w:rPr>
        <w:t>Комитет государственного имущества и приватизации Министерства финансов Республики Казахстан;</w:t>
      </w:r>
    </w:p>
    <w:p w14:paraId="1BA14D3E" w14:textId="77777777" w:rsidR="00794697" w:rsidRPr="005C53F5" w:rsidRDefault="00794697" w:rsidP="00057BE5">
      <w:pPr>
        <w:numPr>
          <w:ilvl w:val="0"/>
          <w:numId w:val="8"/>
        </w:numPr>
        <w:spacing w:after="0" w:line="240" w:lineRule="auto"/>
        <w:ind w:left="0" w:firstLine="709"/>
        <w:jc w:val="both"/>
        <w:rPr>
          <w:rFonts w:ascii="Times New Roman" w:eastAsia="Calibri" w:hAnsi="Times New Roman" w:cs="Times New Roman"/>
          <w:sz w:val="24"/>
          <w:szCs w:val="24"/>
        </w:rPr>
      </w:pPr>
      <w:bookmarkStart w:id="329" w:name="z903"/>
      <w:bookmarkEnd w:id="328"/>
      <w:r w:rsidRPr="005C53F5">
        <w:rPr>
          <w:rFonts w:ascii="Times New Roman" w:eastAsia="Calibri" w:hAnsi="Times New Roman" w:cs="Times New Roman"/>
          <w:sz w:val="24"/>
          <w:szCs w:val="24"/>
        </w:rPr>
        <w:t>Комитет по финансовому мониторингу Министерства финансов Республики Казахстан;</w:t>
      </w:r>
    </w:p>
    <w:p w14:paraId="161CF4C1" w14:textId="77777777" w:rsidR="00794697" w:rsidRPr="005C53F5" w:rsidRDefault="00794697" w:rsidP="00057BE5">
      <w:pPr>
        <w:numPr>
          <w:ilvl w:val="0"/>
          <w:numId w:val="8"/>
        </w:numPr>
        <w:spacing w:after="0" w:line="240" w:lineRule="auto"/>
        <w:ind w:left="0" w:firstLine="709"/>
        <w:jc w:val="both"/>
        <w:rPr>
          <w:rFonts w:ascii="Times New Roman" w:eastAsia="Calibri" w:hAnsi="Times New Roman" w:cs="Times New Roman"/>
          <w:sz w:val="24"/>
          <w:szCs w:val="24"/>
        </w:rPr>
      </w:pPr>
      <w:bookmarkStart w:id="330" w:name="z905"/>
      <w:bookmarkEnd w:id="329"/>
      <w:r w:rsidRPr="005C53F5">
        <w:rPr>
          <w:rFonts w:ascii="Times New Roman" w:eastAsia="Calibri" w:hAnsi="Times New Roman" w:cs="Times New Roman"/>
          <w:sz w:val="24"/>
          <w:szCs w:val="24"/>
        </w:rPr>
        <w:t>Комитет государственных доходов Министерства финансов Республики Казахстан.</w:t>
      </w:r>
    </w:p>
    <w:p w14:paraId="6FE6508D" w14:textId="77777777" w:rsidR="00794697" w:rsidRPr="005C53F5" w:rsidRDefault="00794697" w:rsidP="00057BE5">
      <w:pPr>
        <w:spacing w:after="0" w:line="240" w:lineRule="auto"/>
        <w:ind w:firstLine="709"/>
        <w:jc w:val="both"/>
        <w:rPr>
          <w:rFonts w:ascii="Times New Roman" w:eastAsia="Calibri" w:hAnsi="Times New Roman" w:cs="Times New Roman"/>
          <w:sz w:val="24"/>
          <w:szCs w:val="24"/>
        </w:rPr>
      </w:pPr>
      <w:bookmarkStart w:id="331" w:name="z906"/>
      <w:bookmarkEnd w:id="330"/>
      <w:r w:rsidRPr="005C53F5">
        <w:rPr>
          <w:rFonts w:ascii="Times New Roman" w:eastAsia="Calibri" w:hAnsi="Times New Roman" w:cs="Times New Roman"/>
          <w:sz w:val="24"/>
          <w:szCs w:val="24"/>
        </w:rPr>
        <w:t>Министерство финансов Республики Казахстан осуществляет свою деятельность в соответствии с Конституцией и законами Республики Казахстан, актами Президента и Правительства Республики Казахстан, иными нормативными правовыми актами, а также Положением о Министерстве финансов Республики Казахстан.</w:t>
      </w:r>
    </w:p>
    <w:bookmarkEnd w:id="331"/>
    <w:p w14:paraId="71AD1327" w14:textId="77777777" w:rsidR="00794697" w:rsidRPr="005C53F5" w:rsidRDefault="00794697"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Миссия Министерства финансов Республики Казахстан: обеспечение экономических интересов государства.</w:t>
      </w:r>
    </w:p>
    <w:p w14:paraId="17C4A898" w14:textId="32A2B26F" w:rsidR="00794697" w:rsidRPr="005C53F5" w:rsidRDefault="00794697"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 соответствии с Бюджетным кодексом Республики Казахстан на основании решения Правительства Республики Казахстан Эмитент в лице Министерства финансов Республики Казахстан имеет право выпускать государственные ценные бумаги, от имени государства на внешних рынках капитала и государственные исламские ценные бумаги (СУКУК). Эмитент в лице Министерства финансов от имени Правительства Республики Казахстан, на внутреннем рынке осуществляет выпуск государственных ценных бумаг, в порядке, установленном Правительством Республики Казахстан (</w:t>
      </w:r>
      <w:r w:rsidRPr="005C53F5">
        <w:rPr>
          <w:rFonts w:ascii="Times New Roman" w:eastAsia="Calibri" w:hAnsi="Times New Roman" w:cs="Times New Roman"/>
          <w:color w:val="000000"/>
          <w:sz w:val="24"/>
          <w:szCs w:val="24"/>
        </w:rPr>
        <w:t>Правила выпуска, размещения, обращения, обслуживания и погашения государственных казначейских обязательств Республики Казахстан, утвержденные Постановлением Правительства Республики Казахстан от 3 апреля 2009 года № 466 («</w:t>
      </w:r>
      <w:r w:rsidRPr="005C53F5">
        <w:rPr>
          <w:rFonts w:ascii="Times New Roman" w:eastAsia="Calibri" w:hAnsi="Times New Roman" w:cs="Times New Roman"/>
          <w:b/>
          <w:color w:val="000000"/>
          <w:sz w:val="24"/>
          <w:szCs w:val="24"/>
        </w:rPr>
        <w:t>Правила № 466</w:t>
      </w:r>
      <w:r w:rsidRPr="005C53F5">
        <w:rPr>
          <w:rFonts w:ascii="Times New Roman" w:eastAsia="Calibri" w:hAnsi="Times New Roman" w:cs="Times New Roman"/>
          <w:color w:val="000000"/>
          <w:sz w:val="24"/>
          <w:szCs w:val="24"/>
        </w:rPr>
        <w:t>»)</w:t>
      </w:r>
      <w:r w:rsidRPr="005C53F5">
        <w:rPr>
          <w:rFonts w:ascii="Times New Roman" w:eastAsia="Calibri" w:hAnsi="Times New Roman" w:cs="Times New Roman"/>
          <w:sz w:val="24"/>
          <w:szCs w:val="24"/>
        </w:rPr>
        <w:t>).</w:t>
      </w:r>
    </w:p>
    <w:p w14:paraId="6E849892" w14:textId="77777777" w:rsidR="00794697" w:rsidRPr="005C53F5" w:rsidRDefault="00794697" w:rsidP="00057BE5">
      <w:pPr>
        <w:spacing w:after="0" w:line="240" w:lineRule="auto"/>
        <w:ind w:firstLine="709"/>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 xml:space="preserve">Эмитент осуществляет выпуск, размещение, обращение, обслуживание и погашение следующих видов казначейских обязательств в соответствии с Правилами № 466: </w:t>
      </w:r>
    </w:p>
    <w:p w14:paraId="6FDE1292" w14:textId="276E1BF2" w:rsidR="00794697" w:rsidRPr="005C53F5" w:rsidRDefault="00794697" w:rsidP="00057BE5">
      <w:pPr>
        <w:numPr>
          <w:ilvl w:val="0"/>
          <w:numId w:val="13"/>
        </w:numPr>
        <w:spacing w:after="0" w:line="240" w:lineRule="auto"/>
        <w:ind w:hanging="11"/>
        <w:jc w:val="both"/>
        <w:rPr>
          <w:rFonts w:ascii="Times New Roman" w:eastAsia="Calibri" w:hAnsi="Times New Roman" w:cs="Times New Roman"/>
          <w:sz w:val="24"/>
          <w:szCs w:val="24"/>
        </w:rPr>
      </w:pPr>
      <w:bookmarkStart w:id="332" w:name="z30"/>
      <w:r w:rsidRPr="005C53F5">
        <w:rPr>
          <w:rFonts w:ascii="Times New Roman" w:eastAsia="Calibri" w:hAnsi="Times New Roman" w:cs="Times New Roman"/>
          <w:sz w:val="24"/>
          <w:szCs w:val="24"/>
        </w:rPr>
        <w:t xml:space="preserve">краткосрочные казначейские обязательства; </w:t>
      </w:r>
    </w:p>
    <w:p w14:paraId="357B5CDB" w14:textId="4632D620" w:rsidR="00794697" w:rsidRPr="005C53F5" w:rsidRDefault="00794697" w:rsidP="00057BE5">
      <w:pPr>
        <w:numPr>
          <w:ilvl w:val="0"/>
          <w:numId w:val="13"/>
        </w:numPr>
        <w:spacing w:after="0" w:line="240" w:lineRule="auto"/>
        <w:ind w:hanging="11"/>
        <w:jc w:val="both"/>
        <w:rPr>
          <w:rFonts w:ascii="Times New Roman" w:eastAsia="Calibri" w:hAnsi="Times New Roman" w:cs="Times New Roman"/>
          <w:sz w:val="24"/>
          <w:szCs w:val="24"/>
        </w:rPr>
      </w:pPr>
      <w:bookmarkStart w:id="333" w:name="z31"/>
      <w:bookmarkEnd w:id="332"/>
      <w:r w:rsidRPr="005C53F5">
        <w:rPr>
          <w:rFonts w:ascii="Times New Roman" w:eastAsia="Calibri" w:hAnsi="Times New Roman" w:cs="Times New Roman"/>
          <w:sz w:val="24"/>
          <w:szCs w:val="24"/>
        </w:rPr>
        <w:t xml:space="preserve">среднесрочные казначейские обязательства; </w:t>
      </w:r>
    </w:p>
    <w:p w14:paraId="58A61419" w14:textId="274D60D8" w:rsidR="00794697" w:rsidRPr="005C53F5" w:rsidRDefault="00794697" w:rsidP="00057BE5">
      <w:pPr>
        <w:numPr>
          <w:ilvl w:val="0"/>
          <w:numId w:val="13"/>
        </w:numPr>
        <w:spacing w:after="0" w:line="240" w:lineRule="auto"/>
        <w:ind w:hanging="11"/>
        <w:jc w:val="both"/>
        <w:rPr>
          <w:rFonts w:ascii="Times New Roman" w:eastAsia="Calibri" w:hAnsi="Times New Roman" w:cs="Times New Roman"/>
          <w:sz w:val="24"/>
          <w:szCs w:val="24"/>
        </w:rPr>
      </w:pPr>
      <w:bookmarkStart w:id="334" w:name="z32"/>
      <w:bookmarkEnd w:id="333"/>
      <w:r w:rsidRPr="005C53F5">
        <w:rPr>
          <w:rFonts w:ascii="Times New Roman" w:eastAsia="Calibri" w:hAnsi="Times New Roman" w:cs="Times New Roman"/>
          <w:sz w:val="24"/>
          <w:szCs w:val="24"/>
        </w:rPr>
        <w:t xml:space="preserve">долгосрочные казначейские обязательства; </w:t>
      </w:r>
    </w:p>
    <w:p w14:paraId="765DFB6A" w14:textId="5E89026D" w:rsidR="00794697" w:rsidRPr="005C53F5" w:rsidRDefault="00794697" w:rsidP="00057BE5">
      <w:pPr>
        <w:numPr>
          <w:ilvl w:val="0"/>
          <w:numId w:val="13"/>
        </w:numPr>
        <w:spacing w:after="0" w:line="240" w:lineRule="auto"/>
        <w:ind w:hanging="11"/>
        <w:jc w:val="both"/>
        <w:rPr>
          <w:rFonts w:ascii="Times New Roman" w:eastAsia="Calibri" w:hAnsi="Times New Roman" w:cs="Times New Roman"/>
          <w:sz w:val="24"/>
          <w:szCs w:val="24"/>
        </w:rPr>
      </w:pPr>
      <w:bookmarkStart w:id="335" w:name="z33"/>
      <w:bookmarkEnd w:id="334"/>
      <w:r w:rsidRPr="005C53F5">
        <w:rPr>
          <w:rFonts w:ascii="Times New Roman" w:eastAsia="Calibri" w:hAnsi="Times New Roman" w:cs="Times New Roman"/>
          <w:sz w:val="24"/>
          <w:szCs w:val="24"/>
        </w:rPr>
        <w:t xml:space="preserve">среднесрочные индексированные казначейские обязательства; </w:t>
      </w:r>
    </w:p>
    <w:p w14:paraId="0E8306C6" w14:textId="492F0622" w:rsidR="00794697" w:rsidRPr="005C53F5" w:rsidRDefault="00794697" w:rsidP="00057BE5">
      <w:pPr>
        <w:numPr>
          <w:ilvl w:val="0"/>
          <w:numId w:val="13"/>
        </w:numPr>
        <w:spacing w:after="0" w:line="240" w:lineRule="auto"/>
        <w:ind w:hanging="11"/>
        <w:jc w:val="both"/>
        <w:rPr>
          <w:rFonts w:ascii="Times New Roman" w:eastAsia="Calibri" w:hAnsi="Times New Roman" w:cs="Times New Roman"/>
          <w:sz w:val="24"/>
          <w:szCs w:val="24"/>
        </w:rPr>
      </w:pPr>
      <w:bookmarkStart w:id="336" w:name="z34"/>
      <w:bookmarkEnd w:id="335"/>
      <w:r w:rsidRPr="005C53F5">
        <w:rPr>
          <w:rFonts w:ascii="Times New Roman" w:eastAsia="Calibri" w:hAnsi="Times New Roman" w:cs="Times New Roman"/>
          <w:sz w:val="24"/>
          <w:szCs w:val="24"/>
        </w:rPr>
        <w:t xml:space="preserve">долгосрочные индексированные казначейские обязательства; </w:t>
      </w:r>
    </w:p>
    <w:p w14:paraId="53A797BF" w14:textId="2C0B2DD4" w:rsidR="00794697" w:rsidRPr="005C53F5" w:rsidRDefault="00794697" w:rsidP="00057BE5">
      <w:pPr>
        <w:numPr>
          <w:ilvl w:val="0"/>
          <w:numId w:val="13"/>
        </w:numPr>
        <w:spacing w:after="0" w:line="240" w:lineRule="auto"/>
        <w:ind w:hanging="11"/>
        <w:jc w:val="both"/>
        <w:rPr>
          <w:rFonts w:ascii="Times New Roman" w:eastAsia="Calibri" w:hAnsi="Times New Roman" w:cs="Times New Roman"/>
          <w:sz w:val="24"/>
          <w:szCs w:val="24"/>
        </w:rPr>
      </w:pPr>
      <w:bookmarkStart w:id="337" w:name="z35"/>
      <w:bookmarkEnd w:id="336"/>
      <w:r w:rsidRPr="005C53F5">
        <w:rPr>
          <w:rFonts w:ascii="Times New Roman" w:eastAsia="Calibri" w:hAnsi="Times New Roman" w:cs="Times New Roman"/>
          <w:sz w:val="24"/>
          <w:szCs w:val="24"/>
        </w:rPr>
        <w:t>долгосрочные сберегательные казначейские обязательства;</w:t>
      </w:r>
    </w:p>
    <w:bookmarkEnd w:id="337"/>
    <w:p w14:paraId="5F754E9B" w14:textId="43E9F1EF" w:rsidR="00794697" w:rsidRPr="005C53F5" w:rsidRDefault="00794697" w:rsidP="00057BE5">
      <w:pPr>
        <w:numPr>
          <w:ilvl w:val="0"/>
          <w:numId w:val="13"/>
        </w:numPr>
        <w:spacing w:after="0" w:line="240" w:lineRule="auto"/>
        <w:ind w:hanging="11"/>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специальные среднесрочные казначейские обязательства.</w:t>
      </w:r>
    </w:p>
    <w:p w14:paraId="32557071" w14:textId="102F2977" w:rsidR="00794697" w:rsidRPr="005C53F5" w:rsidRDefault="007F75F0"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Государственные </w:t>
      </w:r>
      <w:r w:rsidR="00794697" w:rsidRPr="005C53F5">
        <w:rPr>
          <w:rFonts w:ascii="Times New Roman" w:eastAsia="Calibri" w:hAnsi="Times New Roman" w:cs="Times New Roman"/>
          <w:sz w:val="24"/>
          <w:szCs w:val="24"/>
        </w:rPr>
        <w:t xml:space="preserve">эмиссионные ценные бумаги по сроку </w:t>
      </w:r>
      <w:r w:rsidRPr="005C53F5">
        <w:rPr>
          <w:rFonts w:ascii="Times New Roman" w:eastAsia="Calibri" w:hAnsi="Times New Roman" w:cs="Times New Roman"/>
          <w:sz w:val="24"/>
          <w:szCs w:val="24"/>
        </w:rPr>
        <w:t xml:space="preserve">обращения </w:t>
      </w:r>
      <w:r w:rsidR="00794697" w:rsidRPr="005C53F5">
        <w:rPr>
          <w:rFonts w:ascii="Times New Roman" w:eastAsia="Calibri" w:hAnsi="Times New Roman" w:cs="Times New Roman"/>
          <w:sz w:val="24"/>
          <w:szCs w:val="24"/>
        </w:rPr>
        <w:t>подразделяются на:</w:t>
      </w:r>
    </w:p>
    <w:p w14:paraId="12C77A9E" w14:textId="7C566ADB" w:rsidR="00794697" w:rsidRPr="005C53F5" w:rsidRDefault="007F75F0" w:rsidP="00057BE5">
      <w:pPr>
        <w:numPr>
          <w:ilvl w:val="0"/>
          <w:numId w:val="14"/>
        </w:numPr>
        <w:spacing w:after="0" w:line="240" w:lineRule="auto"/>
        <w:ind w:hanging="11"/>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краткосрочные </w:t>
      </w:r>
      <w:r w:rsidR="00794697" w:rsidRPr="005C53F5">
        <w:rPr>
          <w:rFonts w:ascii="Times New Roman" w:eastAsia="Calibri" w:hAnsi="Times New Roman" w:cs="Times New Roman"/>
          <w:sz w:val="24"/>
          <w:szCs w:val="24"/>
        </w:rPr>
        <w:t>со сроком обращения до 1 года;</w:t>
      </w:r>
    </w:p>
    <w:p w14:paraId="09B7B187" w14:textId="1A4E5AD8" w:rsidR="00794697" w:rsidRPr="005C53F5" w:rsidRDefault="007F75F0" w:rsidP="00057BE5">
      <w:pPr>
        <w:numPr>
          <w:ilvl w:val="0"/>
          <w:numId w:val="14"/>
        </w:numPr>
        <w:spacing w:after="0" w:line="240" w:lineRule="auto"/>
        <w:ind w:hanging="11"/>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среднесрочные </w:t>
      </w:r>
      <w:r w:rsidR="00794697" w:rsidRPr="005C53F5">
        <w:rPr>
          <w:rFonts w:ascii="Times New Roman" w:eastAsia="Calibri" w:hAnsi="Times New Roman" w:cs="Times New Roman"/>
          <w:sz w:val="24"/>
          <w:szCs w:val="24"/>
        </w:rPr>
        <w:t>со сроком обращения от 1 года до 5 лет;</w:t>
      </w:r>
    </w:p>
    <w:p w14:paraId="67224F5F" w14:textId="4AFFD554" w:rsidR="00794697" w:rsidRPr="005C53F5" w:rsidRDefault="007F75F0" w:rsidP="00057BE5">
      <w:pPr>
        <w:numPr>
          <w:ilvl w:val="0"/>
          <w:numId w:val="14"/>
        </w:numPr>
        <w:spacing w:after="0" w:line="240" w:lineRule="auto"/>
        <w:ind w:hanging="11"/>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долгосрочные </w:t>
      </w:r>
      <w:r w:rsidR="00794697" w:rsidRPr="005C53F5">
        <w:rPr>
          <w:rFonts w:ascii="Times New Roman" w:eastAsia="Calibri" w:hAnsi="Times New Roman" w:cs="Times New Roman"/>
          <w:sz w:val="24"/>
          <w:szCs w:val="24"/>
        </w:rPr>
        <w:t>со сроком обращения свыше 5 лет.</w:t>
      </w:r>
    </w:p>
    <w:p w14:paraId="2A4BECB8" w14:textId="77777777" w:rsidR="00794697" w:rsidRPr="005C53F5" w:rsidRDefault="00794697"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Министерство финансов Республики Казахстан по вопросам своей компетенции в установленном законодательством порядке принимает решения, оформляемые приказами Министра финансов Республики Казахстан и другими актами, предусмотренными законодательством Республики Казахстан.</w:t>
      </w:r>
    </w:p>
    <w:p w14:paraId="3DC51653" w14:textId="77777777" w:rsidR="00794697" w:rsidRPr="005C53F5" w:rsidRDefault="00794697"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Руководство Министерства финансов Республики Казахстан осуществляется Министром финансов, который несет персональную ответственность за выполнение возложенных на Министерство финансов Республики Казахстан задач и осуществление им своих функций.</w:t>
      </w:r>
    </w:p>
    <w:p w14:paraId="4CF652EE" w14:textId="77777777" w:rsidR="00794697" w:rsidRPr="005C53F5" w:rsidRDefault="00794697"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Министр финансов назначается на должность Президентом Республики Казахстан по представлению Премьер-Министра Республики Казахстан, внесенному после консультаций с Мажилисом Парламента Республики Казахстан, и освобождается от должности Президентом Республики Казахстан.</w:t>
      </w:r>
    </w:p>
    <w:p w14:paraId="20D85A11" w14:textId="77777777" w:rsidR="00794697" w:rsidRPr="005C53F5" w:rsidRDefault="00794697"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Министр финансов имеет заместителей, которые назначаются на должности и освобождаются от должностей в соответствии с законодательством Республики Казахстан.</w:t>
      </w:r>
    </w:p>
    <w:p w14:paraId="2703FD58" w14:textId="0AAB4812" w:rsidR="00794697" w:rsidRPr="005C53F5" w:rsidRDefault="00794697" w:rsidP="00057BE5">
      <w:pPr>
        <w:spacing w:after="0" w:line="240" w:lineRule="auto"/>
        <w:ind w:firstLine="709"/>
        <w:jc w:val="both"/>
        <w:rPr>
          <w:rFonts w:ascii="Times New Roman" w:eastAsia="Calibri" w:hAnsi="Times New Roman" w:cs="Times New Roman"/>
          <w:sz w:val="24"/>
          <w:szCs w:val="24"/>
        </w:rPr>
      </w:pPr>
      <w:bookmarkStart w:id="338" w:name="z20"/>
      <w:r w:rsidRPr="005C53F5">
        <w:rPr>
          <w:rFonts w:ascii="Times New Roman" w:eastAsia="Calibri" w:hAnsi="Times New Roman" w:cs="Times New Roman"/>
          <w:sz w:val="24"/>
          <w:szCs w:val="24"/>
        </w:rPr>
        <w:t>В соответствии с Положением о Министерстве финансов Республики Казахстан, утвержденным постановлением Правительства Республики Казахстан от 24 апреля 2008 года N 387 (далее – «</w:t>
      </w:r>
      <w:r w:rsidRPr="005C53F5">
        <w:rPr>
          <w:rFonts w:ascii="Times New Roman" w:eastAsia="Calibri" w:hAnsi="Times New Roman" w:cs="Times New Roman"/>
          <w:b/>
          <w:sz w:val="24"/>
          <w:szCs w:val="24"/>
        </w:rPr>
        <w:t>Положение</w:t>
      </w:r>
      <w:r w:rsidRPr="005C53F5">
        <w:rPr>
          <w:rFonts w:ascii="Times New Roman" w:eastAsia="Calibri" w:hAnsi="Times New Roman" w:cs="Times New Roman"/>
          <w:sz w:val="24"/>
          <w:szCs w:val="24"/>
        </w:rPr>
        <w:t>») Минфин осуществляет следующие</w:t>
      </w:r>
      <w:r w:rsidR="00742EAC" w:rsidRPr="005C53F5">
        <w:rPr>
          <w:rFonts w:ascii="Times New Roman" w:eastAsia="Calibri" w:hAnsi="Times New Roman" w:cs="Times New Roman"/>
          <w:sz w:val="24"/>
          <w:szCs w:val="24"/>
        </w:rPr>
        <w:t xml:space="preserve"> основные</w:t>
      </w:r>
      <w:r w:rsidRPr="005C53F5">
        <w:rPr>
          <w:rFonts w:ascii="Times New Roman" w:eastAsia="Calibri" w:hAnsi="Times New Roman" w:cs="Times New Roman"/>
          <w:sz w:val="24"/>
          <w:szCs w:val="24"/>
        </w:rPr>
        <w:t xml:space="preserve"> задачи и функции</w:t>
      </w:r>
      <w:r w:rsidR="007F75F0" w:rsidRPr="005C53F5">
        <w:rPr>
          <w:rFonts w:ascii="Times New Roman" w:eastAsia="Calibri" w:hAnsi="Times New Roman" w:cs="Times New Roman"/>
          <w:sz w:val="24"/>
          <w:szCs w:val="24"/>
        </w:rPr>
        <w:t>.</w:t>
      </w:r>
    </w:p>
    <w:p w14:paraId="5F1AD12A" w14:textId="77777777" w:rsidR="00794697" w:rsidRPr="005C53F5" w:rsidRDefault="00794697" w:rsidP="00057BE5">
      <w:pPr>
        <w:spacing w:after="0" w:line="240" w:lineRule="auto"/>
        <w:ind w:firstLine="709"/>
        <w:jc w:val="both"/>
        <w:rPr>
          <w:rFonts w:ascii="Times New Roman" w:eastAsia="Calibri" w:hAnsi="Times New Roman" w:cs="Times New Roman"/>
          <w:b/>
          <w:i/>
          <w:color w:val="000000"/>
          <w:sz w:val="24"/>
          <w:szCs w:val="24"/>
        </w:rPr>
      </w:pPr>
      <w:r w:rsidRPr="005C53F5">
        <w:rPr>
          <w:rFonts w:ascii="Times New Roman" w:eastAsia="Calibri" w:hAnsi="Times New Roman" w:cs="Times New Roman"/>
          <w:b/>
          <w:i/>
          <w:color w:val="000000"/>
          <w:sz w:val="24"/>
          <w:szCs w:val="24"/>
        </w:rPr>
        <w:t>Задачи:</w:t>
      </w:r>
    </w:p>
    <w:p w14:paraId="22D71AF1" w14:textId="77777777" w:rsidR="00794697" w:rsidRPr="005C53F5" w:rsidRDefault="00794697" w:rsidP="00057BE5">
      <w:pPr>
        <w:numPr>
          <w:ilvl w:val="0"/>
          <w:numId w:val="7"/>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color w:val="000000"/>
          <w:sz w:val="24"/>
          <w:szCs w:val="24"/>
        </w:rPr>
        <w:t>выработка предложений по бюджетному планированию, исполнению бюджета, ведению бухгалтерского учета, бюджетного учета и бюджетной отчетности, статистики государственных финансов;</w:t>
      </w:r>
    </w:p>
    <w:p w14:paraId="31314B7F" w14:textId="77777777" w:rsidR="00794697" w:rsidRPr="005C53F5" w:rsidRDefault="00794697" w:rsidP="00057BE5">
      <w:pPr>
        <w:numPr>
          <w:ilvl w:val="0"/>
          <w:numId w:val="7"/>
        </w:numPr>
        <w:spacing w:after="0" w:line="240" w:lineRule="auto"/>
        <w:ind w:left="0" w:firstLine="709"/>
        <w:jc w:val="both"/>
        <w:rPr>
          <w:rFonts w:ascii="Times New Roman" w:eastAsia="Calibri" w:hAnsi="Times New Roman" w:cs="Times New Roman"/>
          <w:sz w:val="24"/>
          <w:szCs w:val="24"/>
        </w:rPr>
      </w:pPr>
      <w:bookmarkStart w:id="339" w:name="z923"/>
      <w:r w:rsidRPr="005C53F5">
        <w:rPr>
          <w:rFonts w:ascii="Times New Roman" w:eastAsia="Calibri" w:hAnsi="Times New Roman" w:cs="Times New Roman"/>
          <w:color w:val="000000"/>
          <w:sz w:val="24"/>
          <w:szCs w:val="24"/>
        </w:rPr>
        <w:t>обеспечение полноты и своевременности поступления налогов и платежей в бюджет;</w:t>
      </w:r>
    </w:p>
    <w:p w14:paraId="264C1604" w14:textId="77777777" w:rsidR="00794697" w:rsidRPr="005C53F5" w:rsidRDefault="00794697" w:rsidP="00057BE5">
      <w:pPr>
        <w:numPr>
          <w:ilvl w:val="0"/>
          <w:numId w:val="7"/>
        </w:numPr>
        <w:spacing w:after="0" w:line="240" w:lineRule="auto"/>
        <w:ind w:left="0" w:firstLine="709"/>
        <w:jc w:val="both"/>
        <w:rPr>
          <w:rFonts w:ascii="Times New Roman" w:eastAsia="Calibri" w:hAnsi="Times New Roman" w:cs="Times New Roman"/>
          <w:sz w:val="24"/>
          <w:szCs w:val="24"/>
        </w:rPr>
      </w:pPr>
      <w:bookmarkStart w:id="340" w:name="z925"/>
      <w:bookmarkEnd w:id="339"/>
      <w:r w:rsidRPr="005C53F5">
        <w:rPr>
          <w:rFonts w:ascii="Times New Roman" w:eastAsia="Calibri" w:hAnsi="Times New Roman" w:cs="Times New Roman"/>
          <w:color w:val="000000"/>
          <w:sz w:val="24"/>
          <w:szCs w:val="24"/>
        </w:rPr>
        <w:t>обеспечение в пределах полномочий экономической безопасности государства, законных прав и интересов субъектов предпринимательской деятельности, общества и государства;</w:t>
      </w:r>
    </w:p>
    <w:p w14:paraId="14E2E91D" w14:textId="77777777" w:rsidR="00794697" w:rsidRPr="005C53F5" w:rsidRDefault="00794697" w:rsidP="00057BE5">
      <w:pPr>
        <w:numPr>
          <w:ilvl w:val="0"/>
          <w:numId w:val="7"/>
        </w:numPr>
        <w:spacing w:after="0" w:line="240" w:lineRule="auto"/>
        <w:ind w:left="0" w:firstLine="709"/>
        <w:jc w:val="both"/>
        <w:rPr>
          <w:rFonts w:ascii="Times New Roman" w:eastAsia="Calibri" w:hAnsi="Times New Roman" w:cs="Times New Roman"/>
          <w:sz w:val="24"/>
          <w:szCs w:val="24"/>
        </w:rPr>
      </w:pPr>
      <w:bookmarkStart w:id="341" w:name="z927"/>
      <w:bookmarkEnd w:id="340"/>
      <w:r w:rsidRPr="005C53F5">
        <w:rPr>
          <w:rFonts w:ascii="Times New Roman" w:eastAsia="Calibri" w:hAnsi="Times New Roman" w:cs="Times New Roman"/>
          <w:color w:val="000000"/>
          <w:sz w:val="24"/>
          <w:szCs w:val="24"/>
        </w:rPr>
        <w:t>государственное регулирование производства и оборота этилового спирта и алкогольной продукции, табачных изделий, а также оборота нефтепродуктов и биотоплива;</w:t>
      </w:r>
    </w:p>
    <w:p w14:paraId="6015AEE9" w14:textId="77777777" w:rsidR="00794697" w:rsidRPr="005C53F5" w:rsidRDefault="00794697" w:rsidP="00057BE5">
      <w:pPr>
        <w:numPr>
          <w:ilvl w:val="0"/>
          <w:numId w:val="7"/>
        </w:numPr>
        <w:spacing w:after="0" w:line="240" w:lineRule="auto"/>
        <w:ind w:left="0" w:firstLine="709"/>
        <w:jc w:val="both"/>
        <w:rPr>
          <w:rFonts w:ascii="Times New Roman" w:eastAsia="Calibri" w:hAnsi="Times New Roman" w:cs="Times New Roman"/>
          <w:sz w:val="24"/>
          <w:szCs w:val="24"/>
        </w:rPr>
      </w:pPr>
      <w:bookmarkStart w:id="342" w:name="z928"/>
      <w:bookmarkEnd w:id="341"/>
      <w:r w:rsidRPr="005C53F5">
        <w:rPr>
          <w:rFonts w:ascii="Times New Roman" w:eastAsia="Calibri" w:hAnsi="Times New Roman" w:cs="Times New Roman"/>
          <w:color w:val="000000"/>
          <w:sz w:val="24"/>
          <w:szCs w:val="24"/>
        </w:rPr>
        <w:t>государственное регулирование в сфере таможенного дела, государственного и гарантированного государством заимствования, бюджетного кредитования, управления республиканским имуществом, управления правительственным и гарантированным государством долгом и долгом перед государством, государственных закупок, осуществления внутреннего государственного аудита и финансового контроля, государственного регулирования в области реабилитации и банкротства (за исключением банков, страховых (перестраховочных) организаций и накопительных пенсионных фондов);</w:t>
      </w:r>
    </w:p>
    <w:p w14:paraId="3AE41562" w14:textId="77777777" w:rsidR="00794697" w:rsidRPr="005C53F5" w:rsidRDefault="00794697" w:rsidP="00057BE5">
      <w:pPr>
        <w:numPr>
          <w:ilvl w:val="0"/>
          <w:numId w:val="7"/>
        </w:numPr>
        <w:spacing w:after="0" w:line="240" w:lineRule="auto"/>
        <w:ind w:left="0" w:firstLine="709"/>
        <w:jc w:val="both"/>
        <w:rPr>
          <w:rFonts w:ascii="Times New Roman" w:eastAsia="Calibri" w:hAnsi="Times New Roman" w:cs="Times New Roman"/>
          <w:sz w:val="24"/>
          <w:szCs w:val="24"/>
        </w:rPr>
      </w:pPr>
      <w:bookmarkStart w:id="343" w:name="z929"/>
      <w:bookmarkEnd w:id="342"/>
      <w:r w:rsidRPr="005C53F5">
        <w:rPr>
          <w:rFonts w:ascii="Times New Roman" w:eastAsia="Calibri" w:hAnsi="Times New Roman" w:cs="Times New Roman"/>
          <w:color w:val="000000"/>
          <w:sz w:val="24"/>
          <w:szCs w:val="24"/>
        </w:rPr>
        <w:t>регулирование деятельности в сфере бухгалтерского учета и финансовой отчетности организаций и государственных учреждений, в областях аудиторской деятельности и осуществление контроля за деятельностью аудиторских и профессиональных организаций, оценочной деятельности и осуществление контроля в области оценочной деятельности;</w:t>
      </w:r>
    </w:p>
    <w:p w14:paraId="7C8A78D0" w14:textId="77777777" w:rsidR="00794697" w:rsidRPr="005C53F5" w:rsidRDefault="00794697" w:rsidP="00057BE5">
      <w:pPr>
        <w:numPr>
          <w:ilvl w:val="0"/>
          <w:numId w:val="7"/>
        </w:numPr>
        <w:spacing w:after="0" w:line="240" w:lineRule="auto"/>
        <w:ind w:left="0" w:firstLine="709"/>
        <w:jc w:val="both"/>
        <w:rPr>
          <w:rFonts w:ascii="Times New Roman" w:eastAsia="Calibri" w:hAnsi="Times New Roman" w:cs="Times New Roman"/>
          <w:sz w:val="24"/>
          <w:szCs w:val="24"/>
        </w:rPr>
      </w:pPr>
      <w:bookmarkStart w:id="344" w:name="z932"/>
      <w:bookmarkEnd w:id="343"/>
      <w:r w:rsidRPr="005C53F5">
        <w:rPr>
          <w:rFonts w:ascii="Times New Roman" w:eastAsia="Calibri" w:hAnsi="Times New Roman" w:cs="Times New Roman"/>
          <w:color w:val="000000"/>
          <w:sz w:val="24"/>
          <w:szCs w:val="24"/>
        </w:rPr>
        <w:t>представление интересов Республики Казахстан в международных организациях по вопросам противодействия легализации (отмыванию) доходов, полученных преступным путем, и финансированию терроризма;</w:t>
      </w:r>
    </w:p>
    <w:p w14:paraId="383833BE" w14:textId="0EE6AAC0" w:rsidR="009E4379" w:rsidRPr="005C53F5" w:rsidRDefault="00794697" w:rsidP="00057BE5">
      <w:pPr>
        <w:numPr>
          <w:ilvl w:val="0"/>
          <w:numId w:val="7"/>
        </w:numPr>
        <w:spacing w:after="0" w:line="240" w:lineRule="auto"/>
        <w:ind w:left="0" w:firstLine="709"/>
        <w:jc w:val="both"/>
        <w:rPr>
          <w:rFonts w:ascii="Times New Roman" w:eastAsia="Calibri" w:hAnsi="Times New Roman" w:cs="Times New Roman"/>
          <w:sz w:val="24"/>
          <w:szCs w:val="24"/>
        </w:rPr>
      </w:pPr>
      <w:bookmarkStart w:id="345" w:name="z933"/>
      <w:bookmarkEnd w:id="344"/>
      <w:r w:rsidRPr="005C53F5">
        <w:rPr>
          <w:rFonts w:ascii="Times New Roman" w:eastAsia="Calibri" w:hAnsi="Times New Roman" w:cs="Times New Roman"/>
          <w:color w:val="000000"/>
          <w:sz w:val="24"/>
          <w:szCs w:val="24"/>
        </w:rPr>
        <w:t>предупреждение, выявление, пресечение, раскрытие и расследование экономических и финансовых преступлений и правонарушений</w:t>
      </w:r>
      <w:bookmarkStart w:id="346" w:name="z934"/>
      <w:bookmarkEnd w:id="345"/>
      <w:r w:rsidR="009E4379" w:rsidRPr="005C53F5">
        <w:rPr>
          <w:rFonts w:ascii="Times New Roman" w:eastAsia="Calibri" w:hAnsi="Times New Roman" w:cs="Times New Roman"/>
          <w:color w:val="000000"/>
          <w:sz w:val="24"/>
          <w:szCs w:val="24"/>
        </w:rPr>
        <w:t>;</w:t>
      </w:r>
    </w:p>
    <w:p w14:paraId="120DBD5E" w14:textId="5E90C107" w:rsidR="00794697" w:rsidRPr="005C53F5" w:rsidRDefault="009E4379" w:rsidP="00057BE5">
      <w:pPr>
        <w:numPr>
          <w:ilvl w:val="0"/>
          <w:numId w:val="7"/>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color w:val="000000"/>
          <w:sz w:val="24"/>
          <w:szCs w:val="24"/>
        </w:rPr>
        <w:t>иные задачи,</w:t>
      </w:r>
      <w:r w:rsidR="00693618" w:rsidRPr="005C53F5">
        <w:rPr>
          <w:rFonts w:ascii="Times New Roman" w:eastAsia="Calibri" w:hAnsi="Times New Roman" w:cs="Times New Roman"/>
          <w:color w:val="000000"/>
          <w:sz w:val="24"/>
          <w:szCs w:val="24"/>
        </w:rPr>
        <w:t xml:space="preserve"> предусмотренные законодательством Республики Казахстан, включая Положение</w:t>
      </w:r>
      <w:r w:rsidR="00794697" w:rsidRPr="005C53F5">
        <w:rPr>
          <w:rFonts w:ascii="Times New Roman" w:eastAsia="Calibri" w:hAnsi="Times New Roman" w:cs="Times New Roman"/>
          <w:color w:val="000000"/>
          <w:sz w:val="24"/>
          <w:szCs w:val="24"/>
        </w:rPr>
        <w:t>.</w:t>
      </w:r>
    </w:p>
    <w:p w14:paraId="3426758C" w14:textId="77777777" w:rsidR="00794697" w:rsidRPr="005C53F5" w:rsidRDefault="00794697" w:rsidP="00057BE5">
      <w:pPr>
        <w:spacing w:after="0" w:line="240" w:lineRule="auto"/>
        <w:ind w:firstLine="709"/>
        <w:jc w:val="both"/>
        <w:rPr>
          <w:rFonts w:ascii="Times New Roman" w:eastAsia="Calibri" w:hAnsi="Times New Roman" w:cs="Times New Roman"/>
          <w:b/>
          <w:i/>
          <w:sz w:val="24"/>
          <w:szCs w:val="24"/>
        </w:rPr>
      </w:pPr>
      <w:bookmarkStart w:id="347" w:name="z935"/>
      <w:bookmarkEnd w:id="346"/>
      <w:r w:rsidRPr="005C53F5">
        <w:rPr>
          <w:rFonts w:ascii="Times New Roman" w:eastAsia="Calibri" w:hAnsi="Times New Roman" w:cs="Times New Roman"/>
          <w:b/>
          <w:i/>
          <w:color w:val="000000"/>
          <w:sz w:val="24"/>
          <w:szCs w:val="24"/>
        </w:rPr>
        <w:t>Функции:</w:t>
      </w:r>
    </w:p>
    <w:p w14:paraId="427850C1"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bookmarkStart w:id="348" w:name="z937"/>
      <w:bookmarkEnd w:id="347"/>
      <w:r w:rsidRPr="005C53F5">
        <w:rPr>
          <w:rFonts w:ascii="Times New Roman" w:eastAsia="Calibri" w:hAnsi="Times New Roman" w:cs="Times New Roman"/>
          <w:color w:val="000000"/>
          <w:sz w:val="24"/>
          <w:szCs w:val="24"/>
        </w:rPr>
        <w:t>формирование и реализация государственной политики в области бюджетного планирования, исполнения бюджета, бухгалтерского и бюджетного учета, финансовой и бюджетной отчетности, внутреннего государственного аудита и финансового контроля, аудиторской деятельности, оценочной деятельности, управления правительственным и гарантированным государством долгом и долгом перед государством, реализация в пределах своей компетенции государственной политики в области государственно-частного партнерства, государственных закупок, государственное регулирование в области реабилитации и банкротства (за исключением банков, страховых (перестраховочных) организаций и накопительных пенсионных фондов), участие в формировании и реализации политики по предупреждению, выявлению, пресечению, раскрытию и расследованию экономических и финансовых преступлений и правонарушений, а также участие в формировании и реализация политики по накоплению в Национальный фонд Республики Казахстан финансовых активов, а также иного имущества, за исключением нематериальных активов;</w:t>
      </w:r>
    </w:p>
    <w:p w14:paraId="1CBECE3D"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в пределах своей компетенции руководство в сфере управления республиканским имуществом, реализации прав государства на республиканское имущество, приватизации и государственного мониторинга собственности в отраслях экономики, имеющих стратегическое значение, и стратегических объектов, за исключением имущества, закрепленного за Национальным Банком Республики Казахстан;</w:t>
      </w:r>
    </w:p>
    <w:p w14:paraId="7175C47A"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международное сотрудничество по вопросам, входящим в компетенцию Министерства финансов Республики Казахстан;</w:t>
      </w:r>
    </w:p>
    <w:p w14:paraId="5DDA4C88"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разработка и принятие в пределах компетенции Министерства финансов Республики Казахстан правовых актов;</w:t>
      </w:r>
    </w:p>
    <w:p w14:paraId="1AB6DD2B"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организация исполнения республиканского бюджета и координация деятельности администраторов республиканских бюджетных программ по исполнению республиканского бюджета;</w:t>
      </w:r>
    </w:p>
    <w:p w14:paraId="156267DA" w14:textId="2D67F49F"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составление отчета о поступлениях и использовании Национального фонда Республики Казахстан;</w:t>
      </w:r>
      <w:r w:rsidR="00FF03F9" w:rsidRPr="005C53F5">
        <w:rPr>
          <w:rFonts w:ascii="Times New Roman" w:eastAsia="Calibri" w:hAnsi="Times New Roman" w:cs="Times New Roman"/>
          <w:color w:val="000000"/>
          <w:sz w:val="24"/>
          <w:szCs w:val="24"/>
        </w:rPr>
        <w:t xml:space="preserve"> </w:t>
      </w:r>
      <w:r w:rsidRPr="005C53F5">
        <w:rPr>
          <w:rFonts w:ascii="Times New Roman" w:eastAsia="Calibri" w:hAnsi="Times New Roman" w:cs="Times New Roman"/>
          <w:color w:val="000000"/>
          <w:sz w:val="24"/>
          <w:szCs w:val="24"/>
        </w:rPr>
        <w:t>организация проведения ежегодного аудита Национального фонда Республики Казахстан;</w:t>
      </w:r>
    </w:p>
    <w:p w14:paraId="2985F5AE"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определение объемов, форм и условий заимствования Правительством Республики Казахстан объемов погашения и обслуживания правительственного долга, утверждаемых в республиканском бюджете на соответствующий финансовый год;</w:t>
      </w:r>
    </w:p>
    <w:p w14:paraId="059EF8D7"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выпуск специальных среднесрочных казначейских обязательств для физических лиц - резидентов Республики Казахстан, государственных ценных бумаг на внешнем рынке ссудного капитала, а также государственных исламских ценных бумаг;</w:t>
      </w:r>
    </w:p>
    <w:p w14:paraId="3EBCFD70"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осуществление бюджетного мониторинга;</w:t>
      </w:r>
    </w:p>
    <w:p w14:paraId="10A7CE82"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разработка и утверждение учетной политики;</w:t>
      </w:r>
    </w:p>
    <w:p w14:paraId="6949139B"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разработка и утверждение порядка ведения бухгалтерского учета в государственных учреждениях;</w:t>
      </w:r>
    </w:p>
    <w:p w14:paraId="40971656"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утверждение типовых договоров государственных закупок товаров, работ, услуг;</w:t>
      </w:r>
    </w:p>
    <w:p w14:paraId="13BBE6B5"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определение порядка учета администраторов, назначения и отстранения реабилитационного и банкротного управляющих, а также повышения квалификации администратора;</w:t>
      </w:r>
    </w:p>
    <w:p w14:paraId="366E5488"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руководство и межотраслевая координация в области бюджетного планирования;</w:t>
      </w:r>
    </w:p>
    <w:p w14:paraId="256C51A8"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разработка и утверждение Единой бюджетной классификации Республики Казахстан, порядок ее составления, структуры специфик экономической классификации расходов бюджета;</w:t>
      </w:r>
    </w:p>
    <w:p w14:paraId="26380866"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разработка проектов постановлений Правительства Республики Казахстан о реализации закона о республиканском бюджете, внесении изменений и дополнений в постановление Правительства Республики Казахстан о реализации закона о республиканском бюджете на соответствующие годы;</w:t>
      </w:r>
    </w:p>
    <w:p w14:paraId="4EA70220"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разработка чрезвычайного государственного бюджета;</w:t>
      </w:r>
    </w:p>
    <w:p w14:paraId="780973FE"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внесение предложений по уточнению (корректировке) и секвестированию республиканского бюджета;</w:t>
      </w:r>
    </w:p>
    <w:p w14:paraId="12FCDD90"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утверждение правил аккредитации профессиональных аудиторских организаций, профессиональных организаций бухгалтеров, организаций по профессиональной сертификации бухгалтеров;</w:t>
      </w:r>
    </w:p>
    <w:p w14:paraId="5570290F"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утверждение правил осуществления государственных закупок;</w:t>
      </w:r>
    </w:p>
    <w:p w14:paraId="1D45237E"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утверждение порядка организации таможенного сопровождения на территории Республики Казахстан;</w:t>
      </w:r>
    </w:p>
    <w:p w14:paraId="13EFD1CD"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утверждение форм налоговой отчетности и правил их составления;</w:t>
      </w:r>
    </w:p>
    <w:p w14:paraId="15B0D389"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рассмотрение жалоб налогоплательщиков (налоговых агентов) и (или) декларантов либо лиц, осуществляющих деятельность в сфере таможенного дела, на уведомление о результатах проверки и (или) уведомление об устранении нарушений в порядке и сроки, установленные налоговым и (или) таможенным законодательством;</w:t>
      </w:r>
    </w:p>
    <w:p w14:paraId="395BD225"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осуществление мониторинга и контроля за займами квазигосударственного сектора;</w:t>
      </w:r>
    </w:p>
    <w:p w14:paraId="257206A2"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определение уполномоченных органов на принятие предварительных решений о классификации товара и о происхождении товара, а также случая принятия территориальным органом государственных доходов решения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w:t>
      </w:r>
    </w:p>
    <w:p w14:paraId="537AC889"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утверждение правил и сроков предоставления информации Национальным банком Республики Казахстан уполномоченному органу полученную от уполномоченных банков второго уровня информацию о платежах и (или) переводах денежных средств из Республики Казахстан, и в Республику Казахстан и ее формы;</w:t>
      </w:r>
    </w:p>
    <w:p w14:paraId="5070BDD1"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утверждение перечня государств с льготным налогообложением;</w:t>
      </w:r>
    </w:p>
    <w:p w14:paraId="113C8A31"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 xml:space="preserve">утверждение форм межстрановой отчетности и заявления об участии в международной группе и Правил их заполнения; </w:t>
      </w:r>
    </w:p>
    <w:p w14:paraId="5A8E2170"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утверждение правил применения системы управления рисками для определения лиц, имеющих право на применение изменения срока уплаты по косвенным налогам;</w:t>
      </w:r>
    </w:p>
    <w:p w14:paraId="442265B7" w14:textId="77777777" w:rsidR="00794697"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осуществляет разработку национальных стандартов и национальных классификаторов технико-экономической информации по согласованию с уполномоченным органом в сфере стандартизации;</w:t>
      </w:r>
    </w:p>
    <w:p w14:paraId="4970D998" w14:textId="3A41636B" w:rsidR="00693618" w:rsidRPr="005C53F5" w:rsidRDefault="00794697"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составление и представление годового отчета об исполнении республиканского бюджета за отчетный финансовый год в Правительство Республики Казахстан, центральный уполномоченный орган по государственному планированию и органы государственного аудита и финансового контроля; организация обеспечения защиты годового отчета об исполнении республиканского бюджета за отчетный финансовый год при рассмотрении в Парламенте Республики Казахстан</w:t>
      </w:r>
      <w:r w:rsidR="00693618" w:rsidRPr="005C53F5">
        <w:rPr>
          <w:rFonts w:ascii="Times New Roman" w:eastAsia="Calibri" w:hAnsi="Times New Roman" w:cs="Times New Roman"/>
          <w:color w:val="000000"/>
          <w:sz w:val="24"/>
          <w:szCs w:val="24"/>
        </w:rPr>
        <w:t>;</w:t>
      </w:r>
    </w:p>
    <w:p w14:paraId="00E1DDCF" w14:textId="798FD5F6" w:rsidR="00794697" w:rsidRPr="005C53F5" w:rsidRDefault="00693618" w:rsidP="00057BE5">
      <w:pPr>
        <w:numPr>
          <w:ilvl w:val="0"/>
          <w:numId w:val="9"/>
        </w:numPr>
        <w:spacing w:after="0" w:line="240" w:lineRule="auto"/>
        <w:ind w:left="0" w:firstLine="698"/>
        <w:jc w:val="both"/>
        <w:rPr>
          <w:rFonts w:ascii="Times New Roman" w:eastAsia="Calibri" w:hAnsi="Times New Roman" w:cs="Times New Roman"/>
          <w:color w:val="000000"/>
          <w:sz w:val="24"/>
          <w:szCs w:val="24"/>
        </w:rPr>
      </w:pPr>
      <w:r w:rsidRPr="005C53F5">
        <w:rPr>
          <w:rFonts w:ascii="Times New Roman" w:eastAsia="Calibri" w:hAnsi="Times New Roman" w:cs="Times New Roman"/>
          <w:color w:val="000000"/>
          <w:sz w:val="24"/>
          <w:szCs w:val="24"/>
        </w:rPr>
        <w:t>иные функции, предусмотренные законодательством Республики Казахстан, включая Положение.</w:t>
      </w:r>
    </w:p>
    <w:bookmarkEnd w:id="338"/>
    <w:bookmarkEnd w:id="348"/>
    <w:p w14:paraId="338C20AB" w14:textId="6BFCD2DF" w:rsidR="00794697" w:rsidRPr="005C53F5" w:rsidRDefault="00794697" w:rsidP="00057BE5">
      <w:pPr>
        <w:spacing w:after="0" w:line="240" w:lineRule="auto"/>
        <w:ind w:firstLine="69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соответствии с </w:t>
      </w:r>
      <w:r w:rsidR="00F00B25" w:rsidRPr="005C53F5">
        <w:rPr>
          <w:rFonts w:ascii="Times New Roman" w:eastAsia="Calibri" w:hAnsi="Times New Roman" w:cs="Times New Roman"/>
          <w:sz w:val="24"/>
          <w:szCs w:val="24"/>
        </w:rPr>
        <w:t>пунктом</w:t>
      </w:r>
      <w:r w:rsidRPr="005C53F5">
        <w:rPr>
          <w:rFonts w:ascii="Times New Roman" w:eastAsia="Calibri" w:hAnsi="Times New Roman" w:cs="Times New Roman"/>
          <w:sz w:val="24"/>
          <w:szCs w:val="24"/>
        </w:rPr>
        <w:t xml:space="preserve"> 21 Положения Министр финансов</w:t>
      </w:r>
      <w:r w:rsidR="00F00B25" w:rsidRPr="005C53F5">
        <w:rPr>
          <w:rFonts w:ascii="Times New Roman" w:eastAsia="Calibri" w:hAnsi="Times New Roman" w:cs="Times New Roman"/>
          <w:sz w:val="24"/>
          <w:szCs w:val="24"/>
        </w:rPr>
        <w:t xml:space="preserve"> Республики Казахстан осуществляет следующие полномочия</w:t>
      </w:r>
      <w:r w:rsidRPr="005C53F5">
        <w:rPr>
          <w:rFonts w:ascii="Times New Roman" w:eastAsia="Calibri" w:hAnsi="Times New Roman" w:cs="Times New Roman"/>
          <w:sz w:val="24"/>
          <w:szCs w:val="24"/>
        </w:rPr>
        <w:t>:</w:t>
      </w:r>
    </w:p>
    <w:p w14:paraId="21CE0C53" w14:textId="77777777" w:rsidR="00794697" w:rsidRPr="005C53F5" w:rsidRDefault="00794697" w:rsidP="00057BE5">
      <w:pPr>
        <w:numPr>
          <w:ilvl w:val="0"/>
          <w:numId w:val="6"/>
        </w:numPr>
        <w:spacing w:after="0" w:line="240" w:lineRule="auto"/>
        <w:ind w:left="0" w:firstLine="698"/>
        <w:jc w:val="both"/>
        <w:rPr>
          <w:rFonts w:ascii="Times New Roman" w:eastAsia="Calibri" w:hAnsi="Times New Roman" w:cs="Times New Roman"/>
          <w:sz w:val="24"/>
          <w:szCs w:val="24"/>
        </w:rPr>
      </w:pPr>
      <w:bookmarkStart w:id="349" w:name="z1857"/>
      <w:r w:rsidRPr="005C53F5">
        <w:rPr>
          <w:rFonts w:ascii="Times New Roman" w:eastAsia="Calibri" w:hAnsi="Times New Roman" w:cs="Times New Roman"/>
          <w:sz w:val="24"/>
          <w:szCs w:val="24"/>
        </w:rPr>
        <w:t>определяет обязанности своих заместителей;</w:t>
      </w:r>
    </w:p>
    <w:p w14:paraId="78BB9B93" w14:textId="77777777" w:rsidR="00794697" w:rsidRPr="005C53F5" w:rsidRDefault="00794697" w:rsidP="00057BE5">
      <w:pPr>
        <w:numPr>
          <w:ilvl w:val="0"/>
          <w:numId w:val="6"/>
        </w:numPr>
        <w:spacing w:after="0" w:line="240" w:lineRule="auto"/>
        <w:ind w:left="0" w:firstLine="698"/>
        <w:jc w:val="both"/>
        <w:rPr>
          <w:rFonts w:ascii="Times New Roman" w:eastAsia="Calibri" w:hAnsi="Times New Roman" w:cs="Times New Roman"/>
          <w:sz w:val="24"/>
          <w:szCs w:val="24"/>
        </w:rPr>
      </w:pPr>
      <w:bookmarkStart w:id="350" w:name="z1858"/>
      <w:bookmarkEnd w:id="349"/>
      <w:r w:rsidRPr="005C53F5">
        <w:rPr>
          <w:rFonts w:ascii="Times New Roman" w:eastAsia="Calibri" w:hAnsi="Times New Roman" w:cs="Times New Roman"/>
          <w:sz w:val="24"/>
          <w:szCs w:val="24"/>
        </w:rPr>
        <w:t>в соответствии с законодательством назначает и освобождает от должностей работников системы Министерства финансов Республики Казахстан, вопросы трудовых отношений с которыми отнесены к его компетенции;</w:t>
      </w:r>
    </w:p>
    <w:p w14:paraId="504C44EC" w14:textId="77777777" w:rsidR="00794697" w:rsidRPr="005C53F5" w:rsidRDefault="00794697" w:rsidP="00057BE5">
      <w:pPr>
        <w:numPr>
          <w:ilvl w:val="0"/>
          <w:numId w:val="6"/>
        </w:numPr>
        <w:spacing w:after="0" w:line="240" w:lineRule="auto"/>
        <w:ind w:left="0" w:firstLine="698"/>
        <w:jc w:val="both"/>
        <w:rPr>
          <w:rFonts w:ascii="Times New Roman" w:eastAsia="Calibri" w:hAnsi="Times New Roman" w:cs="Times New Roman"/>
          <w:sz w:val="24"/>
          <w:szCs w:val="24"/>
        </w:rPr>
      </w:pPr>
      <w:bookmarkStart w:id="351" w:name="z1859"/>
      <w:bookmarkEnd w:id="350"/>
      <w:r w:rsidRPr="005C53F5">
        <w:rPr>
          <w:rFonts w:ascii="Times New Roman" w:eastAsia="Calibri" w:hAnsi="Times New Roman" w:cs="Times New Roman"/>
          <w:sz w:val="24"/>
          <w:szCs w:val="24"/>
        </w:rPr>
        <w:t>подписывает приказы Министерства финансов Республики Казахстан;</w:t>
      </w:r>
    </w:p>
    <w:p w14:paraId="18FCE894" w14:textId="77777777" w:rsidR="00794697" w:rsidRPr="005C53F5" w:rsidRDefault="00794697" w:rsidP="00057BE5">
      <w:pPr>
        <w:numPr>
          <w:ilvl w:val="0"/>
          <w:numId w:val="6"/>
        </w:numPr>
        <w:spacing w:after="0" w:line="240" w:lineRule="auto"/>
        <w:ind w:left="0" w:firstLine="698"/>
        <w:jc w:val="both"/>
        <w:rPr>
          <w:rFonts w:ascii="Times New Roman" w:eastAsia="Calibri" w:hAnsi="Times New Roman" w:cs="Times New Roman"/>
          <w:sz w:val="24"/>
          <w:szCs w:val="24"/>
        </w:rPr>
      </w:pPr>
      <w:bookmarkStart w:id="352" w:name="z1860"/>
      <w:bookmarkEnd w:id="351"/>
      <w:r w:rsidRPr="005C53F5">
        <w:rPr>
          <w:rFonts w:ascii="Times New Roman" w:eastAsia="Calibri" w:hAnsi="Times New Roman" w:cs="Times New Roman"/>
          <w:sz w:val="24"/>
          <w:szCs w:val="24"/>
        </w:rPr>
        <w:t>представляет Министерство финансов Республики Казахстан во всех государственных органах и иных организациях;</w:t>
      </w:r>
    </w:p>
    <w:p w14:paraId="39733D3F" w14:textId="77777777" w:rsidR="00794697" w:rsidRPr="005C53F5" w:rsidRDefault="00794697" w:rsidP="00057BE5">
      <w:pPr>
        <w:numPr>
          <w:ilvl w:val="0"/>
          <w:numId w:val="6"/>
        </w:numPr>
        <w:spacing w:after="0" w:line="240" w:lineRule="auto"/>
        <w:ind w:left="0" w:firstLine="698"/>
        <w:jc w:val="both"/>
        <w:rPr>
          <w:rFonts w:ascii="Times New Roman" w:eastAsia="Calibri" w:hAnsi="Times New Roman" w:cs="Times New Roman"/>
          <w:sz w:val="24"/>
          <w:szCs w:val="24"/>
        </w:rPr>
      </w:pPr>
      <w:bookmarkStart w:id="353" w:name="z1861"/>
      <w:bookmarkEnd w:id="352"/>
      <w:r w:rsidRPr="005C53F5">
        <w:rPr>
          <w:rFonts w:ascii="Times New Roman" w:eastAsia="Calibri" w:hAnsi="Times New Roman" w:cs="Times New Roman"/>
          <w:sz w:val="24"/>
          <w:szCs w:val="24"/>
        </w:rPr>
        <w:t>утверждает регламент работы Министерства финансов Республики Казахстан;</w:t>
      </w:r>
    </w:p>
    <w:p w14:paraId="15017EAB" w14:textId="77777777" w:rsidR="00794697" w:rsidRPr="005C53F5" w:rsidRDefault="00794697" w:rsidP="00057BE5">
      <w:pPr>
        <w:numPr>
          <w:ilvl w:val="0"/>
          <w:numId w:val="6"/>
        </w:numPr>
        <w:spacing w:after="0" w:line="240" w:lineRule="auto"/>
        <w:ind w:left="0" w:firstLine="698"/>
        <w:jc w:val="both"/>
        <w:rPr>
          <w:rFonts w:ascii="Times New Roman" w:eastAsia="Calibri" w:hAnsi="Times New Roman" w:cs="Times New Roman"/>
          <w:sz w:val="24"/>
          <w:szCs w:val="24"/>
        </w:rPr>
      </w:pPr>
      <w:bookmarkStart w:id="354" w:name="z1862"/>
      <w:bookmarkEnd w:id="353"/>
      <w:r w:rsidRPr="005C53F5">
        <w:rPr>
          <w:rFonts w:ascii="Times New Roman" w:eastAsia="Calibri" w:hAnsi="Times New Roman" w:cs="Times New Roman"/>
          <w:sz w:val="24"/>
          <w:szCs w:val="24"/>
        </w:rPr>
        <w:t>вносит Президенту Республики Казахстан представления о присвоении должностным лицам таможенных органов специальных званий высшего начальствующего состава;</w:t>
      </w:r>
    </w:p>
    <w:p w14:paraId="7565255C" w14:textId="77777777" w:rsidR="00794697" w:rsidRPr="005C53F5" w:rsidRDefault="00794697" w:rsidP="00057BE5">
      <w:pPr>
        <w:numPr>
          <w:ilvl w:val="0"/>
          <w:numId w:val="6"/>
        </w:numPr>
        <w:spacing w:after="0" w:line="240" w:lineRule="auto"/>
        <w:ind w:left="0" w:firstLine="698"/>
        <w:jc w:val="both"/>
        <w:rPr>
          <w:rFonts w:ascii="Times New Roman" w:eastAsia="Calibri" w:hAnsi="Times New Roman" w:cs="Times New Roman"/>
          <w:sz w:val="24"/>
          <w:szCs w:val="24"/>
        </w:rPr>
      </w:pPr>
      <w:bookmarkStart w:id="355" w:name="z1863"/>
      <w:bookmarkEnd w:id="354"/>
      <w:r w:rsidRPr="005C53F5">
        <w:rPr>
          <w:rFonts w:ascii="Times New Roman" w:eastAsia="Calibri" w:hAnsi="Times New Roman" w:cs="Times New Roman"/>
          <w:sz w:val="24"/>
          <w:szCs w:val="24"/>
        </w:rPr>
        <w:t>несет персональную ответственность по противодействию коррупции;</w:t>
      </w:r>
    </w:p>
    <w:p w14:paraId="44571FF3" w14:textId="77777777" w:rsidR="00794697" w:rsidRPr="005C53F5" w:rsidRDefault="00794697" w:rsidP="00057BE5">
      <w:pPr>
        <w:numPr>
          <w:ilvl w:val="0"/>
          <w:numId w:val="6"/>
        </w:numPr>
        <w:spacing w:after="0" w:line="240" w:lineRule="auto"/>
        <w:ind w:left="0" w:firstLine="698"/>
        <w:jc w:val="both"/>
        <w:rPr>
          <w:rFonts w:ascii="Times New Roman" w:eastAsia="Calibri" w:hAnsi="Times New Roman" w:cs="Times New Roman"/>
          <w:sz w:val="24"/>
          <w:szCs w:val="24"/>
        </w:rPr>
      </w:pPr>
      <w:bookmarkStart w:id="356" w:name="z1864"/>
      <w:bookmarkEnd w:id="355"/>
      <w:r w:rsidRPr="005C53F5">
        <w:rPr>
          <w:rFonts w:ascii="Times New Roman" w:eastAsia="Calibri" w:hAnsi="Times New Roman" w:cs="Times New Roman"/>
          <w:sz w:val="24"/>
          <w:szCs w:val="24"/>
        </w:rPr>
        <w:t>осуществляет иные полномочия, предусмотренные законодательством Республики Казахстан.</w:t>
      </w:r>
    </w:p>
    <w:p w14:paraId="5D718BE9" w14:textId="1DE0EE2E" w:rsidR="00794697" w:rsidRPr="005C53F5" w:rsidRDefault="00794697" w:rsidP="00057BE5">
      <w:pPr>
        <w:spacing w:after="0" w:line="240" w:lineRule="auto"/>
        <w:ind w:firstLine="698"/>
        <w:jc w:val="both"/>
        <w:rPr>
          <w:rFonts w:ascii="Times New Roman" w:eastAsia="Calibri" w:hAnsi="Times New Roman" w:cs="Times New Roman"/>
          <w:sz w:val="24"/>
          <w:szCs w:val="24"/>
        </w:rPr>
      </w:pPr>
      <w:bookmarkStart w:id="357" w:name="z1865"/>
      <w:bookmarkEnd w:id="356"/>
      <w:r w:rsidRPr="005C53F5">
        <w:rPr>
          <w:rFonts w:ascii="Times New Roman" w:eastAsia="Calibri" w:hAnsi="Times New Roman" w:cs="Times New Roman"/>
          <w:sz w:val="24"/>
          <w:szCs w:val="24"/>
        </w:rPr>
        <w:t>Исполнение полномочий Министра финансов в период его отсутствия осуществляется лицом, его замещающим в соответствии с законодательством</w:t>
      </w:r>
      <w:r w:rsidR="00F00B25" w:rsidRPr="005C53F5">
        <w:rPr>
          <w:rFonts w:ascii="Times New Roman" w:eastAsia="Calibri" w:hAnsi="Times New Roman" w:cs="Times New Roman"/>
          <w:sz w:val="24"/>
          <w:szCs w:val="24"/>
        </w:rPr>
        <w:t xml:space="preserve"> Республики Казахстан</w:t>
      </w:r>
      <w:r w:rsidRPr="005C53F5">
        <w:rPr>
          <w:rFonts w:ascii="Times New Roman" w:eastAsia="Calibri" w:hAnsi="Times New Roman" w:cs="Times New Roman"/>
          <w:sz w:val="24"/>
          <w:szCs w:val="24"/>
        </w:rPr>
        <w:t>.</w:t>
      </w:r>
    </w:p>
    <w:bookmarkEnd w:id="357"/>
    <w:p w14:paraId="63D26F53" w14:textId="591E2AF5" w:rsidR="003A1D6B" w:rsidRPr="005C53F5" w:rsidRDefault="00794697" w:rsidP="00057BE5">
      <w:pPr>
        <w:spacing w:after="0" w:line="240" w:lineRule="auto"/>
        <w:ind w:firstLine="69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Аппарат Министерства финансов Республики Казахстан возглавляется ответственным секретарем, назначаемым на должность и освобождаемым от должности в соответствии с законодательством Республики Казахстан.</w:t>
      </w:r>
    </w:p>
    <w:p w14:paraId="2A479369" w14:textId="68F6EC41" w:rsidR="008A083A" w:rsidRPr="005C53F5" w:rsidRDefault="004424B9" w:rsidP="00057BE5">
      <w:pPr>
        <w:pStyle w:val="ConsPlusNormal"/>
        <w:ind w:firstLine="709"/>
        <w:jc w:val="both"/>
        <w:rPr>
          <w:rFonts w:ascii="Times New Roman" w:hAnsi="Times New Roman" w:cs="Times New Roman"/>
          <w:b/>
          <w:i/>
          <w:sz w:val="24"/>
          <w:szCs w:val="24"/>
          <w:u w:val="single"/>
        </w:rPr>
      </w:pPr>
      <w:r w:rsidRPr="005C53F5">
        <w:rPr>
          <w:rFonts w:ascii="Times New Roman" w:hAnsi="Times New Roman" w:cs="Times New Roman"/>
          <w:b/>
          <w:i/>
          <w:sz w:val="24"/>
          <w:szCs w:val="24"/>
          <w:u w:val="single"/>
        </w:rPr>
        <w:t>С</w:t>
      </w:r>
      <w:r w:rsidR="008A083A" w:rsidRPr="005C53F5">
        <w:rPr>
          <w:rFonts w:ascii="Times New Roman" w:hAnsi="Times New Roman" w:cs="Times New Roman"/>
          <w:b/>
          <w:i/>
          <w:sz w:val="24"/>
          <w:szCs w:val="24"/>
          <w:u w:val="single"/>
        </w:rPr>
        <w:t>ведения о наличии кодекса корпоративного управления эмитента либо иного аналогичного документа. Указываются сведения о наличии внутренних документов эмитента, регулирующих деятельность его органов управления:</w:t>
      </w:r>
      <w:bookmarkEnd w:id="324"/>
      <w:bookmarkEnd w:id="325"/>
    </w:p>
    <w:p w14:paraId="16EEDC8B" w14:textId="77777777" w:rsidR="008A083A" w:rsidRPr="005C53F5" w:rsidRDefault="008A083A" w:rsidP="00057BE5">
      <w:pPr>
        <w:pStyle w:val="ConsPlusNormal"/>
        <w:ind w:firstLine="709"/>
        <w:jc w:val="both"/>
        <w:rPr>
          <w:rFonts w:ascii="Times New Roman" w:hAnsi="Times New Roman" w:cs="Times New Roman"/>
          <w:sz w:val="24"/>
          <w:szCs w:val="24"/>
        </w:rPr>
      </w:pPr>
      <w:bookmarkStart w:id="358" w:name="_Toc521609562"/>
      <w:bookmarkStart w:id="359" w:name="_Toc533785321"/>
      <w:r w:rsidRPr="005C53F5">
        <w:rPr>
          <w:rFonts w:ascii="Times New Roman" w:hAnsi="Times New Roman" w:cs="Times New Roman"/>
          <w:sz w:val="24"/>
          <w:szCs w:val="24"/>
        </w:rPr>
        <w:t>Не применимо.</w:t>
      </w:r>
      <w:bookmarkEnd w:id="358"/>
      <w:bookmarkEnd w:id="359"/>
    </w:p>
    <w:p w14:paraId="648F7937" w14:textId="70D55E78" w:rsidR="008A083A" w:rsidRPr="005C53F5" w:rsidRDefault="004424B9" w:rsidP="00057BE5">
      <w:pPr>
        <w:pStyle w:val="ConsPlusNormal"/>
        <w:ind w:firstLine="709"/>
        <w:jc w:val="both"/>
        <w:rPr>
          <w:rFonts w:ascii="Times New Roman" w:hAnsi="Times New Roman" w:cs="Times New Roman"/>
          <w:b/>
          <w:i/>
          <w:sz w:val="24"/>
          <w:szCs w:val="24"/>
          <w:u w:val="single"/>
        </w:rPr>
      </w:pPr>
      <w:bookmarkStart w:id="360" w:name="_Toc521609563"/>
      <w:bookmarkStart w:id="361" w:name="_Toc533785322"/>
      <w:r w:rsidRPr="005C53F5">
        <w:rPr>
          <w:rFonts w:ascii="Times New Roman" w:hAnsi="Times New Roman" w:cs="Times New Roman"/>
          <w:b/>
          <w:i/>
          <w:sz w:val="24"/>
          <w:szCs w:val="24"/>
          <w:u w:val="single"/>
        </w:rPr>
        <w:t>А</w:t>
      </w:r>
      <w:r w:rsidR="008A083A" w:rsidRPr="005C53F5">
        <w:rPr>
          <w:rFonts w:ascii="Times New Roman" w:hAnsi="Times New Roman" w:cs="Times New Roman"/>
          <w:b/>
          <w:i/>
          <w:sz w:val="24"/>
          <w:szCs w:val="24"/>
          <w:u w:val="single"/>
        </w:rPr>
        <w:t>дрес страницы в сети Интернет, на которой в свободном доступе размещен полный текст действующей редакции устава эмитента и внутренних документов, регулирующих деятельность органов эмитента, а также кодекса корпоративного управления эмитента в случае его наличия:</w:t>
      </w:r>
      <w:bookmarkEnd w:id="360"/>
      <w:bookmarkEnd w:id="361"/>
    </w:p>
    <w:p w14:paraId="1DFC084C" w14:textId="760A674E" w:rsidR="003A1D6B" w:rsidRPr="005C53F5" w:rsidRDefault="00D11443" w:rsidP="00057BE5">
      <w:pPr>
        <w:spacing w:after="0" w:line="240" w:lineRule="auto"/>
        <w:ind w:firstLine="709"/>
        <w:jc w:val="both"/>
        <w:rPr>
          <w:rFonts w:ascii="Times New Roman" w:eastAsia="Times New Roman" w:hAnsi="Times New Roman" w:cs="Times New Roman"/>
          <w:b/>
          <w:sz w:val="24"/>
          <w:szCs w:val="24"/>
          <w:lang w:eastAsia="ru-RU"/>
        </w:rPr>
      </w:pPr>
      <w:r w:rsidRPr="005C53F5">
        <w:rPr>
          <w:rFonts w:ascii="Times New Roman" w:eastAsia="Calibri" w:hAnsi="Times New Roman" w:cs="Times New Roman"/>
          <w:sz w:val="24"/>
          <w:szCs w:val="24"/>
        </w:rPr>
        <w:t xml:space="preserve">Положение о Минфине доступно в информационно-телекоммуникационной сети «Интернет» по адресу: </w:t>
      </w:r>
      <w:hyperlink r:id="rId19" w:history="1">
        <w:r w:rsidR="005F135C" w:rsidRPr="005C53F5">
          <w:rPr>
            <w:rStyle w:val="ae"/>
            <w:rFonts w:ascii="Times New Roman" w:hAnsi="Times New Roman" w:cs="Times New Roman"/>
            <w:sz w:val="24"/>
            <w:szCs w:val="24"/>
            <w:lang w:val="kk-KZ"/>
          </w:rPr>
          <w:t>http://www.minfin.gov.kz/</w:t>
        </w:r>
      </w:hyperlink>
      <w:r w:rsidR="00F00B25" w:rsidRPr="005C53F5">
        <w:rPr>
          <w:rFonts w:ascii="Times New Roman" w:eastAsia="Times New Roman" w:hAnsi="Times New Roman" w:cs="Times New Roman"/>
          <w:bCs/>
          <w:sz w:val="24"/>
          <w:szCs w:val="24"/>
          <w:lang w:eastAsia="ru-RU"/>
        </w:rPr>
        <w:t>.</w:t>
      </w:r>
    </w:p>
    <w:p w14:paraId="3E1D64B9" w14:textId="43729647" w:rsidR="008A083A" w:rsidRPr="005C53F5" w:rsidRDefault="008A083A" w:rsidP="00057BE5">
      <w:pPr>
        <w:pStyle w:val="ConsPlusNormal"/>
        <w:ind w:firstLine="709"/>
        <w:jc w:val="both"/>
        <w:outlineLvl w:val="1"/>
        <w:rPr>
          <w:rFonts w:ascii="Times New Roman" w:hAnsi="Times New Roman" w:cs="Times New Roman"/>
          <w:b/>
          <w:sz w:val="24"/>
          <w:szCs w:val="24"/>
        </w:rPr>
      </w:pPr>
      <w:bookmarkStart w:id="362" w:name="_Toc39616369"/>
      <w:bookmarkStart w:id="363" w:name="_Toc36145607"/>
      <w:r w:rsidRPr="005C53F5">
        <w:rPr>
          <w:rFonts w:ascii="Times New Roman" w:hAnsi="Times New Roman" w:cs="Times New Roman"/>
          <w:b/>
          <w:sz w:val="24"/>
          <w:szCs w:val="24"/>
        </w:rPr>
        <w:t>5.2. Информация о лицах, входящих в состав органов управления эмитента</w:t>
      </w:r>
      <w:bookmarkEnd w:id="362"/>
      <w:bookmarkEnd w:id="363"/>
    </w:p>
    <w:p w14:paraId="35162268"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В соответствии с пунктом 91.3 Положения Банка России № 454-П в настоящем пункте приводится информация о руководителе Министерства финансов Республики Казахстан и его заместителях, поскольку уполномоченным органом государственной власти Республики Казахстан, который выступает от имени Республики Казахстан при осуществлении Республикой Казахстан эмиссии Облигаций, выступает Министерство финансов Республики Казахстан. </w:t>
      </w:r>
    </w:p>
    <w:p w14:paraId="2D32AE6C"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Министерство финансов Республики Казахстан возглавляет Министр, назначаемый на должность Президентом Республики Казахстан по представлению Премьер-Министра Республики Казахстан, внесенному после консультаций с Мажилисом Парламента Республики Казахстан, и освобождается от должности Президентом Республики Казахстан.</w:t>
      </w:r>
      <w:bookmarkStart w:id="364" w:name="z1855"/>
      <w:r w:rsidRPr="005C53F5">
        <w:rPr>
          <w:rFonts w:ascii="Times New Roman" w:eastAsia="Calibri" w:hAnsi="Times New Roman" w:cs="Times New Roman"/>
          <w:sz w:val="24"/>
          <w:szCs w:val="24"/>
        </w:rPr>
        <w:t xml:space="preserve"> Министр финансов имеет заместителей, которые назначаются на должности и освобождаются от должностей в соответствии с законодательством Республики Казахстан.</w:t>
      </w:r>
    </w:p>
    <w:p w14:paraId="0C5A3962" w14:textId="0EBF93A1" w:rsidR="00E85A3C" w:rsidRPr="006F1976" w:rsidRDefault="00E85A3C" w:rsidP="00057BE5">
      <w:pPr>
        <w:spacing w:after="0" w:line="240" w:lineRule="auto"/>
        <w:ind w:firstLine="709"/>
        <w:jc w:val="both"/>
        <w:rPr>
          <w:rFonts w:ascii="Times New Roman" w:eastAsia="Calibri" w:hAnsi="Times New Roman" w:cs="Times New Roman"/>
          <w:b/>
          <w:i/>
          <w:sz w:val="24"/>
          <w:szCs w:val="24"/>
        </w:rPr>
      </w:pPr>
      <w:bookmarkStart w:id="365" w:name="_Toc521609569"/>
      <w:bookmarkEnd w:id="364"/>
      <w:r w:rsidRPr="005C53F5">
        <w:rPr>
          <w:rFonts w:ascii="Times New Roman" w:hAnsi="Times New Roman" w:cs="Times New Roman"/>
          <w:bCs/>
          <w:sz w:val="24"/>
          <w:szCs w:val="24"/>
        </w:rPr>
        <w:t>1)</w:t>
      </w:r>
      <w:r w:rsidRPr="005C53F5">
        <w:rPr>
          <w:rFonts w:ascii="Times New Roman" w:hAnsi="Times New Roman" w:cs="Times New Roman"/>
          <w:sz w:val="24"/>
          <w:szCs w:val="24"/>
        </w:rPr>
        <w:t xml:space="preserve"> фамилия, имя, отчество:</w:t>
      </w:r>
      <w:bookmarkEnd w:id="365"/>
      <w:r w:rsidR="00046EA0">
        <w:rPr>
          <w:rFonts w:ascii="Times New Roman" w:eastAsia="Calibri" w:hAnsi="Times New Roman" w:cs="Times New Roman"/>
          <w:b/>
          <w:i/>
          <w:sz w:val="24"/>
          <w:szCs w:val="24"/>
        </w:rPr>
        <w:t xml:space="preserve"> </w:t>
      </w:r>
      <w:r w:rsidR="00046EA0" w:rsidRPr="00046EA0">
        <w:rPr>
          <w:rFonts w:ascii="Times New Roman" w:eastAsia="Calibri" w:hAnsi="Times New Roman" w:cs="Times New Roman"/>
          <w:b/>
          <w:i/>
          <w:sz w:val="24"/>
          <w:szCs w:val="24"/>
        </w:rPr>
        <w:t xml:space="preserve">Жамаубаев Ерулан </w:t>
      </w:r>
      <w:r w:rsidR="00046EA0" w:rsidRPr="0057576C">
        <w:rPr>
          <w:rFonts w:ascii="Times New Roman" w:eastAsia="Calibri" w:hAnsi="Times New Roman" w:cs="Times New Roman"/>
          <w:b/>
          <w:i/>
          <w:sz w:val="24"/>
          <w:szCs w:val="24"/>
        </w:rPr>
        <w:t>Кенжебекович</w:t>
      </w:r>
      <w:r w:rsidRPr="006F1976">
        <w:rPr>
          <w:rFonts w:ascii="Times New Roman" w:eastAsia="Calibri" w:hAnsi="Times New Roman" w:cs="Times New Roman"/>
          <w:b/>
          <w:i/>
          <w:sz w:val="24"/>
          <w:szCs w:val="24"/>
        </w:rPr>
        <w:t>;</w:t>
      </w:r>
      <w:r w:rsidR="00046EA0" w:rsidRPr="006F1976">
        <w:rPr>
          <w:rFonts w:ascii="Times New Roman" w:eastAsia="Calibri" w:hAnsi="Times New Roman" w:cs="Times New Roman"/>
          <w:b/>
          <w:i/>
          <w:sz w:val="24"/>
          <w:szCs w:val="24"/>
        </w:rPr>
        <w:t xml:space="preserve"> </w:t>
      </w:r>
    </w:p>
    <w:p w14:paraId="7C581766" w14:textId="668F538A" w:rsidR="00E85A3C" w:rsidRPr="006F1976" w:rsidRDefault="00E85A3C" w:rsidP="00057BE5">
      <w:pPr>
        <w:spacing w:after="0" w:line="240" w:lineRule="auto"/>
        <w:ind w:firstLine="709"/>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 xml:space="preserve">год рождения: </w:t>
      </w:r>
      <w:r w:rsidRPr="006F1976">
        <w:rPr>
          <w:rFonts w:ascii="Times New Roman" w:eastAsia="Calibri" w:hAnsi="Times New Roman" w:cs="Times New Roman"/>
          <w:b/>
          <w:i/>
          <w:sz w:val="24"/>
          <w:szCs w:val="24"/>
        </w:rPr>
        <w:t>197</w:t>
      </w:r>
      <w:r w:rsidR="00046EA0" w:rsidRPr="006F1976">
        <w:rPr>
          <w:rFonts w:ascii="Times New Roman" w:eastAsia="Calibri" w:hAnsi="Times New Roman" w:cs="Times New Roman"/>
          <w:b/>
          <w:i/>
          <w:sz w:val="24"/>
          <w:szCs w:val="24"/>
        </w:rPr>
        <w:t>4</w:t>
      </w:r>
      <w:r w:rsidRPr="006F1976">
        <w:rPr>
          <w:rFonts w:ascii="Times New Roman" w:eastAsia="Calibri" w:hAnsi="Times New Roman" w:cs="Times New Roman"/>
          <w:b/>
          <w:i/>
          <w:sz w:val="24"/>
          <w:szCs w:val="24"/>
        </w:rPr>
        <w:t xml:space="preserve"> год</w:t>
      </w:r>
      <w:r w:rsidRPr="006F1976">
        <w:rPr>
          <w:rFonts w:ascii="Times New Roman" w:eastAsia="Calibri" w:hAnsi="Times New Roman" w:cs="Times New Roman"/>
          <w:sz w:val="24"/>
          <w:szCs w:val="24"/>
        </w:rPr>
        <w:t>;</w:t>
      </w:r>
    </w:p>
    <w:p w14:paraId="0615BE53" w14:textId="587B9774" w:rsidR="00046EA0" w:rsidRDefault="00E85A3C" w:rsidP="00057BE5">
      <w:pPr>
        <w:spacing w:after="0" w:line="240" w:lineRule="auto"/>
        <w:ind w:firstLine="709"/>
        <w:jc w:val="both"/>
        <w:rPr>
          <w:rFonts w:ascii="Times New Roman" w:eastAsia="Calibri" w:hAnsi="Times New Roman" w:cs="Times New Roman"/>
          <w:b/>
          <w:i/>
          <w:sz w:val="24"/>
          <w:szCs w:val="24"/>
        </w:rPr>
      </w:pPr>
      <w:r w:rsidRPr="006F1976">
        <w:rPr>
          <w:rFonts w:ascii="Times New Roman" w:eastAsia="Calibri" w:hAnsi="Times New Roman" w:cs="Times New Roman"/>
          <w:sz w:val="24"/>
          <w:szCs w:val="24"/>
        </w:rPr>
        <w:t xml:space="preserve">сведения об образовании: </w:t>
      </w:r>
      <w:r w:rsidRPr="006F1976">
        <w:rPr>
          <w:rFonts w:ascii="Times New Roman" w:eastAsia="Calibri" w:hAnsi="Times New Roman" w:cs="Times New Roman"/>
          <w:b/>
          <w:i/>
          <w:sz w:val="24"/>
          <w:szCs w:val="24"/>
        </w:rPr>
        <w:t>высшее</w:t>
      </w:r>
      <w:r w:rsidR="00046EA0">
        <w:rPr>
          <w:rFonts w:ascii="Times New Roman" w:eastAsia="Calibri" w:hAnsi="Times New Roman" w:cs="Times New Roman"/>
          <w:b/>
          <w:i/>
          <w:sz w:val="24"/>
          <w:szCs w:val="24"/>
        </w:rPr>
        <w:t>,</w:t>
      </w:r>
      <w:r w:rsidR="00046EA0" w:rsidRPr="00046EA0">
        <w:t xml:space="preserve"> </w:t>
      </w:r>
      <w:r w:rsidR="00046EA0" w:rsidRPr="00046EA0">
        <w:rPr>
          <w:rFonts w:ascii="Times New Roman" w:eastAsia="Calibri" w:hAnsi="Times New Roman" w:cs="Times New Roman"/>
          <w:b/>
          <w:i/>
          <w:sz w:val="24"/>
          <w:szCs w:val="24"/>
        </w:rPr>
        <w:t>в 1995 году окончил Казахскую государственную академию у</w:t>
      </w:r>
      <w:r w:rsidR="00B47C45">
        <w:rPr>
          <w:rFonts w:ascii="Times New Roman" w:eastAsia="Calibri" w:hAnsi="Times New Roman" w:cs="Times New Roman"/>
          <w:b/>
          <w:i/>
          <w:sz w:val="24"/>
          <w:szCs w:val="24"/>
        </w:rPr>
        <w:t>правления, специальность -</w:t>
      </w:r>
      <w:r w:rsidR="00046EA0">
        <w:rPr>
          <w:rFonts w:ascii="Times New Roman" w:eastAsia="Calibri" w:hAnsi="Times New Roman" w:cs="Times New Roman"/>
          <w:b/>
          <w:i/>
          <w:sz w:val="24"/>
          <w:szCs w:val="24"/>
        </w:rPr>
        <w:t xml:space="preserve"> «Финансы и кредит», </w:t>
      </w:r>
      <w:r w:rsidR="00046EA0" w:rsidRPr="00046EA0">
        <w:rPr>
          <w:rFonts w:ascii="Times New Roman" w:eastAsia="Calibri" w:hAnsi="Times New Roman" w:cs="Times New Roman"/>
          <w:b/>
          <w:i/>
          <w:sz w:val="24"/>
          <w:szCs w:val="24"/>
        </w:rPr>
        <w:t xml:space="preserve">в 2009 году </w:t>
      </w:r>
      <w:r w:rsidR="00220165">
        <w:rPr>
          <w:rFonts w:ascii="Times New Roman" w:eastAsia="Calibri" w:hAnsi="Times New Roman" w:cs="Times New Roman"/>
          <w:b/>
          <w:i/>
          <w:sz w:val="24"/>
          <w:szCs w:val="24"/>
        </w:rPr>
        <w:t xml:space="preserve">– </w:t>
      </w:r>
      <w:r w:rsidR="00046EA0" w:rsidRPr="00046EA0">
        <w:rPr>
          <w:rFonts w:ascii="Times New Roman" w:eastAsia="Calibri" w:hAnsi="Times New Roman" w:cs="Times New Roman"/>
          <w:b/>
          <w:i/>
          <w:sz w:val="24"/>
          <w:szCs w:val="24"/>
        </w:rPr>
        <w:t>Казахский экономический университет им. Т.</w:t>
      </w:r>
      <w:r w:rsidR="0051246A">
        <w:rPr>
          <w:rFonts w:ascii="Times New Roman" w:eastAsia="Calibri" w:hAnsi="Times New Roman" w:cs="Times New Roman"/>
          <w:b/>
          <w:i/>
          <w:sz w:val="24"/>
          <w:szCs w:val="24"/>
        </w:rPr>
        <w:t xml:space="preserve"> </w:t>
      </w:r>
      <w:r w:rsidR="00046EA0" w:rsidRPr="00046EA0">
        <w:rPr>
          <w:rFonts w:ascii="Times New Roman" w:eastAsia="Calibri" w:hAnsi="Times New Roman" w:cs="Times New Roman"/>
          <w:b/>
          <w:i/>
          <w:sz w:val="24"/>
          <w:szCs w:val="24"/>
        </w:rPr>
        <w:t>Рыскулова,</w:t>
      </w:r>
      <w:r w:rsidR="00B47C45">
        <w:rPr>
          <w:rFonts w:ascii="Times New Roman" w:eastAsia="Calibri" w:hAnsi="Times New Roman" w:cs="Times New Roman"/>
          <w:b/>
          <w:i/>
          <w:sz w:val="24"/>
          <w:szCs w:val="24"/>
        </w:rPr>
        <w:t xml:space="preserve"> </w:t>
      </w:r>
      <w:r w:rsidR="00046EA0" w:rsidRPr="00046EA0">
        <w:rPr>
          <w:rFonts w:ascii="Times New Roman" w:eastAsia="Calibri" w:hAnsi="Times New Roman" w:cs="Times New Roman"/>
          <w:b/>
          <w:i/>
          <w:sz w:val="24"/>
          <w:szCs w:val="24"/>
        </w:rPr>
        <w:t>«Маги</w:t>
      </w:r>
      <w:r w:rsidR="00046EA0">
        <w:rPr>
          <w:rFonts w:ascii="Times New Roman" w:eastAsia="Calibri" w:hAnsi="Times New Roman" w:cs="Times New Roman"/>
          <w:b/>
          <w:i/>
          <w:sz w:val="24"/>
          <w:szCs w:val="24"/>
        </w:rPr>
        <w:t>стр делового администрирования»;</w:t>
      </w:r>
    </w:p>
    <w:p w14:paraId="7B387FA2" w14:textId="77777777" w:rsidR="00E85A3C" w:rsidRPr="006F1976" w:rsidRDefault="00E85A3C" w:rsidP="00057BE5">
      <w:pPr>
        <w:spacing w:after="0" w:line="240" w:lineRule="auto"/>
        <w:ind w:firstLine="709"/>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 xml:space="preserve">все должности, занимаемые таким лицом в эмитенте и других организациях за последние пять лет и в настоящее время в хронологическом порядке, в том числе по совместительству: </w:t>
      </w:r>
    </w:p>
    <w:tbl>
      <w:tblPr>
        <w:tblStyle w:val="50"/>
        <w:tblW w:w="5000" w:type="pct"/>
        <w:tblInd w:w="0" w:type="dxa"/>
        <w:tblLook w:val="04A0" w:firstRow="1" w:lastRow="0" w:firstColumn="1" w:lastColumn="0" w:noHBand="0" w:noVBand="1"/>
      </w:tblPr>
      <w:tblGrid>
        <w:gridCol w:w="3429"/>
        <w:gridCol w:w="3110"/>
        <w:gridCol w:w="3088"/>
      </w:tblGrid>
      <w:tr w:rsidR="00E85A3C" w:rsidRPr="0057576C" w14:paraId="0947B82E" w14:textId="77777777" w:rsidTr="0037162F">
        <w:tc>
          <w:tcPr>
            <w:tcW w:w="1781" w:type="pct"/>
          </w:tcPr>
          <w:p w14:paraId="41856209" w14:textId="77777777" w:rsidR="00E85A3C" w:rsidRPr="006F1976" w:rsidRDefault="00E85A3C" w:rsidP="00057BE5">
            <w:pPr>
              <w:jc w:val="center"/>
              <w:rPr>
                <w:rFonts w:ascii="Times New Roman" w:eastAsia="Calibri" w:hAnsi="Times New Roman" w:cs="Times New Roman"/>
                <w:b/>
                <w:sz w:val="24"/>
                <w:szCs w:val="24"/>
              </w:rPr>
            </w:pPr>
            <w:r w:rsidRPr="006F1976">
              <w:rPr>
                <w:rFonts w:ascii="Times New Roman" w:eastAsia="Calibri" w:hAnsi="Times New Roman" w:cs="Times New Roman"/>
                <w:b/>
                <w:sz w:val="24"/>
                <w:szCs w:val="24"/>
              </w:rPr>
              <w:t>Период</w:t>
            </w:r>
          </w:p>
        </w:tc>
        <w:tc>
          <w:tcPr>
            <w:tcW w:w="1615" w:type="pct"/>
          </w:tcPr>
          <w:p w14:paraId="350EDA99" w14:textId="77777777" w:rsidR="00E85A3C" w:rsidRPr="006F1976" w:rsidRDefault="00E85A3C" w:rsidP="00057BE5">
            <w:pPr>
              <w:jc w:val="center"/>
              <w:rPr>
                <w:rFonts w:ascii="Times New Roman" w:eastAsia="Calibri" w:hAnsi="Times New Roman" w:cs="Times New Roman"/>
                <w:b/>
                <w:sz w:val="24"/>
                <w:szCs w:val="24"/>
              </w:rPr>
            </w:pPr>
            <w:r w:rsidRPr="006F1976">
              <w:rPr>
                <w:rFonts w:ascii="Times New Roman" w:eastAsia="Calibri" w:hAnsi="Times New Roman" w:cs="Times New Roman"/>
                <w:b/>
                <w:sz w:val="24"/>
                <w:szCs w:val="24"/>
              </w:rPr>
              <w:t>Организация</w:t>
            </w:r>
          </w:p>
        </w:tc>
        <w:tc>
          <w:tcPr>
            <w:tcW w:w="1604" w:type="pct"/>
          </w:tcPr>
          <w:p w14:paraId="15E4E591" w14:textId="77777777" w:rsidR="00E85A3C" w:rsidRPr="006F1976" w:rsidRDefault="00E85A3C" w:rsidP="00057BE5">
            <w:pPr>
              <w:jc w:val="center"/>
              <w:rPr>
                <w:rFonts w:ascii="Times New Roman" w:eastAsia="Calibri" w:hAnsi="Times New Roman" w:cs="Times New Roman"/>
                <w:b/>
                <w:sz w:val="24"/>
                <w:szCs w:val="24"/>
              </w:rPr>
            </w:pPr>
            <w:r w:rsidRPr="006F1976">
              <w:rPr>
                <w:rFonts w:ascii="Times New Roman" w:eastAsia="Calibri" w:hAnsi="Times New Roman" w:cs="Times New Roman"/>
                <w:b/>
                <w:sz w:val="24"/>
                <w:szCs w:val="24"/>
              </w:rPr>
              <w:t>Должность</w:t>
            </w:r>
          </w:p>
        </w:tc>
      </w:tr>
      <w:tr w:rsidR="0051246A" w:rsidRPr="0057576C" w14:paraId="33876D74" w14:textId="77777777" w:rsidTr="0037162F">
        <w:tc>
          <w:tcPr>
            <w:tcW w:w="1781" w:type="pct"/>
          </w:tcPr>
          <w:p w14:paraId="6B011145" w14:textId="082BEF71" w:rsidR="0051246A" w:rsidRPr="0057576C" w:rsidRDefault="0051246A" w:rsidP="00057BE5">
            <w:pPr>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Pr="0051246A">
              <w:rPr>
                <w:rFonts w:ascii="Times New Roman" w:eastAsia="Calibri" w:hAnsi="Times New Roman" w:cs="Times New Roman"/>
                <w:sz w:val="24"/>
                <w:szCs w:val="24"/>
              </w:rPr>
              <w:t xml:space="preserve"> 2014 года по 2015 год</w:t>
            </w:r>
          </w:p>
        </w:tc>
        <w:tc>
          <w:tcPr>
            <w:tcW w:w="1615" w:type="pct"/>
          </w:tcPr>
          <w:p w14:paraId="23008339" w14:textId="6D3C13C4" w:rsidR="0051246A" w:rsidRPr="00CF2453" w:rsidRDefault="0051246A" w:rsidP="00057BE5">
            <w:pPr>
              <w:jc w:val="both"/>
              <w:rPr>
                <w:rFonts w:ascii="Times New Roman" w:eastAsia="Calibri" w:hAnsi="Times New Roman" w:cs="Times New Roman"/>
                <w:sz w:val="24"/>
                <w:szCs w:val="24"/>
              </w:rPr>
            </w:pPr>
            <w:r w:rsidRPr="0051246A">
              <w:rPr>
                <w:rFonts w:ascii="Times New Roman" w:eastAsia="Calibri" w:hAnsi="Times New Roman" w:cs="Times New Roman"/>
                <w:sz w:val="24"/>
                <w:szCs w:val="24"/>
              </w:rPr>
              <w:t>АО «Жилищный строительный сберегательный банк Казахстана»</w:t>
            </w:r>
          </w:p>
        </w:tc>
        <w:tc>
          <w:tcPr>
            <w:tcW w:w="1604" w:type="pct"/>
          </w:tcPr>
          <w:p w14:paraId="65B6DE9F" w14:textId="0303B30A" w:rsidR="0051246A" w:rsidRPr="0057576C" w:rsidRDefault="0051246A" w:rsidP="00057BE5">
            <w:pPr>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Pr="0051246A">
              <w:rPr>
                <w:rFonts w:ascii="Times New Roman" w:eastAsia="Calibri" w:hAnsi="Times New Roman" w:cs="Times New Roman"/>
                <w:sz w:val="24"/>
                <w:szCs w:val="24"/>
              </w:rPr>
              <w:t>правляющий директор АО «Жилищный строительный сберегательный банк Казахстана»</w:t>
            </w:r>
          </w:p>
        </w:tc>
      </w:tr>
      <w:tr w:rsidR="0051246A" w:rsidRPr="0057576C" w14:paraId="56C3C27E" w14:textId="77777777" w:rsidTr="0037162F">
        <w:tc>
          <w:tcPr>
            <w:tcW w:w="1781" w:type="pct"/>
          </w:tcPr>
          <w:p w14:paraId="1503600F" w14:textId="0441780D" w:rsidR="0051246A" w:rsidRDefault="0051246A" w:rsidP="00057BE5">
            <w:pPr>
              <w:jc w:val="both"/>
              <w:rPr>
                <w:rFonts w:ascii="Times New Roman" w:eastAsia="Calibri" w:hAnsi="Times New Roman" w:cs="Times New Roman"/>
                <w:sz w:val="24"/>
                <w:szCs w:val="24"/>
              </w:rPr>
            </w:pPr>
            <w:r w:rsidRPr="00CF2453">
              <w:rPr>
                <w:rFonts w:ascii="Times New Roman" w:eastAsia="Calibri" w:hAnsi="Times New Roman" w:cs="Times New Roman"/>
                <w:sz w:val="24"/>
                <w:szCs w:val="24"/>
              </w:rPr>
              <w:t>С июля 2015 года по ноябрь 2015 года</w:t>
            </w:r>
          </w:p>
        </w:tc>
        <w:tc>
          <w:tcPr>
            <w:tcW w:w="1615" w:type="pct"/>
          </w:tcPr>
          <w:p w14:paraId="3D88E043" w14:textId="6CBB0FB3" w:rsidR="0051246A" w:rsidRPr="0051246A" w:rsidRDefault="0051246A" w:rsidP="00057BE5">
            <w:pPr>
              <w:jc w:val="both"/>
              <w:rPr>
                <w:rFonts w:ascii="Times New Roman" w:eastAsia="Calibri" w:hAnsi="Times New Roman" w:cs="Times New Roman"/>
                <w:sz w:val="24"/>
                <w:szCs w:val="24"/>
              </w:rPr>
            </w:pPr>
            <w:r w:rsidRPr="00CF2453">
              <w:rPr>
                <w:rFonts w:ascii="Times New Roman" w:eastAsia="Calibri" w:hAnsi="Times New Roman" w:cs="Times New Roman"/>
                <w:sz w:val="24"/>
                <w:szCs w:val="24"/>
              </w:rPr>
              <w:t>Администрация Президента Республики Казахстан</w:t>
            </w:r>
          </w:p>
        </w:tc>
        <w:tc>
          <w:tcPr>
            <w:tcW w:w="1604" w:type="pct"/>
          </w:tcPr>
          <w:p w14:paraId="471048C0" w14:textId="7AC72825" w:rsidR="0051246A" w:rsidRDefault="0051246A" w:rsidP="00057BE5">
            <w:pPr>
              <w:jc w:val="both"/>
              <w:rPr>
                <w:rFonts w:ascii="Times New Roman" w:eastAsia="Calibri" w:hAnsi="Times New Roman" w:cs="Times New Roman"/>
                <w:sz w:val="24"/>
                <w:szCs w:val="24"/>
              </w:rPr>
            </w:pPr>
            <w:r>
              <w:rPr>
                <w:rFonts w:ascii="Times New Roman" w:eastAsia="Calibri" w:hAnsi="Times New Roman" w:cs="Times New Roman"/>
                <w:sz w:val="24"/>
                <w:szCs w:val="24"/>
              </w:rPr>
              <w:t>З</w:t>
            </w:r>
            <w:r w:rsidRPr="00CF2453">
              <w:rPr>
                <w:rFonts w:ascii="Times New Roman" w:eastAsia="Calibri" w:hAnsi="Times New Roman" w:cs="Times New Roman"/>
                <w:sz w:val="24"/>
                <w:szCs w:val="24"/>
              </w:rPr>
              <w:t>аместитель заведующего Отделом социально-экономического мониторинга Администрации Президента  Республики Казахстан</w:t>
            </w:r>
          </w:p>
        </w:tc>
      </w:tr>
      <w:tr w:rsidR="00E85A3C" w:rsidRPr="0057576C" w14:paraId="4B0EEBC8" w14:textId="77777777" w:rsidTr="0037162F">
        <w:tc>
          <w:tcPr>
            <w:tcW w:w="1781" w:type="pct"/>
          </w:tcPr>
          <w:p w14:paraId="1F7181A6" w14:textId="3D0EA7E6" w:rsidR="00E85A3C" w:rsidRPr="006F1976" w:rsidRDefault="00E85A3C" w:rsidP="00057BE5">
            <w:pPr>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 xml:space="preserve">С </w:t>
            </w:r>
            <w:r w:rsidR="000F27E3" w:rsidRPr="000F27E3">
              <w:rPr>
                <w:rFonts w:ascii="Times New Roman" w:eastAsia="Calibri" w:hAnsi="Times New Roman" w:cs="Times New Roman"/>
                <w:sz w:val="24"/>
                <w:szCs w:val="24"/>
              </w:rPr>
              <w:t>ноября 2015 года по ноябрь 2018 года</w:t>
            </w:r>
          </w:p>
        </w:tc>
        <w:tc>
          <w:tcPr>
            <w:tcW w:w="1615" w:type="pct"/>
          </w:tcPr>
          <w:p w14:paraId="608774FA" w14:textId="764BF3EC" w:rsidR="00E85A3C" w:rsidRPr="006F1976" w:rsidRDefault="000F27E3" w:rsidP="00057BE5">
            <w:pPr>
              <w:jc w:val="both"/>
              <w:rPr>
                <w:rFonts w:ascii="Times New Roman" w:eastAsia="Calibri" w:hAnsi="Times New Roman" w:cs="Times New Roman"/>
                <w:sz w:val="24"/>
                <w:szCs w:val="24"/>
              </w:rPr>
            </w:pPr>
            <w:r w:rsidRPr="00CF2453">
              <w:rPr>
                <w:rFonts w:ascii="Times New Roman" w:eastAsia="Calibri" w:hAnsi="Times New Roman" w:cs="Times New Roman"/>
                <w:sz w:val="24"/>
                <w:szCs w:val="24"/>
              </w:rPr>
              <w:t>Администрация Президента Республики Казахстан</w:t>
            </w:r>
          </w:p>
        </w:tc>
        <w:tc>
          <w:tcPr>
            <w:tcW w:w="1604" w:type="pct"/>
          </w:tcPr>
          <w:p w14:paraId="479F7316" w14:textId="5AD9AEFA" w:rsidR="00E85A3C" w:rsidRPr="006F1976" w:rsidRDefault="000F27E3" w:rsidP="00057BE5">
            <w:pPr>
              <w:jc w:val="both"/>
              <w:rPr>
                <w:rFonts w:ascii="Times New Roman" w:eastAsia="Calibri" w:hAnsi="Times New Roman" w:cs="Times New Roman"/>
                <w:sz w:val="24"/>
                <w:szCs w:val="24"/>
              </w:rPr>
            </w:pPr>
            <w:r>
              <w:rPr>
                <w:rFonts w:ascii="Times New Roman" w:eastAsia="Calibri" w:hAnsi="Times New Roman" w:cs="Times New Roman"/>
                <w:sz w:val="24"/>
                <w:szCs w:val="24"/>
              </w:rPr>
              <w:t>З</w:t>
            </w:r>
            <w:r w:rsidRPr="000F27E3">
              <w:rPr>
                <w:rFonts w:ascii="Times New Roman" w:eastAsia="Calibri" w:hAnsi="Times New Roman" w:cs="Times New Roman"/>
                <w:sz w:val="24"/>
                <w:szCs w:val="24"/>
              </w:rPr>
              <w:t xml:space="preserve">аведующий Отделом социально-экономического мониторинга Администрации </w:t>
            </w:r>
            <w:r>
              <w:rPr>
                <w:rFonts w:ascii="Times New Roman" w:eastAsia="Calibri" w:hAnsi="Times New Roman" w:cs="Times New Roman"/>
                <w:sz w:val="24"/>
                <w:szCs w:val="24"/>
              </w:rPr>
              <w:t>Президента Республики Казахстан</w:t>
            </w:r>
          </w:p>
        </w:tc>
      </w:tr>
      <w:tr w:rsidR="00E85A3C" w:rsidRPr="0057576C" w14:paraId="0921946E" w14:textId="77777777" w:rsidTr="0037162F">
        <w:tc>
          <w:tcPr>
            <w:tcW w:w="1781" w:type="pct"/>
          </w:tcPr>
          <w:p w14:paraId="16783ADD" w14:textId="7F515958" w:rsidR="00E85A3C" w:rsidRPr="006F1976" w:rsidRDefault="00E85A3C" w:rsidP="00057BE5">
            <w:pPr>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 xml:space="preserve">С </w:t>
            </w:r>
            <w:r w:rsidR="000F27E3" w:rsidRPr="000F27E3">
              <w:rPr>
                <w:rFonts w:ascii="Times New Roman" w:eastAsia="Calibri" w:hAnsi="Times New Roman" w:cs="Times New Roman"/>
                <w:sz w:val="24"/>
                <w:szCs w:val="24"/>
              </w:rPr>
              <w:t>ноября 2018 года по март 2019 года</w:t>
            </w:r>
          </w:p>
        </w:tc>
        <w:tc>
          <w:tcPr>
            <w:tcW w:w="1615" w:type="pct"/>
          </w:tcPr>
          <w:p w14:paraId="1D76F6A5" w14:textId="77777777" w:rsidR="00E85A3C" w:rsidRPr="006F1976" w:rsidRDefault="00E85A3C" w:rsidP="00057BE5">
            <w:pPr>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Администрация Президента Республики Казахстан</w:t>
            </w:r>
          </w:p>
        </w:tc>
        <w:tc>
          <w:tcPr>
            <w:tcW w:w="1604" w:type="pct"/>
          </w:tcPr>
          <w:p w14:paraId="77E0E0EB" w14:textId="77777777" w:rsidR="00E85A3C" w:rsidRPr="006F1976" w:rsidRDefault="00E85A3C" w:rsidP="00057BE5">
            <w:pPr>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Помощник Президента Республики Казахстан</w:t>
            </w:r>
          </w:p>
        </w:tc>
      </w:tr>
      <w:tr w:rsidR="00E85A3C" w:rsidRPr="0057576C" w14:paraId="09862D6B" w14:textId="77777777" w:rsidTr="0037162F">
        <w:tc>
          <w:tcPr>
            <w:tcW w:w="1781" w:type="pct"/>
          </w:tcPr>
          <w:p w14:paraId="6847F994" w14:textId="1C14FF7E" w:rsidR="00E85A3C" w:rsidRPr="006F1976" w:rsidRDefault="00E85A3C" w:rsidP="00057BE5">
            <w:pPr>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С</w:t>
            </w:r>
            <w:r w:rsidR="000F27E3" w:rsidRPr="000F27E3">
              <w:rPr>
                <w:rFonts w:ascii="Times New Roman" w:eastAsia="Calibri" w:hAnsi="Times New Roman" w:cs="Times New Roman"/>
                <w:sz w:val="24"/>
                <w:szCs w:val="24"/>
              </w:rPr>
              <w:t xml:space="preserve"> марта 2019</w:t>
            </w:r>
            <w:r w:rsidR="000F27E3" w:rsidRPr="0057576C" w:rsidDel="000F27E3">
              <w:rPr>
                <w:rFonts w:ascii="Times New Roman" w:eastAsia="Calibri" w:hAnsi="Times New Roman" w:cs="Times New Roman"/>
                <w:sz w:val="24"/>
                <w:szCs w:val="24"/>
              </w:rPr>
              <w:t xml:space="preserve"> </w:t>
            </w:r>
            <w:r w:rsidR="00220165">
              <w:rPr>
                <w:rFonts w:ascii="Times New Roman" w:eastAsia="Calibri" w:hAnsi="Times New Roman" w:cs="Times New Roman"/>
                <w:sz w:val="24"/>
                <w:szCs w:val="24"/>
              </w:rPr>
              <w:t xml:space="preserve">года </w:t>
            </w:r>
            <w:r w:rsidRPr="006F1976">
              <w:rPr>
                <w:rFonts w:ascii="Times New Roman" w:eastAsia="Calibri" w:hAnsi="Times New Roman" w:cs="Times New Roman"/>
                <w:sz w:val="24"/>
                <w:szCs w:val="24"/>
              </w:rPr>
              <w:t xml:space="preserve">по </w:t>
            </w:r>
            <w:r w:rsidR="000F27E3">
              <w:rPr>
                <w:rFonts w:ascii="Times New Roman" w:eastAsia="Calibri" w:hAnsi="Times New Roman" w:cs="Times New Roman"/>
                <w:sz w:val="24"/>
                <w:szCs w:val="24"/>
              </w:rPr>
              <w:t>май</w:t>
            </w:r>
            <w:r w:rsidR="000F27E3" w:rsidRPr="006F1976">
              <w:rPr>
                <w:rFonts w:ascii="Times New Roman" w:eastAsia="Calibri" w:hAnsi="Times New Roman" w:cs="Times New Roman"/>
                <w:sz w:val="24"/>
                <w:szCs w:val="24"/>
              </w:rPr>
              <w:t xml:space="preserve"> 20</w:t>
            </w:r>
            <w:r w:rsidR="000F27E3">
              <w:rPr>
                <w:rFonts w:ascii="Times New Roman" w:eastAsia="Calibri" w:hAnsi="Times New Roman" w:cs="Times New Roman"/>
                <w:sz w:val="24"/>
                <w:szCs w:val="24"/>
              </w:rPr>
              <w:t>20</w:t>
            </w:r>
            <w:r w:rsidR="000F27E3" w:rsidRPr="006F1976">
              <w:rPr>
                <w:rFonts w:ascii="Times New Roman" w:eastAsia="Calibri" w:hAnsi="Times New Roman" w:cs="Times New Roman"/>
                <w:sz w:val="24"/>
                <w:szCs w:val="24"/>
              </w:rPr>
              <w:t xml:space="preserve"> </w:t>
            </w:r>
            <w:r w:rsidRPr="006F1976">
              <w:rPr>
                <w:rFonts w:ascii="Times New Roman" w:eastAsia="Calibri" w:hAnsi="Times New Roman" w:cs="Times New Roman"/>
                <w:sz w:val="24"/>
                <w:szCs w:val="24"/>
              </w:rPr>
              <w:t>года</w:t>
            </w:r>
          </w:p>
        </w:tc>
        <w:tc>
          <w:tcPr>
            <w:tcW w:w="1615" w:type="pct"/>
          </w:tcPr>
          <w:p w14:paraId="2C3E96C2" w14:textId="77777777" w:rsidR="00E85A3C" w:rsidRPr="006F1976" w:rsidRDefault="00E85A3C" w:rsidP="00057BE5">
            <w:pPr>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Министерство финансов Республики Казахстан</w:t>
            </w:r>
          </w:p>
        </w:tc>
        <w:tc>
          <w:tcPr>
            <w:tcW w:w="1604" w:type="pct"/>
          </w:tcPr>
          <w:p w14:paraId="782A4AD8" w14:textId="6C9A4A4E" w:rsidR="00E85A3C" w:rsidRPr="006F1976" w:rsidRDefault="000F27E3" w:rsidP="00057BE5">
            <w:pPr>
              <w:jc w:val="both"/>
            </w:pPr>
            <w:r w:rsidRPr="006F1976">
              <w:rPr>
                <w:rFonts w:ascii="Times New Roman" w:eastAsia="Calibri" w:hAnsi="Times New Roman" w:cs="Times New Roman"/>
                <w:sz w:val="24"/>
                <w:szCs w:val="24"/>
              </w:rPr>
              <w:t xml:space="preserve">Ответственный секретарь </w:t>
            </w:r>
            <w:r w:rsidR="00E85A3C" w:rsidRPr="006F1976">
              <w:rPr>
                <w:rFonts w:ascii="Times New Roman" w:eastAsia="Calibri" w:hAnsi="Times New Roman" w:cs="Times New Roman"/>
                <w:sz w:val="24"/>
                <w:szCs w:val="24"/>
              </w:rPr>
              <w:t>Минист</w:t>
            </w:r>
            <w:r>
              <w:rPr>
                <w:rFonts w:ascii="Times New Roman" w:eastAsia="Calibri" w:hAnsi="Times New Roman" w:cs="Times New Roman"/>
                <w:sz w:val="24"/>
                <w:szCs w:val="24"/>
              </w:rPr>
              <w:t>ерства</w:t>
            </w:r>
            <w:r w:rsidR="00E85A3C" w:rsidRPr="006F1976">
              <w:rPr>
                <w:rFonts w:ascii="Times New Roman" w:eastAsia="Calibri" w:hAnsi="Times New Roman" w:cs="Times New Roman"/>
                <w:sz w:val="24"/>
                <w:szCs w:val="24"/>
              </w:rPr>
              <w:t xml:space="preserve"> финансов Республики Казахстан</w:t>
            </w:r>
          </w:p>
        </w:tc>
      </w:tr>
      <w:tr w:rsidR="00E85A3C" w:rsidRPr="0057576C" w14:paraId="559A796F" w14:textId="77777777" w:rsidTr="006F1976">
        <w:tc>
          <w:tcPr>
            <w:tcW w:w="1781" w:type="pct"/>
          </w:tcPr>
          <w:p w14:paraId="7B89198A" w14:textId="0034E30A" w:rsidR="00E85A3C" w:rsidRPr="006F1976" w:rsidRDefault="00E85A3C" w:rsidP="00057BE5">
            <w:pPr>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 xml:space="preserve">С </w:t>
            </w:r>
            <w:r w:rsidR="00046EA0" w:rsidRPr="006F1976">
              <w:rPr>
                <w:rFonts w:ascii="Times New Roman" w:eastAsia="Calibri" w:hAnsi="Times New Roman" w:cs="Times New Roman"/>
                <w:sz w:val="24"/>
                <w:szCs w:val="24"/>
              </w:rPr>
              <w:t xml:space="preserve">мая 2020 </w:t>
            </w:r>
            <w:r w:rsidRPr="006F1976">
              <w:rPr>
                <w:rFonts w:ascii="Times New Roman" w:eastAsia="Calibri" w:hAnsi="Times New Roman" w:cs="Times New Roman"/>
                <w:sz w:val="24"/>
                <w:szCs w:val="24"/>
              </w:rPr>
              <w:t>года</w:t>
            </w:r>
          </w:p>
        </w:tc>
        <w:tc>
          <w:tcPr>
            <w:tcW w:w="1615" w:type="pct"/>
          </w:tcPr>
          <w:p w14:paraId="55A5C1C3" w14:textId="77777777" w:rsidR="00E85A3C" w:rsidRPr="006F1976" w:rsidRDefault="00E85A3C" w:rsidP="00057BE5">
            <w:pPr>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Министерство финансов Республики Казахстан</w:t>
            </w:r>
          </w:p>
        </w:tc>
        <w:tc>
          <w:tcPr>
            <w:tcW w:w="1604" w:type="pct"/>
            <w:shd w:val="clear" w:color="auto" w:fill="auto"/>
          </w:tcPr>
          <w:p w14:paraId="53072EC7" w14:textId="1BF750B6" w:rsidR="00E85A3C" w:rsidRPr="006F1976" w:rsidRDefault="00E85A3C" w:rsidP="00057BE5">
            <w:pPr>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Министр финансов Республики Казахстан</w:t>
            </w:r>
          </w:p>
        </w:tc>
      </w:tr>
    </w:tbl>
    <w:p w14:paraId="22317BCE" w14:textId="77777777" w:rsidR="00E85A3C" w:rsidRPr="006F1976" w:rsidRDefault="00E85A3C" w:rsidP="00057BE5">
      <w:pPr>
        <w:spacing w:after="0" w:line="240" w:lineRule="auto"/>
        <w:ind w:firstLine="709"/>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 xml:space="preserve">доли участия такого лица в уставном капитале эмитента, являющегося коммерческой организацией, а для эмитентов, являющихся акционерными обществами, - также доли принадлежащих такому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w:t>
      </w:r>
      <w:r w:rsidRPr="006F1976">
        <w:rPr>
          <w:rFonts w:ascii="Times New Roman" w:eastAsia="Calibri" w:hAnsi="Times New Roman" w:cs="Times New Roman"/>
          <w:b/>
          <w:i/>
          <w:iCs/>
          <w:sz w:val="24"/>
          <w:szCs w:val="24"/>
        </w:rPr>
        <w:t>не применимо</w:t>
      </w:r>
      <w:r w:rsidRPr="006F1976">
        <w:rPr>
          <w:rFonts w:ascii="Times New Roman" w:eastAsia="Calibri" w:hAnsi="Times New Roman" w:cs="Times New Roman"/>
          <w:sz w:val="24"/>
          <w:szCs w:val="24"/>
        </w:rPr>
        <w:t xml:space="preserve">; </w:t>
      </w:r>
    </w:p>
    <w:p w14:paraId="5F675790" w14:textId="28D662A9" w:rsidR="00E85A3C" w:rsidRPr="006F1976" w:rsidRDefault="00E85A3C" w:rsidP="00057BE5">
      <w:pPr>
        <w:spacing w:after="0" w:line="240" w:lineRule="auto"/>
        <w:ind w:firstLine="709"/>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 xml:space="preserve">доли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такому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w:t>
      </w:r>
      <w:r w:rsidRPr="006F1976">
        <w:rPr>
          <w:rFonts w:ascii="Times New Roman" w:eastAsia="Calibri" w:hAnsi="Times New Roman" w:cs="Times New Roman"/>
          <w:b/>
          <w:i/>
          <w:iCs/>
          <w:sz w:val="24"/>
          <w:szCs w:val="24"/>
        </w:rPr>
        <w:t>не применимо</w:t>
      </w:r>
      <w:r w:rsidRPr="006F1976">
        <w:rPr>
          <w:rFonts w:ascii="Times New Roman" w:eastAsia="Calibri" w:hAnsi="Times New Roman" w:cs="Times New Roman"/>
          <w:sz w:val="24"/>
          <w:szCs w:val="24"/>
        </w:rPr>
        <w:t xml:space="preserve">; </w:t>
      </w:r>
    </w:p>
    <w:p w14:paraId="1A972554" w14:textId="77777777" w:rsidR="00E85A3C" w:rsidRPr="006F1976" w:rsidRDefault="00E85A3C" w:rsidP="00057BE5">
      <w:pPr>
        <w:spacing w:after="0" w:line="240" w:lineRule="auto"/>
        <w:ind w:firstLine="709"/>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6F1976">
        <w:rPr>
          <w:rFonts w:ascii="Times New Roman" w:eastAsia="Calibri" w:hAnsi="Times New Roman" w:cs="Times New Roman"/>
          <w:b/>
          <w:i/>
          <w:iCs/>
          <w:sz w:val="24"/>
          <w:szCs w:val="24"/>
        </w:rPr>
        <w:t>отсутствуют</w:t>
      </w:r>
      <w:r w:rsidRPr="006F1976">
        <w:rPr>
          <w:rFonts w:ascii="Times New Roman" w:eastAsia="Calibri" w:hAnsi="Times New Roman" w:cs="Times New Roman"/>
          <w:sz w:val="24"/>
          <w:szCs w:val="24"/>
        </w:rPr>
        <w:t xml:space="preserve">; </w:t>
      </w:r>
    </w:p>
    <w:p w14:paraId="337FBE37" w14:textId="77777777" w:rsidR="00E85A3C" w:rsidRPr="006F1976" w:rsidRDefault="00E85A3C" w:rsidP="00057BE5">
      <w:pPr>
        <w:spacing w:after="0" w:line="240" w:lineRule="auto"/>
        <w:ind w:firstLine="709"/>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6F1976">
        <w:rPr>
          <w:rFonts w:ascii="Times New Roman" w:eastAsia="Calibri" w:hAnsi="Times New Roman" w:cs="Times New Roman"/>
          <w:b/>
          <w:i/>
          <w:iCs/>
          <w:sz w:val="24"/>
          <w:szCs w:val="24"/>
        </w:rPr>
        <w:t>не привлекался</w:t>
      </w:r>
      <w:r w:rsidRPr="006F1976">
        <w:rPr>
          <w:rFonts w:ascii="Times New Roman" w:eastAsia="Calibri" w:hAnsi="Times New Roman" w:cs="Times New Roman"/>
          <w:sz w:val="24"/>
          <w:szCs w:val="24"/>
        </w:rPr>
        <w:t xml:space="preserve">; </w:t>
      </w:r>
    </w:p>
    <w:p w14:paraId="46B10E62"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6F1976">
        <w:rPr>
          <w:rFonts w:ascii="Times New Roman" w:eastAsia="Calibri" w:hAnsi="Times New Roman" w:cs="Times New Roman"/>
          <w:sz w:val="24"/>
          <w:szCs w:val="24"/>
        </w:rPr>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6F1976">
        <w:rPr>
          <w:rFonts w:ascii="Times New Roman" w:eastAsia="Calibri" w:hAnsi="Times New Roman" w:cs="Times New Roman"/>
          <w:b/>
          <w:i/>
          <w:iCs/>
          <w:sz w:val="24"/>
          <w:szCs w:val="24"/>
        </w:rPr>
        <w:t>не занимал</w:t>
      </w:r>
      <w:r w:rsidRPr="006F1976">
        <w:rPr>
          <w:rFonts w:ascii="Times New Roman" w:eastAsia="Calibri" w:hAnsi="Times New Roman" w:cs="Times New Roman"/>
          <w:sz w:val="24"/>
          <w:szCs w:val="24"/>
        </w:rPr>
        <w:t>;</w:t>
      </w:r>
      <w:r w:rsidRPr="005C53F5">
        <w:rPr>
          <w:rFonts w:ascii="Times New Roman" w:eastAsia="Calibri" w:hAnsi="Times New Roman" w:cs="Times New Roman"/>
          <w:sz w:val="24"/>
          <w:szCs w:val="24"/>
        </w:rPr>
        <w:t xml:space="preserve"> </w:t>
      </w:r>
    </w:p>
    <w:p w14:paraId="1181AD9B" w14:textId="2094A36F"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2) фамилия, имя, отчество: </w:t>
      </w:r>
      <w:r w:rsidRPr="005C53F5">
        <w:rPr>
          <w:rFonts w:ascii="Times New Roman" w:eastAsia="Calibri" w:hAnsi="Times New Roman" w:cs="Times New Roman"/>
          <w:b/>
          <w:i/>
          <w:color w:val="000000"/>
          <w:sz w:val="24"/>
          <w:szCs w:val="24"/>
          <w:lang w:val="kk-KZ"/>
        </w:rPr>
        <w:t>Шолпанкулов Берик Шолпанкулович</w:t>
      </w:r>
      <w:r w:rsidRPr="005C53F5">
        <w:rPr>
          <w:rFonts w:ascii="Times New Roman" w:eastAsia="Calibri" w:hAnsi="Times New Roman" w:cs="Times New Roman"/>
          <w:b/>
          <w:i/>
          <w:sz w:val="24"/>
          <w:szCs w:val="24"/>
        </w:rPr>
        <w:t>;</w:t>
      </w:r>
      <w:r w:rsidRPr="005C53F5">
        <w:rPr>
          <w:rFonts w:ascii="Times New Roman" w:eastAsia="Calibri" w:hAnsi="Times New Roman" w:cs="Times New Roman"/>
          <w:sz w:val="24"/>
          <w:szCs w:val="24"/>
        </w:rPr>
        <w:t xml:space="preserve"> </w:t>
      </w:r>
    </w:p>
    <w:p w14:paraId="36EDCB48"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год рождения: </w:t>
      </w:r>
      <w:r w:rsidRPr="005C53F5">
        <w:rPr>
          <w:rFonts w:ascii="Times New Roman" w:eastAsia="Calibri" w:hAnsi="Times New Roman" w:cs="Times New Roman"/>
          <w:b/>
          <w:i/>
          <w:iCs/>
          <w:sz w:val="24"/>
          <w:szCs w:val="24"/>
        </w:rPr>
        <w:t>1976 год</w:t>
      </w:r>
      <w:r w:rsidRPr="005C53F5">
        <w:rPr>
          <w:rFonts w:ascii="Times New Roman" w:eastAsia="Calibri" w:hAnsi="Times New Roman" w:cs="Times New Roman"/>
          <w:sz w:val="24"/>
          <w:szCs w:val="24"/>
        </w:rPr>
        <w:t xml:space="preserve">; </w:t>
      </w:r>
    </w:p>
    <w:p w14:paraId="5B9C56EE" w14:textId="134FC883"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сведения об образовании: </w:t>
      </w:r>
      <w:r w:rsidRPr="005C53F5">
        <w:rPr>
          <w:rFonts w:ascii="Times New Roman" w:eastAsia="Calibri" w:hAnsi="Times New Roman" w:cs="Times New Roman"/>
          <w:b/>
          <w:i/>
          <w:iCs/>
          <w:sz w:val="24"/>
          <w:szCs w:val="24"/>
        </w:rPr>
        <w:t>высшее</w:t>
      </w:r>
      <w:r w:rsidR="001A075A" w:rsidRPr="005C53F5">
        <w:rPr>
          <w:rFonts w:ascii="Times New Roman" w:eastAsia="Calibri" w:hAnsi="Times New Roman" w:cs="Times New Roman"/>
          <w:b/>
          <w:i/>
          <w:iCs/>
          <w:sz w:val="24"/>
          <w:szCs w:val="24"/>
        </w:rPr>
        <w:t>,</w:t>
      </w:r>
      <w:r w:rsidRPr="005C53F5">
        <w:rPr>
          <w:rFonts w:ascii="Times New Roman" w:eastAsia="Calibri" w:hAnsi="Times New Roman" w:cs="Times New Roman"/>
          <w:b/>
          <w:i/>
          <w:iCs/>
          <w:sz w:val="24"/>
          <w:szCs w:val="24"/>
        </w:rPr>
        <w:t xml:space="preserve"> </w:t>
      </w:r>
      <w:r w:rsidR="001A075A" w:rsidRPr="005C53F5">
        <w:rPr>
          <w:rFonts w:ascii="Times New Roman" w:eastAsia="Calibri" w:hAnsi="Times New Roman" w:cs="Times New Roman"/>
          <w:b/>
          <w:i/>
          <w:iCs/>
          <w:sz w:val="24"/>
          <w:szCs w:val="24"/>
        </w:rPr>
        <w:t xml:space="preserve">в </w:t>
      </w:r>
      <w:r w:rsidRPr="005C53F5">
        <w:rPr>
          <w:rFonts w:ascii="Times New Roman" w:eastAsia="Calibri" w:hAnsi="Times New Roman" w:cs="Times New Roman"/>
          <w:b/>
          <w:i/>
          <w:iCs/>
          <w:sz w:val="24"/>
          <w:szCs w:val="24"/>
        </w:rPr>
        <w:t>1996 году окончил Казахский государственный аграрный университет по специальности «Бухгалтерский учет, контроль и АХД»</w:t>
      </w:r>
      <w:r w:rsidRPr="005C53F5">
        <w:rPr>
          <w:rFonts w:ascii="Times New Roman" w:eastAsia="Calibri" w:hAnsi="Times New Roman" w:cs="Times New Roman"/>
          <w:sz w:val="24"/>
          <w:szCs w:val="24"/>
        </w:rPr>
        <w:t>;</w:t>
      </w:r>
    </w:p>
    <w:p w14:paraId="17BFD722"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все должности, занимаемые таким лицом в эмитенте и других организациях за последние пять лет и в настоящее время в хронологическом порядке, в том числе по совместительству:</w:t>
      </w:r>
    </w:p>
    <w:tbl>
      <w:tblPr>
        <w:tblStyle w:val="50"/>
        <w:tblW w:w="5000" w:type="pct"/>
        <w:tblInd w:w="0" w:type="dxa"/>
        <w:tblLook w:val="04A0" w:firstRow="1" w:lastRow="0" w:firstColumn="1" w:lastColumn="0" w:noHBand="0" w:noVBand="1"/>
      </w:tblPr>
      <w:tblGrid>
        <w:gridCol w:w="3381"/>
        <w:gridCol w:w="3061"/>
        <w:gridCol w:w="3185"/>
      </w:tblGrid>
      <w:tr w:rsidR="00E85A3C" w:rsidRPr="005C53F5" w14:paraId="05D8CB25" w14:textId="77777777" w:rsidTr="0037162F">
        <w:tc>
          <w:tcPr>
            <w:tcW w:w="1756" w:type="pct"/>
          </w:tcPr>
          <w:p w14:paraId="35ACF1B1"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Период</w:t>
            </w:r>
          </w:p>
        </w:tc>
        <w:tc>
          <w:tcPr>
            <w:tcW w:w="1590" w:type="pct"/>
          </w:tcPr>
          <w:p w14:paraId="46C0F1EF"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Организация</w:t>
            </w:r>
          </w:p>
        </w:tc>
        <w:tc>
          <w:tcPr>
            <w:tcW w:w="1654" w:type="pct"/>
          </w:tcPr>
          <w:p w14:paraId="730E4778"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Должность</w:t>
            </w:r>
          </w:p>
        </w:tc>
      </w:tr>
      <w:tr w:rsidR="00E85A3C" w:rsidRPr="005C53F5" w14:paraId="0187CADA" w14:textId="77777777" w:rsidTr="0037162F">
        <w:tc>
          <w:tcPr>
            <w:tcW w:w="1756" w:type="pct"/>
          </w:tcPr>
          <w:p w14:paraId="68F60A5A" w14:textId="0C0B7797" w:rsidR="00E85A3C" w:rsidRPr="005C53F5" w:rsidRDefault="00E85A3C" w:rsidP="00057BE5">
            <w:pPr>
              <w:jc w:val="both"/>
              <w:rPr>
                <w:rFonts w:ascii="Times New Roman" w:eastAsia="Calibri" w:hAnsi="Times New Roman" w:cs="Times New Roman"/>
                <w:sz w:val="24"/>
                <w:szCs w:val="24"/>
              </w:rPr>
            </w:pPr>
            <w:r w:rsidRPr="005C53F5">
              <w:rPr>
                <w:rFonts w:ascii="Times New Roman" w:hAnsi="Times New Roman" w:cs="Times New Roman"/>
                <w:color w:val="000000"/>
                <w:sz w:val="24"/>
                <w:szCs w:val="24"/>
                <w:lang w:val="kk-KZ"/>
              </w:rPr>
              <w:t>С декабря </w:t>
            </w:r>
            <w:r w:rsidRPr="005C53F5">
              <w:rPr>
                <w:rFonts w:ascii="Times New Roman" w:hAnsi="Times New Roman" w:cs="Times New Roman"/>
                <w:sz w:val="24"/>
                <w:szCs w:val="24"/>
              </w:rPr>
              <w:t>2008 г</w:t>
            </w:r>
            <w:r w:rsidR="001A075A" w:rsidRPr="005C53F5">
              <w:rPr>
                <w:rFonts w:ascii="Times New Roman" w:hAnsi="Times New Roman" w:cs="Times New Roman"/>
                <w:sz w:val="24"/>
                <w:szCs w:val="24"/>
              </w:rPr>
              <w:t>ода</w:t>
            </w:r>
            <w:r w:rsidRPr="005C53F5">
              <w:rPr>
                <w:rFonts w:ascii="Times New Roman" w:hAnsi="Times New Roman" w:cs="Times New Roman"/>
                <w:sz w:val="24"/>
                <w:szCs w:val="24"/>
              </w:rPr>
              <w:t xml:space="preserve"> по июнь 2014 г</w:t>
            </w:r>
            <w:r w:rsidR="001A075A" w:rsidRPr="005C53F5">
              <w:rPr>
                <w:rFonts w:ascii="Times New Roman" w:hAnsi="Times New Roman" w:cs="Times New Roman"/>
                <w:sz w:val="24"/>
                <w:szCs w:val="24"/>
              </w:rPr>
              <w:t>ода</w:t>
            </w:r>
          </w:p>
        </w:tc>
        <w:tc>
          <w:tcPr>
            <w:tcW w:w="1590" w:type="pct"/>
          </w:tcPr>
          <w:p w14:paraId="41F81C93" w14:textId="77777777" w:rsidR="00E85A3C" w:rsidRPr="005C53F5" w:rsidRDefault="00E85A3C" w:rsidP="00057BE5">
            <w:pPr>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Министерство финансов </w:t>
            </w:r>
            <w:r w:rsidRPr="005C53F5">
              <w:rPr>
                <w:rFonts w:ascii="Times New Roman" w:hAnsi="Times New Roman" w:cs="Times New Roman"/>
                <w:color w:val="000000"/>
                <w:sz w:val="24"/>
                <w:szCs w:val="24"/>
                <w:lang w:val="kk-KZ"/>
              </w:rPr>
              <w:t>Республики Казахстан</w:t>
            </w:r>
          </w:p>
        </w:tc>
        <w:tc>
          <w:tcPr>
            <w:tcW w:w="1654" w:type="pct"/>
          </w:tcPr>
          <w:p w14:paraId="666D133C" w14:textId="77777777" w:rsidR="00E85A3C" w:rsidRPr="005C53F5" w:rsidRDefault="00E85A3C" w:rsidP="00057BE5">
            <w:pPr>
              <w:jc w:val="both"/>
              <w:rPr>
                <w:rFonts w:ascii="Times New Roman" w:eastAsia="Calibri" w:hAnsi="Times New Roman" w:cs="Times New Roman"/>
                <w:sz w:val="24"/>
                <w:szCs w:val="24"/>
              </w:rPr>
            </w:pPr>
            <w:r w:rsidRPr="005C53F5">
              <w:rPr>
                <w:rFonts w:ascii="Times New Roman" w:hAnsi="Times New Roman" w:cs="Times New Roman"/>
                <w:sz w:val="24"/>
                <w:szCs w:val="24"/>
              </w:rPr>
              <w:t>В</w:t>
            </w:r>
            <w:r w:rsidRPr="005C53F5">
              <w:rPr>
                <w:rFonts w:ascii="Times New Roman" w:hAnsi="Times New Roman" w:cs="Times New Roman"/>
                <w:color w:val="000000"/>
                <w:sz w:val="24"/>
                <w:szCs w:val="24"/>
                <w:lang w:val="kk-KZ"/>
              </w:rPr>
              <w:t>ице-министр финансов Республики Казахстан</w:t>
            </w:r>
          </w:p>
        </w:tc>
      </w:tr>
      <w:tr w:rsidR="00E85A3C" w:rsidRPr="005C53F5" w14:paraId="25DB7422" w14:textId="77777777" w:rsidTr="0037162F">
        <w:tc>
          <w:tcPr>
            <w:tcW w:w="1756" w:type="pct"/>
          </w:tcPr>
          <w:p w14:paraId="517DCFCE" w14:textId="6C0E6CDB" w:rsidR="00E85A3C" w:rsidRPr="005C53F5" w:rsidRDefault="00E85A3C" w:rsidP="00057BE5">
            <w:pPr>
              <w:jc w:val="both"/>
              <w:rPr>
                <w:rFonts w:ascii="Times New Roman" w:eastAsia="Calibri" w:hAnsi="Times New Roman" w:cs="Times New Roman"/>
                <w:sz w:val="24"/>
                <w:szCs w:val="24"/>
              </w:rPr>
            </w:pPr>
            <w:r w:rsidRPr="005C53F5">
              <w:rPr>
                <w:rFonts w:ascii="Times New Roman" w:hAnsi="Times New Roman" w:cs="Times New Roman"/>
                <w:color w:val="000000"/>
                <w:sz w:val="24"/>
                <w:szCs w:val="24"/>
                <w:lang w:val="kk-KZ"/>
              </w:rPr>
              <w:t>С июля </w:t>
            </w:r>
            <w:r w:rsidRPr="005C53F5">
              <w:rPr>
                <w:rFonts w:ascii="Times New Roman" w:hAnsi="Times New Roman" w:cs="Times New Roman"/>
                <w:sz w:val="24"/>
                <w:szCs w:val="24"/>
              </w:rPr>
              <w:t>2014 г</w:t>
            </w:r>
            <w:r w:rsidR="001A075A" w:rsidRPr="005C53F5">
              <w:rPr>
                <w:rFonts w:ascii="Times New Roman" w:hAnsi="Times New Roman" w:cs="Times New Roman"/>
                <w:sz w:val="24"/>
                <w:szCs w:val="24"/>
              </w:rPr>
              <w:t>ода</w:t>
            </w:r>
            <w:r w:rsidRPr="005C53F5">
              <w:rPr>
                <w:rFonts w:ascii="Times New Roman" w:hAnsi="Times New Roman" w:cs="Times New Roman"/>
                <w:sz w:val="24"/>
                <w:szCs w:val="24"/>
              </w:rPr>
              <w:t xml:space="preserve"> по ноябрь 2016 г</w:t>
            </w:r>
            <w:r w:rsidR="001A075A" w:rsidRPr="005C53F5">
              <w:rPr>
                <w:rFonts w:ascii="Times New Roman" w:hAnsi="Times New Roman" w:cs="Times New Roman"/>
                <w:sz w:val="24"/>
                <w:szCs w:val="24"/>
              </w:rPr>
              <w:t>ода</w:t>
            </w:r>
          </w:p>
        </w:tc>
        <w:tc>
          <w:tcPr>
            <w:tcW w:w="1590" w:type="pct"/>
          </w:tcPr>
          <w:p w14:paraId="6299FE08" w14:textId="77777777" w:rsidR="00E85A3C" w:rsidRPr="005C53F5" w:rsidRDefault="00E85A3C" w:rsidP="00057BE5">
            <w:pPr>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Министерство обороны </w:t>
            </w:r>
            <w:r w:rsidRPr="005C53F5">
              <w:rPr>
                <w:rFonts w:ascii="Times New Roman" w:hAnsi="Times New Roman" w:cs="Times New Roman"/>
                <w:color w:val="000000"/>
                <w:sz w:val="24"/>
                <w:szCs w:val="24"/>
                <w:lang w:val="kk-KZ"/>
              </w:rPr>
              <w:t>Республики Казахстан</w:t>
            </w:r>
          </w:p>
        </w:tc>
        <w:tc>
          <w:tcPr>
            <w:tcW w:w="1654" w:type="pct"/>
          </w:tcPr>
          <w:p w14:paraId="48B3694C" w14:textId="77777777" w:rsidR="00E85A3C" w:rsidRPr="005C53F5" w:rsidRDefault="00E85A3C" w:rsidP="00057BE5">
            <w:pPr>
              <w:jc w:val="both"/>
              <w:rPr>
                <w:rFonts w:ascii="Times New Roman" w:eastAsia="Calibri" w:hAnsi="Times New Roman" w:cs="Times New Roman"/>
                <w:sz w:val="24"/>
                <w:szCs w:val="24"/>
              </w:rPr>
            </w:pPr>
            <w:r w:rsidRPr="005C53F5">
              <w:rPr>
                <w:rFonts w:ascii="Times New Roman" w:hAnsi="Times New Roman" w:cs="Times New Roman"/>
                <w:color w:val="000000"/>
                <w:sz w:val="24"/>
                <w:szCs w:val="24"/>
                <w:lang w:val="kk-KZ"/>
              </w:rPr>
              <w:t>Заместитель Министра обороны РК по экономике и финансам</w:t>
            </w:r>
          </w:p>
        </w:tc>
      </w:tr>
      <w:tr w:rsidR="00E85A3C" w:rsidRPr="005C53F5" w14:paraId="39355E8A" w14:textId="77777777" w:rsidTr="0037162F">
        <w:tc>
          <w:tcPr>
            <w:tcW w:w="1756" w:type="pct"/>
          </w:tcPr>
          <w:p w14:paraId="6F0308ED" w14:textId="79E0186B" w:rsidR="00E85A3C" w:rsidRPr="005C53F5" w:rsidRDefault="00E85A3C" w:rsidP="00057BE5">
            <w:pPr>
              <w:jc w:val="both"/>
              <w:rPr>
                <w:rFonts w:ascii="Times New Roman" w:eastAsia="Calibri" w:hAnsi="Times New Roman" w:cs="Times New Roman"/>
                <w:sz w:val="24"/>
                <w:szCs w:val="24"/>
              </w:rPr>
            </w:pPr>
            <w:r w:rsidRPr="005C53F5">
              <w:rPr>
                <w:rFonts w:ascii="Times New Roman" w:hAnsi="Times New Roman" w:cs="Times New Roman"/>
                <w:color w:val="000000"/>
                <w:sz w:val="24"/>
                <w:szCs w:val="24"/>
                <w:lang w:val="kk-KZ"/>
              </w:rPr>
              <w:t xml:space="preserve">С ноября по </w:t>
            </w:r>
            <w:r w:rsidR="00220165" w:rsidRPr="005C53F5">
              <w:rPr>
                <w:rFonts w:ascii="Times New Roman" w:hAnsi="Times New Roman" w:cs="Times New Roman"/>
                <w:color w:val="000000"/>
                <w:sz w:val="24"/>
                <w:szCs w:val="24"/>
                <w:lang w:val="kk-KZ"/>
              </w:rPr>
              <w:t>декабр</w:t>
            </w:r>
            <w:r w:rsidR="00220165">
              <w:rPr>
                <w:rFonts w:ascii="Times New Roman" w:hAnsi="Times New Roman" w:cs="Times New Roman"/>
                <w:color w:val="000000"/>
                <w:sz w:val="24"/>
                <w:szCs w:val="24"/>
                <w:lang w:val="kk-KZ"/>
              </w:rPr>
              <w:t>ь</w:t>
            </w:r>
            <w:r w:rsidR="00220165" w:rsidRPr="005C53F5">
              <w:rPr>
                <w:rFonts w:ascii="Times New Roman" w:hAnsi="Times New Roman" w:cs="Times New Roman"/>
                <w:color w:val="000000"/>
                <w:sz w:val="24"/>
                <w:szCs w:val="24"/>
                <w:lang w:val="kk-KZ"/>
              </w:rPr>
              <w:t xml:space="preserve"> </w:t>
            </w:r>
            <w:r w:rsidRPr="005C53F5">
              <w:rPr>
                <w:rFonts w:ascii="Times New Roman" w:hAnsi="Times New Roman" w:cs="Times New Roman"/>
                <w:color w:val="000000"/>
                <w:sz w:val="24"/>
                <w:szCs w:val="24"/>
                <w:lang w:val="kk-KZ"/>
              </w:rPr>
              <w:t>2016 г</w:t>
            </w:r>
            <w:r w:rsidR="001A075A" w:rsidRPr="005C53F5">
              <w:rPr>
                <w:rFonts w:ascii="Times New Roman" w:hAnsi="Times New Roman" w:cs="Times New Roman"/>
                <w:color w:val="000000"/>
                <w:sz w:val="24"/>
                <w:szCs w:val="24"/>
                <w:lang w:val="kk-KZ"/>
              </w:rPr>
              <w:t>ода</w:t>
            </w:r>
          </w:p>
        </w:tc>
        <w:tc>
          <w:tcPr>
            <w:tcW w:w="1590" w:type="pct"/>
          </w:tcPr>
          <w:p w14:paraId="627A5E5D" w14:textId="77777777" w:rsidR="00E85A3C" w:rsidRPr="005C53F5" w:rsidRDefault="00E85A3C" w:rsidP="00057BE5">
            <w:pPr>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Министерство финансов </w:t>
            </w:r>
            <w:r w:rsidRPr="005C53F5">
              <w:rPr>
                <w:rFonts w:ascii="Times New Roman" w:hAnsi="Times New Roman" w:cs="Times New Roman"/>
                <w:color w:val="000000"/>
                <w:sz w:val="24"/>
                <w:szCs w:val="24"/>
                <w:lang w:val="kk-KZ"/>
              </w:rPr>
              <w:t>Республики Казахстан</w:t>
            </w:r>
          </w:p>
        </w:tc>
        <w:tc>
          <w:tcPr>
            <w:tcW w:w="1654" w:type="pct"/>
          </w:tcPr>
          <w:p w14:paraId="0B82EFC7" w14:textId="77777777" w:rsidR="00E85A3C" w:rsidRPr="005C53F5" w:rsidRDefault="00E85A3C" w:rsidP="00057BE5">
            <w:pPr>
              <w:jc w:val="both"/>
              <w:rPr>
                <w:rFonts w:ascii="Times New Roman" w:eastAsia="Calibri" w:hAnsi="Times New Roman" w:cs="Times New Roman"/>
                <w:sz w:val="24"/>
                <w:szCs w:val="24"/>
              </w:rPr>
            </w:pPr>
            <w:r w:rsidRPr="005C53F5">
              <w:rPr>
                <w:rFonts w:ascii="Times New Roman" w:hAnsi="Times New Roman" w:cs="Times New Roman"/>
                <w:color w:val="000000"/>
                <w:sz w:val="24"/>
                <w:szCs w:val="24"/>
                <w:lang w:val="kk-KZ"/>
              </w:rPr>
              <w:t>Председатель Комитета по финансовому мониторингу </w:t>
            </w:r>
            <w:r w:rsidRPr="005C53F5">
              <w:rPr>
                <w:rFonts w:ascii="Times New Roman" w:hAnsi="Times New Roman" w:cs="Times New Roman"/>
                <w:sz w:val="24"/>
                <w:szCs w:val="24"/>
              </w:rPr>
              <w:t>Министерства финансов Республики Казахстан</w:t>
            </w:r>
          </w:p>
        </w:tc>
      </w:tr>
      <w:tr w:rsidR="00E85A3C" w:rsidRPr="005C53F5" w14:paraId="3D19D1F1" w14:textId="77777777" w:rsidTr="0037162F">
        <w:tc>
          <w:tcPr>
            <w:tcW w:w="1756" w:type="pct"/>
          </w:tcPr>
          <w:p w14:paraId="4F78A548" w14:textId="77777777" w:rsidR="00E85A3C" w:rsidRPr="005C53F5" w:rsidRDefault="00E85A3C" w:rsidP="00057BE5">
            <w:pPr>
              <w:jc w:val="both"/>
              <w:rPr>
                <w:rFonts w:ascii="Times New Roman" w:eastAsia="Calibri" w:hAnsi="Times New Roman" w:cs="Times New Roman"/>
                <w:sz w:val="24"/>
                <w:szCs w:val="24"/>
              </w:rPr>
            </w:pPr>
            <w:r w:rsidRPr="005C53F5">
              <w:rPr>
                <w:rFonts w:ascii="Times New Roman" w:hAnsi="Times New Roman" w:cs="Times New Roman"/>
                <w:color w:val="000000"/>
                <w:sz w:val="24"/>
                <w:szCs w:val="24"/>
                <w:lang w:val="kk-KZ"/>
              </w:rPr>
              <w:t>С декабря 2016 года </w:t>
            </w:r>
          </w:p>
        </w:tc>
        <w:tc>
          <w:tcPr>
            <w:tcW w:w="1590" w:type="pct"/>
          </w:tcPr>
          <w:p w14:paraId="62698A21" w14:textId="77777777" w:rsidR="00E85A3C" w:rsidRPr="005C53F5" w:rsidRDefault="00E85A3C" w:rsidP="00057BE5">
            <w:pPr>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Министерство финансов </w:t>
            </w:r>
            <w:r w:rsidRPr="005C53F5">
              <w:rPr>
                <w:rFonts w:ascii="Times New Roman" w:hAnsi="Times New Roman" w:cs="Times New Roman"/>
                <w:color w:val="000000"/>
                <w:sz w:val="24"/>
                <w:szCs w:val="24"/>
                <w:lang w:val="kk-KZ"/>
              </w:rPr>
              <w:t>Республики Казахстан</w:t>
            </w:r>
          </w:p>
        </w:tc>
        <w:tc>
          <w:tcPr>
            <w:tcW w:w="1654" w:type="pct"/>
          </w:tcPr>
          <w:p w14:paraId="05E4FF11" w14:textId="77777777" w:rsidR="00E85A3C" w:rsidRPr="005C53F5" w:rsidRDefault="00E85A3C" w:rsidP="00057BE5">
            <w:pPr>
              <w:jc w:val="both"/>
              <w:rPr>
                <w:rFonts w:ascii="Times New Roman" w:eastAsia="Calibri" w:hAnsi="Times New Roman" w:cs="Times New Roman"/>
                <w:sz w:val="24"/>
                <w:szCs w:val="24"/>
              </w:rPr>
            </w:pPr>
            <w:r w:rsidRPr="005C53F5">
              <w:rPr>
                <w:rFonts w:ascii="Times New Roman" w:hAnsi="Times New Roman" w:cs="Times New Roman"/>
                <w:color w:val="000000"/>
                <w:sz w:val="24"/>
                <w:szCs w:val="24"/>
              </w:rPr>
              <w:t>Первый вице-министр финансов Республики Казахстан</w:t>
            </w:r>
          </w:p>
        </w:tc>
      </w:tr>
    </w:tbl>
    <w:p w14:paraId="2297EF2E"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доли участия такого лица в уставном капитале эмитента, являющегося коммерческой организацией, а для эмитентов, являющихся акционерными обществами, - также доли принадлежащих такому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w:t>
      </w:r>
      <w:r w:rsidRPr="005C53F5">
        <w:rPr>
          <w:rFonts w:ascii="Times New Roman" w:eastAsia="Calibri" w:hAnsi="Times New Roman" w:cs="Times New Roman"/>
          <w:b/>
          <w:i/>
          <w:iCs/>
          <w:sz w:val="24"/>
          <w:szCs w:val="24"/>
        </w:rPr>
        <w:t>не применимо</w:t>
      </w:r>
      <w:r w:rsidRPr="005C53F5">
        <w:rPr>
          <w:rFonts w:ascii="Times New Roman" w:eastAsia="Calibri" w:hAnsi="Times New Roman" w:cs="Times New Roman"/>
          <w:sz w:val="24"/>
          <w:szCs w:val="24"/>
        </w:rPr>
        <w:t xml:space="preserve">; </w:t>
      </w:r>
    </w:p>
    <w:p w14:paraId="39BF8F61" w14:textId="57BE90C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доли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такому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w:t>
      </w:r>
      <w:r w:rsidRPr="005C53F5">
        <w:rPr>
          <w:rFonts w:ascii="Times New Roman" w:eastAsia="Calibri" w:hAnsi="Times New Roman" w:cs="Times New Roman"/>
          <w:b/>
          <w:i/>
          <w:iCs/>
          <w:sz w:val="24"/>
          <w:szCs w:val="24"/>
        </w:rPr>
        <w:t>не применимо</w:t>
      </w:r>
      <w:r w:rsidRPr="005C53F5">
        <w:rPr>
          <w:rFonts w:ascii="Times New Roman" w:eastAsia="Calibri" w:hAnsi="Times New Roman" w:cs="Times New Roman"/>
          <w:sz w:val="24"/>
          <w:szCs w:val="24"/>
        </w:rPr>
        <w:t xml:space="preserve">; </w:t>
      </w:r>
    </w:p>
    <w:p w14:paraId="04EC43A6"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5C53F5">
        <w:rPr>
          <w:rFonts w:ascii="Times New Roman" w:eastAsia="Calibri" w:hAnsi="Times New Roman" w:cs="Times New Roman"/>
          <w:b/>
          <w:i/>
          <w:iCs/>
          <w:sz w:val="24"/>
          <w:szCs w:val="24"/>
        </w:rPr>
        <w:t>отсутствуют</w:t>
      </w:r>
      <w:r w:rsidRPr="005C53F5">
        <w:rPr>
          <w:rFonts w:ascii="Times New Roman" w:eastAsia="Calibri" w:hAnsi="Times New Roman" w:cs="Times New Roman"/>
          <w:sz w:val="24"/>
          <w:szCs w:val="24"/>
        </w:rPr>
        <w:t xml:space="preserve">; </w:t>
      </w:r>
    </w:p>
    <w:p w14:paraId="76EBEEC0"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5C53F5">
        <w:rPr>
          <w:rFonts w:ascii="Times New Roman" w:eastAsia="Calibri" w:hAnsi="Times New Roman" w:cs="Times New Roman"/>
          <w:b/>
          <w:i/>
          <w:iCs/>
          <w:sz w:val="24"/>
          <w:szCs w:val="24"/>
        </w:rPr>
        <w:t>не привлекался</w:t>
      </w:r>
      <w:r w:rsidRPr="005C53F5">
        <w:rPr>
          <w:rFonts w:ascii="Times New Roman" w:eastAsia="Calibri" w:hAnsi="Times New Roman" w:cs="Times New Roman"/>
          <w:sz w:val="24"/>
          <w:szCs w:val="24"/>
        </w:rPr>
        <w:t xml:space="preserve">; </w:t>
      </w:r>
    </w:p>
    <w:p w14:paraId="54332579"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5C53F5">
        <w:rPr>
          <w:rFonts w:ascii="Times New Roman" w:eastAsia="Calibri" w:hAnsi="Times New Roman" w:cs="Times New Roman"/>
          <w:b/>
          <w:i/>
          <w:iCs/>
          <w:sz w:val="24"/>
          <w:szCs w:val="24"/>
        </w:rPr>
        <w:t>не занимал</w:t>
      </w:r>
      <w:r w:rsidRPr="005C53F5">
        <w:rPr>
          <w:rFonts w:ascii="Times New Roman" w:eastAsia="Calibri" w:hAnsi="Times New Roman" w:cs="Times New Roman"/>
          <w:sz w:val="24"/>
          <w:szCs w:val="24"/>
        </w:rPr>
        <w:t xml:space="preserve">; </w:t>
      </w:r>
    </w:p>
    <w:p w14:paraId="4931782F" w14:textId="313B7423"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3) фамилия, имя, отчество: </w:t>
      </w:r>
      <w:r w:rsidRPr="005C53F5">
        <w:rPr>
          <w:rFonts w:ascii="Times New Roman" w:eastAsia="Calibri" w:hAnsi="Times New Roman" w:cs="Times New Roman"/>
          <w:b/>
          <w:i/>
          <w:iCs/>
          <w:sz w:val="24"/>
          <w:szCs w:val="24"/>
        </w:rPr>
        <w:t>Баедилов Канат Ескендирович</w:t>
      </w:r>
      <w:r w:rsidR="001A075A" w:rsidRPr="005C53F5">
        <w:rPr>
          <w:rFonts w:ascii="Times New Roman" w:eastAsia="Calibri" w:hAnsi="Times New Roman" w:cs="Times New Roman"/>
          <w:bCs/>
          <w:sz w:val="24"/>
          <w:szCs w:val="24"/>
        </w:rPr>
        <w:t>;</w:t>
      </w:r>
    </w:p>
    <w:p w14:paraId="09DC8C21"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год рождения: </w:t>
      </w:r>
      <w:r w:rsidRPr="005C53F5">
        <w:rPr>
          <w:rFonts w:ascii="Times New Roman" w:eastAsia="Calibri" w:hAnsi="Times New Roman" w:cs="Times New Roman"/>
          <w:b/>
          <w:i/>
          <w:iCs/>
          <w:sz w:val="24"/>
          <w:szCs w:val="24"/>
        </w:rPr>
        <w:t>1967 год</w:t>
      </w:r>
      <w:r w:rsidRPr="005C53F5">
        <w:rPr>
          <w:rFonts w:ascii="Times New Roman" w:eastAsia="Calibri" w:hAnsi="Times New Roman" w:cs="Times New Roman"/>
          <w:sz w:val="24"/>
          <w:szCs w:val="24"/>
        </w:rPr>
        <w:t xml:space="preserve">; </w:t>
      </w:r>
    </w:p>
    <w:p w14:paraId="6CF8746D" w14:textId="2BF5B00C" w:rsidR="00E85A3C" w:rsidRPr="005C53F5" w:rsidRDefault="00E85A3C" w:rsidP="00057BE5">
      <w:pPr>
        <w:spacing w:after="0" w:line="240" w:lineRule="auto"/>
        <w:ind w:firstLine="709"/>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сведения об образовании: </w:t>
      </w:r>
      <w:r w:rsidRPr="005C53F5">
        <w:rPr>
          <w:rFonts w:ascii="Times New Roman" w:eastAsia="Calibri" w:hAnsi="Times New Roman" w:cs="Times New Roman"/>
          <w:b/>
          <w:i/>
          <w:iCs/>
          <w:sz w:val="24"/>
          <w:szCs w:val="24"/>
        </w:rPr>
        <w:t>высшее, в 1991 году окончил Алма-Атинский институт народного хозяйства, в 2003 году Казахский национальный университет им. Аль-Фараби, экономист, кандидат экономических наук</w:t>
      </w:r>
      <w:r w:rsidRPr="005C53F5">
        <w:rPr>
          <w:rFonts w:ascii="Times New Roman" w:eastAsia="Calibri" w:hAnsi="Times New Roman" w:cs="Times New Roman"/>
          <w:b/>
          <w:sz w:val="24"/>
          <w:szCs w:val="24"/>
        </w:rPr>
        <w:t>;</w:t>
      </w:r>
    </w:p>
    <w:p w14:paraId="12975A68"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все должности, занимаемые таким лицом в эмитенте и других организациях за последние пять лет и в настоящее время в хронологическом порядке, в том числе по совместительству:</w:t>
      </w:r>
    </w:p>
    <w:tbl>
      <w:tblPr>
        <w:tblStyle w:val="50"/>
        <w:tblW w:w="9639" w:type="dxa"/>
        <w:tblInd w:w="-5" w:type="dxa"/>
        <w:tblLayout w:type="fixed"/>
        <w:tblLook w:val="04A0" w:firstRow="1" w:lastRow="0" w:firstColumn="1" w:lastColumn="0" w:noHBand="0" w:noVBand="1"/>
      </w:tblPr>
      <w:tblGrid>
        <w:gridCol w:w="3360"/>
        <w:gridCol w:w="2995"/>
        <w:gridCol w:w="3284"/>
      </w:tblGrid>
      <w:tr w:rsidR="00E85A3C" w:rsidRPr="005C53F5" w14:paraId="3EDFBA74" w14:textId="77777777" w:rsidTr="0037162F">
        <w:tc>
          <w:tcPr>
            <w:tcW w:w="3360" w:type="dxa"/>
          </w:tcPr>
          <w:p w14:paraId="53741555"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Период</w:t>
            </w:r>
          </w:p>
        </w:tc>
        <w:tc>
          <w:tcPr>
            <w:tcW w:w="2995" w:type="dxa"/>
          </w:tcPr>
          <w:p w14:paraId="276337A5"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Организация</w:t>
            </w:r>
          </w:p>
        </w:tc>
        <w:tc>
          <w:tcPr>
            <w:tcW w:w="3284" w:type="dxa"/>
          </w:tcPr>
          <w:p w14:paraId="245A7FA6"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Должность</w:t>
            </w:r>
          </w:p>
        </w:tc>
      </w:tr>
      <w:tr w:rsidR="00E85A3C" w:rsidRPr="005C53F5" w14:paraId="790F2958" w14:textId="77777777" w:rsidTr="0037162F">
        <w:tc>
          <w:tcPr>
            <w:tcW w:w="3360" w:type="dxa"/>
          </w:tcPr>
          <w:p w14:paraId="2800C1FE" w14:textId="54C45915" w:rsidR="00E85A3C" w:rsidRPr="005C53F5" w:rsidRDefault="001A075A" w:rsidP="00057BE5">
            <w:pPr>
              <w:jc w:val="both"/>
              <w:rPr>
                <w:rFonts w:ascii="Times New Roman" w:hAnsi="Times New Roman" w:cs="Times New Roman"/>
                <w:color w:val="000000"/>
                <w:sz w:val="24"/>
                <w:szCs w:val="24"/>
                <w:lang w:val="kk-KZ"/>
              </w:rPr>
            </w:pPr>
            <w:r w:rsidRPr="005C53F5">
              <w:rPr>
                <w:rFonts w:ascii="Times New Roman" w:hAnsi="Times New Roman" w:cs="Times New Roman"/>
                <w:color w:val="000000"/>
                <w:sz w:val="24"/>
                <w:szCs w:val="24"/>
                <w:lang w:val="kk-KZ"/>
              </w:rPr>
              <w:t xml:space="preserve">С </w:t>
            </w:r>
            <w:r w:rsidR="00E85A3C" w:rsidRPr="005C53F5">
              <w:rPr>
                <w:rFonts w:ascii="Times New Roman" w:hAnsi="Times New Roman" w:cs="Times New Roman"/>
                <w:color w:val="000000"/>
                <w:sz w:val="24"/>
                <w:szCs w:val="24"/>
                <w:lang w:val="kk-KZ"/>
              </w:rPr>
              <w:t>2009 года по 2014 год</w:t>
            </w:r>
          </w:p>
          <w:p w14:paraId="401EFC8C" w14:textId="77777777" w:rsidR="00E85A3C" w:rsidRPr="005C53F5" w:rsidRDefault="00E85A3C" w:rsidP="00057BE5">
            <w:pPr>
              <w:jc w:val="both"/>
              <w:rPr>
                <w:rFonts w:ascii="Times New Roman" w:hAnsi="Times New Roman" w:cs="Times New Roman"/>
                <w:color w:val="000000"/>
                <w:sz w:val="24"/>
                <w:szCs w:val="24"/>
                <w:lang w:val="kk-KZ"/>
              </w:rPr>
            </w:pPr>
          </w:p>
        </w:tc>
        <w:tc>
          <w:tcPr>
            <w:tcW w:w="2995" w:type="dxa"/>
          </w:tcPr>
          <w:p w14:paraId="7FCB6770" w14:textId="77777777" w:rsidR="00E85A3C" w:rsidRPr="005C53F5" w:rsidRDefault="00E85A3C" w:rsidP="00057BE5">
            <w:pPr>
              <w:jc w:val="both"/>
              <w:rPr>
                <w:rFonts w:ascii="Times New Roman" w:hAnsi="Times New Roman" w:cs="Times New Roman"/>
                <w:color w:val="000000"/>
                <w:sz w:val="24"/>
                <w:szCs w:val="24"/>
                <w:lang w:val="kk-KZ"/>
              </w:rPr>
            </w:pPr>
            <w:r w:rsidRPr="005C53F5">
              <w:rPr>
                <w:rFonts w:ascii="Times New Roman" w:hAnsi="Times New Roman" w:cs="Times New Roman"/>
                <w:color w:val="000000"/>
                <w:sz w:val="24"/>
                <w:szCs w:val="24"/>
                <w:lang w:val="kk-KZ"/>
              </w:rPr>
              <w:t>Министерство финансов Республики Казахстан</w:t>
            </w:r>
          </w:p>
        </w:tc>
        <w:tc>
          <w:tcPr>
            <w:tcW w:w="3284" w:type="dxa"/>
          </w:tcPr>
          <w:p w14:paraId="394C3910" w14:textId="77777777" w:rsidR="00E85A3C" w:rsidRPr="005C53F5" w:rsidRDefault="00E85A3C" w:rsidP="00057BE5">
            <w:pPr>
              <w:jc w:val="both"/>
              <w:rPr>
                <w:rFonts w:ascii="Times New Roman" w:hAnsi="Times New Roman" w:cs="Times New Roman"/>
                <w:color w:val="000000"/>
                <w:sz w:val="24"/>
                <w:szCs w:val="24"/>
                <w:lang w:val="kk-KZ"/>
              </w:rPr>
            </w:pPr>
            <w:r w:rsidRPr="005C53F5">
              <w:rPr>
                <w:rFonts w:ascii="Times New Roman" w:hAnsi="Times New Roman" w:cs="Times New Roman"/>
                <w:color w:val="000000"/>
                <w:sz w:val="24"/>
                <w:szCs w:val="24"/>
                <w:lang w:val="kk-KZ"/>
              </w:rPr>
              <w:t>Руководитель налогового департамента по городу Астана Налогового комитета Министерства финансов Республики Казахстан</w:t>
            </w:r>
          </w:p>
          <w:p w14:paraId="3C35DA94" w14:textId="77777777" w:rsidR="00E85A3C" w:rsidRPr="005C53F5" w:rsidRDefault="00E85A3C" w:rsidP="00057BE5">
            <w:pPr>
              <w:jc w:val="both"/>
              <w:rPr>
                <w:rFonts w:ascii="Times New Roman" w:hAnsi="Times New Roman" w:cs="Times New Roman"/>
                <w:color w:val="000000"/>
                <w:sz w:val="24"/>
                <w:szCs w:val="24"/>
                <w:lang w:val="kk-KZ"/>
              </w:rPr>
            </w:pPr>
          </w:p>
        </w:tc>
      </w:tr>
      <w:tr w:rsidR="00E85A3C" w:rsidRPr="005C53F5" w14:paraId="00AE8E63" w14:textId="77777777" w:rsidTr="0037162F">
        <w:tc>
          <w:tcPr>
            <w:tcW w:w="3360" w:type="dxa"/>
          </w:tcPr>
          <w:p w14:paraId="55B1FD0B" w14:textId="0B9A4CAE" w:rsidR="00E85A3C" w:rsidRPr="005C53F5" w:rsidRDefault="001A075A" w:rsidP="00057BE5">
            <w:pPr>
              <w:jc w:val="both"/>
              <w:rPr>
                <w:rFonts w:ascii="Times New Roman" w:hAnsi="Times New Roman" w:cs="Times New Roman"/>
                <w:color w:val="000000"/>
                <w:sz w:val="24"/>
                <w:szCs w:val="24"/>
                <w:lang w:val="kk-KZ"/>
              </w:rPr>
            </w:pPr>
            <w:r w:rsidRPr="005C53F5">
              <w:rPr>
                <w:rFonts w:ascii="Times New Roman" w:hAnsi="Times New Roman" w:cs="Times New Roman"/>
                <w:color w:val="000000"/>
                <w:sz w:val="24"/>
                <w:szCs w:val="24"/>
                <w:lang w:val="kk-KZ"/>
              </w:rPr>
              <w:t xml:space="preserve">С </w:t>
            </w:r>
            <w:r w:rsidR="00E85A3C" w:rsidRPr="005C53F5">
              <w:rPr>
                <w:rFonts w:ascii="Times New Roman" w:hAnsi="Times New Roman" w:cs="Times New Roman"/>
                <w:color w:val="000000"/>
                <w:sz w:val="24"/>
                <w:szCs w:val="24"/>
                <w:lang w:val="kk-KZ"/>
              </w:rPr>
              <w:t>2014 года по май 2017 года </w:t>
            </w:r>
          </w:p>
          <w:p w14:paraId="28457460" w14:textId="77777777" w:rsidR="00E85A3C" w:rsidRPr="005C53F5" w:rsidRDefault="00E85A3C" w:rsidP="00057BE5">
            <w:pPr>
              <w:jc w:val="both"/>
              <w:rPr>
                <w:rFonts w:ascii="Times New Roman" w:hAnsi="Times New Roman" w:cs="Times New Roman"/>
                <w:color w:val="000000"/>
                <w:sz w:val="24"/>
                <w:szCs w:val="24"/>
                <w:lang w:val="kk-KZ"/>
              </w:rPr>
            </w:pPr>
          </w:p>
        </w:tc>
        <w:tc>
          <w:tcPr>
            <w:tcW w:w="2995" w:type="dxa"/>
          </w:tcPr>
          <w:p w14:paraId="0B8E5780" w14:textId="77777777" w:rsidR="00E85A3C" w:rsidRPr="005C53F5" w:rsidRDefault="00E85A3C" w:rsidP="00057BE5">
            <w:pPr>
              <w:jc w:val="both"/>
              <w:rPr>
                <w:rFonts w:ascii="Times New Roman" w:hAnsi="Times New Roman" w:cs="Times New Roman"/>
                <w:color w:val="000000"/>
                <w:sz w:val="24"/>
                <w:szCs w:val="24"/>
                <w:lang w:val="kk-KZ"/>
              </w:rPr>
            </w:pPr>
            <w:r w:rsidRPr="005C53F5">
              <w:rPr>
                <w:rFonts w:ascii="Times New Roman" w:hAnsi="Times New Roman" w:cs="Times New Roman"/>
                <w:color w:val="000000"/>
                <w:sz w:val="24"/>
                <w:szCs w:val="24"/>
                <w:lang w:val="kk-KZ"/>
              </w:rPr>
              <w:t>Министерство финансов Республики Казахстан</w:t>
            </w:r>
          </w:p>
        </w:tc>
        <w:tc>
          <w:tcPr>
            <w:tcW w:w="3284" w:type="dxa"/>
          </w:tcPr>
          <w:p w14:paraId="6EBF8E0F" w14:textId="77777777" w:rsidR="00E85A3C" w:rsidRPr="005C53F5" w:rsidRDefault="00E85A3C" w:rsidP="00057BE5">
            <w:pPr>
              <w:jc w:val="both"/>
              <w:rPr>
                <w:rFonts w:ascii="Times New Roman" w:hAnsi="Times New Roman" w:cs="Times New Roman"/>
                <w:color w:val="000000"/>
                <w:sz w:val="24"/>
                <w:szCs w:val="24"/>
                <w:lang w:val="kk-KZ"/>
              </w:rPr>
            </w:pPr>
            <w:r w:rsidRPr="005C53F5">
              <w:rPr>
                <w:rFonts w:ascii="Times New Roman" w:hAnsi="Times New Roman" w:cs="Times New Roman"/>
                <w:color w:val="000000"/>
                <w:sz w:val="24"/>
                <w:szCs w:val="24"/>
                <w:lang w:val="kk-KZ"/>
              </w:rPr>
              <w:t>Председатель Комитета    казначейства                     Министерства финансов Республики Казахстан</w:t>
            </w:r>
          </w:p>
          <w:p w14:paraId="45B9B701" w14:textId="77777777" w:rsidR="00E85A3C" w:rsidRPr="005C53F5" w:rsidRDefault="00E85A3C" w:rsidP="00057BE5">
            <w:pPr>
              <w:jc w:val="both"/>
              <w:rPr>
                <w:rFonts w:ascii="Times New Roman" w:eastAsia="Calibri" w:hAnsi="Times New Roman" w:cs="Times New Roman"/>
                <w:sz w:val="24"/>
                <w:szCs w:val="24"/>
              </w:rPr>
            </w:pPr>
          </w:p>
        </w:tc>
      </w:tr>
      <w:tr w:rsidR="00E85A3C" w:rsidRPr="005C53F5" w14:paraId="6567FAD3" w14:textId="77777777" w:rsidTr="0037162F">
        <w:tc>
          <w:tcPr>
            <w:tcW w:w="3360" w:type="dxa"/>
          </w:tcPr>
          <w:p w14:paraId="43992A75" w14:textId="397C5EB7" w:rsidR="00E85A3C" w:rsidRPr="005C53F5" w:rsidRDefault="00E85A3C" w:rsidP="00057BE5">
            <w:pPr>
              <w:jc w:val="both"/>
              <w:rPr>
                <w:rFonts w:ascii="Times New Roman" w:hAnsi="Times New Roman" w:cs="Times New Roman"/>
                <w:color w:val="000000"/>
                <w:sz w:val="24"/>
                <w:szCs w:val="24"/>
                <w:lang w:val="kk-KZ"/>
              </w:rPr>
            </w:pPr>
            <w:r w:rsidRPr="005C53F5">
              <w:rPr>
                <w:rFonts w:ascii="Times New Roman" w:hAnsi="Times New Roman" w:cs="Times New Roman"/>
                <w:color w:val="000000"/>
                <w:sz w:val="24"/>
                <w:szCs w:val="24"/>
                <w:lang w:val="kk-KZ"/>
              </w:rPr>
              <w:t>С ноября по декабрь 2016 г</w:t>
            </w:r>
            <w:r w:rsidR="001A075A" w:rsidRPr="005C53F5">
              <w:rPr>
                <w:rFonts w:ascii="Times New Roman" w:hAnsi="Times New Roman" w:cs="Times New Roman"/>
                <w:color w:val="000000"/>
                <w:sz w:val="24"/>
                <w:szCs w:val="24"/>
                <w:lang w:val="kk-KZ"/>
              </w:rPr>
              <w:t>ода</w:t>
            </w:r>
          </w:p>
        </w:tc>
        <w:tc>
          <w:tcPr>
            <w:tcW w:w="2995" w:type="dxa"/>
          </w:tcPr>
          <w:p w14:paraId="65FE90B6" w14:textId="77777777" w:rsidR="00E85A3C" w:rsidRPr="005C53F5" w:rsidRDefault="00E85A3C" w:rsidP="00057BE5">
            <w:pPr>
              <w:jc w:val="both"/>
              <w:rPr>
                <w:rFonts w:ascii="Times New Roman" w:hAnsi="Times New Roman" w:cs="Times New Roman"/>
                <w:color w:val="000000"/>
                <w:sz w:val="24"/>
                <w:szCs w:val="24"/>
                <w:lang w:val="kk-KZ"/>
              </w:rPr>
            </w:pPr>
            <w:r w:rsidRPr="005C53F5">
              <w:rPr>
                <w:rFonts w:ascii="Times New Roman" w:hAnsi="Times New Roman" w:cs="Times New Roman"/>
                <w:color w:val="000000"/>
                <w:sz w:val="24"/>
                <w:szCs w:val="24"/>
                <w:lang w:val="kk-KZ"/>
              </w:rPr>
              <w:t>Министерство финансов Республики Казахстан</w:t>
            </w:r>
          </w:p>
        </w:tc>
        <w:tc>
          <w:tcPr>
            <w:tcW w:w="3284" w:type="dxa"/>
          </w:tcPr>
          <w:p w14:paraId="720282FC" w14:textId="77777777" w:rsidR="00E85A3C" w:rsidRPr="005C53F5" w:rsidRDefault="00E85A3C" w:rsidP="00057BE5">
            <w:pPr>
              <w:jc w:val="both"/>
              <w:rPr>
                <w:rFonts w:ascii="Times New Roman" w:eastAsia="Calibri" w:hAnsi="Times New Roman" w:cs="Times New Roman"/>
                <w:sz w:val="24"/>
                <w:szCs w:val="24"/>
              </w:rPr>
            </w:pPr>
            <w:r w:rsidRPr="005C53F5">
              <w:rPr>
                <w:rFonts w:ascii="Times New Roman" w:hAnsi="Times New Roman" w:cs="Times New Roman"/>
                <w:color w:val="000000"/>
                <w:sz w:val="24"/>
                <w:szCs w:val="24"/>
                <w:lang w:val="kk-KZ"/>
              </w:rPr>
              <w:t>Председатель Комитета по финансовому мониторингу                     Министерства финансов Республики Казахстан</w:t>
            </w:r>
          </w:p>
        </w:tc>
      </w:tr>
      <w:tr w:rsidR="00E85A3C" w:rsidRPr="005C53F5" w14:paraId="56D1E90F" w14:textId="77777777" w:rsidTr="0037162F">
        <w:tc>
          <w:tcPr>
            <w:tcW w:w="3360" w:type="dxa"/>
          </w:tcPr>
          <w:p w14:paraId="610E6577" w14:textId="77777777" w:rsidR="00E85A3C" w:rsidRPr="005C53F5" w:rsidRDefault="00E85A3C" w:rsidP="00057BE5">
            <w:pPr>
              <w:jc w:val="both"/>
              <w:rPr>
                <w:rFonts w:ascii="Times New Roman" w:eastAsia="Calibri" w:hAnsi="Times New Roman" w:cs="Times New Roman"/>
                <w:sz w:val="24"/>
                <w:szCs w:val="24"/>
              </w:rPr>
            </w:pPr>
            <w:r w:rsidRPr="005C53F5">
              <w:rPr>
                <w:rFonts w:ascii="Times New Roman" w:hAnsi="Times New Roman" w:cs="Times New Roman"/>
                <w:color w:val="000000"/>
                <w:sz w:val="24"/>
                <w:szCs w:val="24"/>
                <w:lang w:val="kk-KZ"/>
              </w:rPr>
              <w:t>С мая 2017 года </w:t>
            </w:r>
          </w:p>
        </w:tc>
        <w:tc>
          <w:tcPr>
            <w:tcW w:w="2995" w:type="dxa"/>
          </w:tcPr>
          <w:p w14:paraId="005766E4" w14:textId="77777777" w:rsidR="00E85A3C" w:rsidRPr="005C53F5" w:rsidRDefault="00E85A3C" w:rsidP="00057BE5">
            <w:pPr>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Министерство финансов </w:t>
            </w:r>
            <w:r w:rsidRPr="005C53F5">
              <w:rPr>
                <w:rFonts w:ascii="Times New Roman" w:hAnsi="Times New Roman" w:cs="Times New Roman"/>
                <w:color w:val="000000"/>
                <w:sz w:val="24"/>
                <w:szCs w:val="24"/>
                <w:lang w:val="kk-KZ"/>
              </w:rPr>
              <w:t>Республики Казахстан</w:t>
            </w:r>
          </w:p>
        </w:tc>
        <w:tc>
          <w:tcPr>
            <w:tcW w:w="3284" w:type="dxa"/>
          </w:tcPr>
          <w:p w14:paraId="3412F871" w14:textId="77777777" w:rsidR="00E85A3C" w:rsidRPr="005C53F5" w:rsidRDefault="00E85A3C" w:rsidP="00057BE5">
            <w:pPr>
              <w:jc w:val="both"/>
              <w:rPr>
                <w:rFonts w:ascii="Times New Roman" w:eastAsia="Calibri" w:hAnsi="Times New Roman" w:cs="Times New Roman"/>
                <w:sz w:val="24"/>
                <w:szCs w:val="24"/>
              </w:rPr>
            </w:pPr>
            <w:r w:rsidRPr="005C53F5">
              <w:rPr>
                <w:rFonts w:ascii="Times New Roman" w:hAnsi="Times New Roman" w:cs="Times New Roman"/>
                <w:color w:val="000000"/>
                <w:sz w:val="24"/>
                <w:szCs w:val="24"/>
              </w:rPr>
              <w:t>Вице-министр финансов Республики Казахстан</w:t>
            </w:r>
          </w:p>
        </w:tc>
      </w:tr>
    </w:tbl>
    <w:p w14:paraId="4DE6BCCA"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доли участия такого лица в уставном капитале эмитента, являющегося коммерческой организацией, а для эмитентов, являющихся акционерными обществами, - также доли принадлежащих такому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w:t>
      </w:r>
      <w:r w:rsidRPr="005C53F5">
        <w:rPr>
          <w:rFonts w:ascii="Times New Roman" w:eastAsia="Calibri" w:hAnsi="Times New Roman" w:cs="Times New Roman"/>
          <w:b/>
          <w:i/>
          <w:iCs/>
          <w:sz w:val="24"/>
          <w:szCs w:val="24"/>
        </w:rPr>
        <w:t>не применимо</w:t>
      </w:r>
      <w:r w:rsidRPr="005C53F5">
        <w:rPr>
          <w:rFonts w:ascii="Times New Roman" w:eastAsia="Calibri" w:hAnsi="Times New Roman" w:cs="Times New Roman"/>
          <w:sz w:val="24"/>
          <w:szCs w:val="24"/>
        </w:rPr>
        <w:t xml:space="preserve">; </w:t>
      </w:r>
    </w:p>
    <w:p w14:paraId="27E57125" w14:textId="734A7276"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доли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такому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w:t>
      </w:r>
      <w:r w:rsidRPr="005C53F5">
        <w:rPr>
          <w:rFonts w:ascii="Times New Roman" w:eastAsia="Calibri" w:hAnsi="Times New Roman" w:cs="Times New Roman"/>
          <w:b/>
          <w:i/>
          <w:iCs/>
          <w:sz w:val="24"/>
          <w:szCs w:val="24"/>
        </w:rPr>
        <w:t>не применимо</w:t>
      </w:r>
      <w:r w:rsidRPr="005C53F5">
        <w:rPr>
          <w:rFonts w:ascii="Times New Roman" w:eastAsia="Calibri" w:hAnsi="Times New Roman" w:cs="Times New Roman"/>
          <w:sz w:val="24"/>
          <w:szCs w:val="24"/>
        </w:rPr>
        <w:t xml:space="preserve">; </w:t>
      </w:r>
    </w:p>
    <w:p w14:paraId="2832512A"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5C53F5">
        <w:rPr>
          <w:rFonts w:ascii="Times New Roman" w:eastAsia="Calibri" w:hAnsi="Times New Roman" w:cs="Times New Roman"/>
          <w:b/>
          <w:i/>
          <w:iCs/>
          <w:sz w:val="24"/>
          <w:szCs w:val="24"/>
        </w:rPr>
        <w:t>отсутствуют</w:t>
      </w:r>
      <w:r w:rsidRPr="005C53F5">
        <w:rPr>
          <w:rFonts w:ascii="Times New Roman" w:eastAsia="Calibri" w:hAnsi="Times New Roman" w:cs="Times New Roman"/>
          <w:sz w:val="24"/>
          <w:szCs w:val="24"/>
        </w:rPr>
        <w:t xml:space="preserve">; </w:t>
      </w:r>
    </w:p>
    <w:p w14:paraId="2D607EFE"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5C53F5">
        <w:rPr>
          <w:rFonts w:ascii="Times New Roman" w:eastAsia="Calibri" w:hAnsi="Times New Roman" w:cs="Times New Roman"/>
          <w:b/>
          <w:i/>
          <w:iCs/>
          <w:sz w:val="24"/>
          <w:szCs w:val="24"/>
        </w:rPr>
        <w:t>не привлекался</w:t>
      </w:r>
      <w:r w:rsidRPr="005C53F5">
        <w:rPr>
          <w:rFonts w:ascii="Times New Roman" w:eastAsia="Calibri" w:hAnsi="Times New Roman" w:cs="Times New Roman"/>
          <w:sz w:val="24"/>
          <w:szCs w:val="24"/>
        </w:rPr>
        <w:t xml:space="preserve">; </w:t>
      </w:r>
    </w:p>
    <w:p w14:paraId="69F49BBB"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5C53F5">
        <w:rPr>
          <w:rFonts w:ascii="Times New Roman" w:eastAsia="Calibri" w:hAnsi="Times New Roman" w:cs="Times New Roman"/>
          <w:b/>
          <w:i/>
          <w:iCs/>
          <w:sz w:val="24"/>
          <w:szCs w:val="24"/>
        </w:rPr>
        <w:t>не занимал</w:t>
      </w:r>
      <w:r w:rsidRPr="005C53F5">
        <w:rPr>
          <w:rFonts w:ascii="Times New Roman" w:eastAsia="Calibri" w:hAnsi="Times New Roman" w:cs="Times New Roman"/>
          <w:sz w:val="24"/>
          <w:szCs w:val="24"/>
        </w:rPr>
        <w:t xml:space="preserve">; </w:t>
      </w:r>
    </w:p>
    <w:p w14:paraId="68073D62"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4) фамилия, имя, отчество: </w:t>
      </w:r>
      <w:r w:rsidRPr="005C53F5">
        <w:rPr>
          <w:rFonts w:ascii="Times New Roman" w:eastAsia="Calibri" w:hAnsi="Times New Roman" w:cs="Times New Roman"/>
          <w:b/>
          <w:i/>
          <w:iCs/>
          <w:sz w:val="24"/>
          <w:szCs w:val="24"/>
        </w:rPr>
        <w:t>Бекетаев Руслан Бакытжанович</w:t>
      </w:r>
      <w:r w:rsidRPr="005C53F5">
        <w:rPr>
          <w:rFonts w:ascii="Times New Roman" w:eastAsia="Calibri" w:hAnsi="Times New Roman" w:cs="Times New Roman"/>
          <w:bCs/>
          <w:sz w:val="24"/>
          <w:szCs w:val="24"/>
        </w:rPr>
        <w:t>;</w:t>
      </w:r>
    </w:p>
    <w:p w14:paraId="78CABA61"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год рождения: </w:t>
      </w:r>
      <w:r w:rsidRPr="005C53F5">
        <w:rPr>
          <w:rFonts w:ascii="Times New Roman" w:eastAsia="Calibri" w:hAnsi="Times New Roman" w:cs="Times New Roman"/>
          <w:b/>
          <w:i/>
          <w:iCs/>
          <w:sz w:val="24"/>
          <w:szCs w:val="24"/>
        </w:rPr>
        <w:t>1975 год</w:t>
      </w:r>
      <w:r w:rsidRPr="005C53F5">
        <w:rPr>
          <w:rFonts w:ascii="Times New Roman" w:eastAsia="Calibri" w:hAnsi="Times New Roman" w:cs="Times New Roman"/>
          <w:sz w:val="24"/>
          <w:szCs w:val="24"/>
        </w:rPr>
        <w:t xml:space="preserve">; </w:t>
      </w:r>
    </w:p>
    <w:p w14:paraId="145D1D04" w14:textId="0A160CDC" w:rsidR="00E85A3C" w:rsidRPr="005C53F5" w:rsidRDefault="00E85A3C" w:rsidP="00057BE5">
      <w:pPr>
        <w:spacing w:after="0" w:line="240" w:lineRule="auto"/>
        <w:ind w:firstLine="709"/>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сведения об образовании: </w:t>
      </w:r>
      <w:r w:rsidRPr="005C53F5">
        <w:rPr>
          <w:rFonts w:ascii="Times New Roman" w:eastAsia="Calibri" w:hAnsi="Times New Roman" w:cs="Times New Roman"/>
          <w:b/>
          <w:i/>
          <w:iCs/>
          <w:sz w:val="24"/>
          <w:szCs w:val="24"/>
        </w:rPr>
        <w:t>высшее</w:t>
      </w:r>
      <w:r w:rsidRPr="005C53F5">
        <w:rPr>
          <w:rFonts w:ascii="Times New Roman" w:eastAsia="Calibri" w:hAnsi="Times New Roman" w:cs="Times New Roman"/>
          <w:bCs/>
          <w:sz w:val="24"/>
          <w:szCs w:val="24"/>
        </w:rPr>
        <w:t xml:space="preserve"> </w:t>
      </w:r>
    </w:p>
    <w:p w14:paraId="532EED02" w14:textId="3470B7E7" w:rsidR="00E85A3C" w:rsidRPr="00B51777" w:rsidRDefault="00E85A3C" w:rsidP="00057BE5">
      <w:pPr>
        <w:pStyle w:val="a4"/>
        <w:numPr>
          <w:ilvl w:val="0"/>
          <w:numId w:val="15"/>
        </w:numPr>
        <w:ind w:left="1134" w:hanging="425"/>
        <w:jc w:val="both"/>
        <w:rPr>
          <w:rFonts w:eastAsia="Calibri"/>
          <w:bCs/>
          <w:sz w:val="24"/>
          <w:szCs w:val="24"/>
        </w:rPr>
      </w:pPr>
      <w:r w:rsidRPr="005C53F5">
        <w:rPr>
          <w:rFonts w:eastAsia="Calibri"/>
          <w:bCs/>
          <w:sz w:val="24"/>
          <w:szCs w:val="24"/>
        </w:rPr>
        <w:t xml:space="preserve">Казахский Государственный Аграрный </w:t>
      </w:r>
      <w:r w:rsidRPr="00B51777">
        <w:rPr>
          <w:rFonts w:eastAsia="Calibri"/>
          <w:bCs/>
          <w:sz w:val="24"/>
          <w:szCs w:val="24"/>
        </w:rPr>
        <w:t>Университет (1996</w:t>
      </w:r>
      <w:r w:rsidR="001A075A" w:rsidRPr="00B51777">
        <w:rPr>
          <w:rFonts w:eastAsia="Calibri"/>
          <w:bCs/>
          <w:sz w:val="24"/>
          <w:szCs w:val="24"/>
        </w:rPr>
        <w:t xml:space="preserve"> </w:t>
      </w:r>
      <w:r w:rsidR="001A075A" w:rsidRPr="00262E28">
        <w:rPr>
          <w:rFonts w:eastAsia="Calibri" w:hint="eastAsia"/>
          <w:bCs/>
          <w:sz w:val="24"/>
          <w:szCs w:val="24"/>
        </w:rPr>
        <w:t>год</w:t>
      </w:r>
      <w:r w:rsidRPr="00B51777">
        <w:rPr>
          <w:rFonts w:eastAsia="Calibri"/>
          <w:bCs/>
          <w:sz w:val="24"/>
          <w:szCs w:val="24"/>
        </w:rPr>
        <w:t xml:space="preserve">), </w:t>
      </w:r>
      <w:r w:rsidR="001A075A" w:rsidRPr="00262E28">
        <w:rPr>
          <w:rFonts w:eastAsia="Calibri" w:hint="eastAsia"/>
          <w:bCs/>
          <w:sz w:val="24"/>
          <w:szCs w:val="24"/>
        </w:rPr>
        <w:t>э</w:t>
      </w:r>
      <w:r w:rsidR="001A075A" w:rsidRPr="00B51777">
        <w:rPr>
          <w:rFonts w:eastAsia="Calibri"/>
          <w:bCs/>
          <w:sz w:val="24"/>
          <w:szCs w:val="24"/>
        </w:rPr>
        <w:t>кономист</w:t>
      </w:r>
      <w:r w:rsidRPr="00B51777">
        <w:rPr>
          <w:rFonts w:eastAsia="Calibri"/>
          <w:bCs/>
          <w:sz w:val="24"/>
          <w:szCs w:val="24"/>
        </w:rPr>
        <w:t>-</w:t>
      </w:r>
      <w:r w:rsidR="001A075A" w:rsidRPr="00262E28">
        <w:rPr>
          <w:rFonts w:eastAsia="Calibri" w:hint="eastAsia"/>
          <w:bCs/>
          <w:sz w:val="24"/>
          <w:szCs w:val="24"/>
        </w:rPr>
        <w:t>б</w:t>
      </w:r>
      <w:r w:rsidRPr="00B51777">
        <w:rPr>
          <w:rFonts w:eastAsia="Calibri"/>
          <w:bCs/>
          <w:sz w:val="24"/>
          <w:szCs w:val="24"/>
        </w:rPr>
        <w:t>ухгалтер (диплом с отличием);</w:t>
      </w:r>
    </w:p>
    <w:p w14:paraId="4A47354D" w14:textId="4B169DA0" w:rsidR="00E85A3C" w:rsidRPr="005C53F5" w:rsidRDefault="00E85A3C" w:rsidP="00057BE5">
      <w:pPr>
        <w:pStyle w:val="a4"/>
        <w:numPr>
          <w:ilvl w:val="0"/>
          <w:numId w:val="15"/>
        </w:numPr>
        <w:ind w:left="1134" w:hanging="425"/>
        <w:jc w:val="both"/>
        <w:rPr>
          <w:rFonts w:eastAsia="Calibri"/>
          <w:bCs/>
          <w:sz w:val="24"/>
          <w:szCs w:val="24"/>
        </w:rPr>
      </w:pPr>
      <w:r w:rsidRPr="005C53F5">
        <w:rPr>
          <w:rFonts w:eastAsia="Calibri"/>
          <w:bCs/>
          <w:sz w:val="24"/>
          <w:szCs w:val="24"/>
        </w:rPr>
        <w:t>Бристольский Университет, Великобритания (</w:t>
      </w:r>
      <w:r w:rsidR="001A075A" w:rsidRPr="005C53F5">
        <w:rPr>
          <w:rFonts w:eastAsia="Calibri"/>
          <w:bCs/>
          <w:sz w:val="24"/>
          <w:szCs w:val="24"/>
        </w:rPr>
        <w:t xml:space="preserve">сентябрь </w:t>
      </w:r>
      <w:r w:rsidRPr="005C53F5">
        <w:rPr>
          <w:rFonts w:eastAsia="Calibri"/>
          <w:bCs/>
          <w:sz w:val="24"/>
          <w:szCs w:val="24"/>
        </w:rPr>
        <w:t>2009</w:t>
      </w:r>
      <w:r w:rsidR="001A075A" w:rsidRPr="005C53F5">
        <w:rPr>
          <w:rFonts w:eastAsia="Calibri"/>
          <w:bCs/>
          <w:sz w:val="24"/>
          <w:szCs w:val="24"/>
        </w:rPr>
        <w:t xml:space="preserve"> года – февраль </w:t>
      </w:r>
      <w:r w:rsidRPr="005C53F5">
        <w:rPr>
          <w:rFonts w:eastAsia="Calibri"/>
          <w:bCs/>
          <w:sz w:val="24"/>
          <w:szCs w:val="24"/>
        </w:rPr>
        <w:t>2011</w:t>
      </w:r>
      <w:r w:rsidR="001A075A" w:rsidRPr="005C53F5">
        <w:rPr>
          <w:rFonts w:eastAsia="Calibri"/>
          <w:bCs/>
          <w:sz w:val="24"/>
          <w:szCs w:val="24"/>
        </w:rPr>
        <w:t xml:space="preserve"> года</w:t>
      </w:r>
      <w:r w:rsidRPr="005C53F5">
        <w:rPr>
          <w:rFonts w:eastAsia="Calibri"/>
          <w:bCs/>
          <w:sz w:val="24"/>
          <w:szCs w:val="24"/>
        </w:rPr>
        <w:t>)</w:t>
      </w:r>
      <w:r w:rsidR="001A075A" w:rsidRPr="005C53F5">
        <w:rPr>
          <w:rFonts w:eastAsia="Calibri"/>
          <w:bCs/>
          <w:sz w:val="24"/>
          <w:szCs w:val="24"/>
        </w:rPr>
        <w:t>,</w:t>
      </w:r>
      <w:r w:rsidRPr="005C53F5">
        <w:rPr>
          <w:rFonts w:eastAsia="Calibri"/>
          <w:bCs/>
          <w:sz w:val="24"/>
          <w:szCs w:val="24"/>
        </w:rPr>
        <w:t xml:space="preserve"> </w:t>
      </w:r>
      <w:r w:rsidR="001A075A" w:rsidRPr="005C53F5">
        <w:rPr>
          <w:rFonts w:eastAsia="Calibri"/>
          <w:bCs/>
          <w:sz w:val="24"/>
          <w:szCs w:val="24"/>
        </w:rPr>
        <w:t>магистр э</w:t>
      </w:r>
      <w:r w:rsidRPr="005C53F5">
        <w:rPr>
          <w:rFonts w:eastAsia="Calibri"/>
          <w:bCs/>
          <w:sz w:val="24"/>
          <w:szCs w:val="24"/>
        </w:rPr>
        <w:t xml:space="preserve">кономики, </w:t>
      </w:r>
      <w:r w:rsidR="001A075A" w:rsidRPr="005C53F5">
        <w:rPr>
          <w:rFonts w:eastAsia="Calibri"/>
          <w:bCs/>
          <w:sz w:val="24"/>
          <w:szCs w:val="24"/>
        </w:rPr>
        <w:t>ф</w:t>
      </w:r>
      <w:r w:rsidRPr="005C53F5">
        <w:rPr>
          <w:rFonts w:eastAsia="Calibri"/>
          <w:bCs/>
          <w:sz w:val="24"/>
          <w:szCs w:val="24"/>
        </w:rPr>
        <w:t xml:space="preserve">инансов и </w:t>
      </w:r>
      <w:r w:rsidR="001A075A" w:rsidRPr="005C53F5">
        <w:rPr>
          <w:rFonts w:eastAsia="Calibri"/>
          <w:bCs/>
          <w:sz w:val="24"/>
          <w:szCs w:val="24"/>
        </w:rPr>
        <w:t>м</w:t>
      </w:r>
      <w:r w:rsidRPr="005C53F5">
        <w:rPr>
          <w:rFonts w:eastAsia="Calibri"/>
          <w:bCs/>
          <w:sz w:val="24"/>
          <w:szCs w:val="24"/>
        </w:rPr>
        <w:t>енеджмента (диплом с отличием);</w:t>
      </w:r>
    </w:p>
    <w:p w14:paraId="28D4A111" w14:textId="684D33CD" w:rsidR="00E85A3C" w:rsidRPr="005C53F5" w:rsidRDefault="00E85A3C" w:rsidP="00057BE5">
      <w:pPr>
        <w:pStyle w:val="a4"/>
        <w:numPr>
          <w:ilvl w:val="0"/>
          <w:numId w:val="15"/>
        </w:numPr>
        <w:ind w:left="1134" w:hanging="425"/>
        <w:jc w:val="both"/>
        <w:rPr>
          <w:rFonts w:eastAsia="Calibri"/>
          <w:bCs/>
          <w:sz w:val="24"/>
          <w:szCs w:val="24"/>
        </w:rPr>
      </w:pPr>
      <w:r w:rsidRPr="005C53F5">
        <w:rPr>
          <w:rFonts w:eastAsia="Calibri"/>
          <w:bCs/>
          <w:sz w:val="24"/>
          <w:szCs w:val="24"/>
        </w:rPr>
        <w:t>Оксфордский Университет, Бизнес школа имени Said, Великобритания (</w:t>
      </w:r>
      <w:r w:rsidR="001A075A" w:rsidRPr="005C53F5">
        <w:rPr>
          <w:rFonts w:eastAsia="Calibri"/>
          <w:bCs/>
          <w:sz w:val="24"/>
          <w:szCs w:val="24"/>
        </w:rPr>
        <w:t xml:space="preserve">январь </w:t>
      </w:r>
      <w:r w:rsidRPr="005C53F5">
        <w:rPr>
          <w:rFonts w:eastAsia="Calibri"/>
          <w:bCs/>
          <w:sz w:val="24"/>
          <w:szCs w:val="24"/>
        </w:rPr>
        <w:t>2010</w:t>
      </w:r>
      <w:r w:rsidR="001A075A" w:rsidRPr="005C53F5">
        <w:rPr>
          <w:rFonts w:eastAsia="Calibri"/>
          <w:bCs/>
          <w:sz w:val="24"/>
          <w:szCs w:val="24"/>
        </w:rPr>
        <w:t xml:space="preserve"> года – май </w:t>
      </w:r>
      <w:r w:rsidRPr="005C53F5">
        <w:rPr>
          <w:rFonts w:eastAsia="Calibri"/>
          <w:bCs/>
          <w:sz w:val="24"/>
          <w:szCs w:val="24"/>
        </w:rPr>
        <w:t>2011</w:t>
      </w:r>
      <w:r w:rsidR="001A075A" w:rsidRPr="005C53F5">
        <w:rPr>
          <w:rFonts w:eastAsia="Calibri"/>
          <w:bCs/>
          <w:sz w:val="24"/>
          <w:szCs w:val="24"/>
        </w:rPr>
        <w:t xml:space="preserve"> года</w:t>
      </w:r>
      <w:r w:rsidRPr="005C53F5">
        <w:rPr>
          <w:rFonts w:eastAsia="Calibri"/>
          <w:bCs/>
          <w:sz w:val="24"/>
          <w:szCs w:val="24"/>
        </w:rPr>
        <w:t xml:space="preserve">), </w:t>
      </w:r>
      <w:r w:rsidR="001A075A" w:rsidRPr="005C53F5">
        <w:rPr>
          <w:rFonts w:eastAsia="Calibri"/>
          <w:bCs/>
          <w:sz w:val="24"/>
          <w:szCs w:val="24"/>
        </w:rPr>
        <w:t xml:space="preserve">диплом </w:t>
      </w:r>
      <w:r w:rsidRPr="005C53F5">
        <w:rPr>
          <w:rFonts w:eastAsia="Calibri"/>
          <w:bCs/>
          <w:sz w:val="24"/>
          <w:szCs w:val="24"/>
        </w:rPr>
        <w:t xml:space="preserve">в </w:t>
      </w:r>
      <w:r w:rsidR="001A075A" w:rsidRPr="005C53F5">
        <w:rPr>
          <w:rFonts w:eastAsia="Calibri"/>
          <w:bCs/>
          <w:sz w:val="24"/>
          <w:szCs w:val="24"/>
        </w:rPr>
        <w:t xml:space="preserve">финансовой стратегии </w:t>
      </w:r>
      <w:r w:rsidRPr="005C53F5">
        <w:rPr>
          <w:rFonts w:eastAsia="Calibri"/>
          <w:bCs/>
          <w:sz w:val="24"/>
          <w:szCs w:val="24"/>
        </w:rPr>
        <w:t>(диплом с отличием);</w:t>
      </w:r>
    </w:p>
    <w:p w14:paraId="0033D7B4" w14:textId="34E24EC6" w:rsidR="00E85A3C" w:rsidRPr="005C53F5" w:rsidRDefault="00E85A3C" w:rsidP="00057BE5">
      <w:pPr>
        <w:pStyle w:val="a4"/>
        <w:numPr>
          <w:ilvl w:val="0"/>
          <w:numId w:val="15"/>
        </w:numPr>
        <w:ind w:left="1134" w:hanging="425"/>
        <w:jc w:val="both"/>
        <w:rPr>
          <w:rFonts w:eastAsia="Calibri"/>
          <w:bCs/>
          <w:sz w:val="24"/>
          <w:szCs w:val="24"/>
        </w:rPr>
      </w:pPr>
      <w:r w:rsidRPr="005C53F5">
        <w:rPr>
          <w:rFonts w:eastAsia="Calibri"/>
          <w:bCs/>
          <w:sz w:val="24"/>
          <w:szCs w:val="24"/>
        </w:rPr>
        <w:t>Казахский Гуманитарно–Юридический Университет (2012</w:t>
      </w:r>
      <w:r w:rsidR="001A075A" w:rsidRPr="005C53F5">
        <w:rPr>
          <w:rFonts w:eastAsia="Calibri"/>
          <w:bCs/>
          <w:sz w:val="24"/>
          <w:szCs w:val="24"/>
        </w:rPr>
        <w:t>-</w:t>
      </w:r>
      <w:r w:rsidRPr="005C53F5">
        <w:rPr>
          <w:rFonts w:eastAsia="Calibri"/>
          <w:bCs/>
          <w:sz w:val="24"/>
          <w:szCs w:val="24"/>
        </w:rPr>
        <w:t>2014</w:t>
      </w:r>
      <w:r w:rsidR="001A075A" w:rsidRPr="005C53F5">
        <w:rPr>
          <w:rFonts w:eastAsia="Calibri"/>
          <w:bCs/>
          <w:sz w:val="24"/>
          <w:szCs w:val="24"/>
        </w:rPr>
        <w:t xml:space="preserve"> годы</w:t>
      </w:r>
      <w:r w:rsidRPr="005C53F5">
        <w:rPr>
          <w:rFonts w:eastAsia="Calibri"/>
          <w:bCs/>
          <w:sz w:val="24"/>
          <w:szCs w:val="24"/>
        </w:rPr>
        <w:t>)</w:t>
      </w:r>
      <w:r w:rsidR="001A075A" w:rsidRPr="005C53F5">
        <w:rPr>
          <w:rFonts w:eastAsia="Calibri"/>
          <w:bCs/>
          <w:sz w:val="24"/>
          <w:szCs w:val="24"/>
        </w:rPr>
        <w:t>,</w:t>
      </w:r>
      <w:r w:rsidRPr="005C53F5">
        <w:rPr>
          <w:rFonts w:eastAsia="Calibri"/>
          <w:bCs/>
          <w:sz w:val="24"/>
          <w:szCs w:val="24"/>
        </w:rPr>
        <w:t xml:space="preserve"> </w:t>
      </w:r>
      <w:r w:rsidR="001A075A" w:rsidRPr="005C53F5">
        <w:rPr>
          <w:rFonts w:eastAsia="Calibri"/>
          <w:bCs/>
          <w:sz w:val="24"/>
          <w:szCs w:val="24"/>
        </w:rPr>
        <w:t>юриспруденция</w:t>
      </w:r>
      <w:r w:rsidRPr="005C53F5">
        <w:rPr>
          <w:rFonts w:eastAsia="Calibri"/>
          <w:bCs/>
          <w:sz w:val="24"/>
          <w:szCs w:val="24"/>
        </w:rPr>
        <w:t>;</w:t>
      </w:r>
    </w:p>
    <w:p w14:paraId="5FE6D5A7" w14:textId="52BAA6F1" w:rsidR="00E85A3C" w:rsidRPr="005C53F5" w:rsidRDefault="00E85A3C" w:rsidP="00057BE5">
      <w:pPr>
        <w:pStyle w:val="a4"/>
        <w:numPr>
          <w:ilvl w:val="0"/>
          <w:numId w:val="15"/>
        </w:numPr>
        <w:ind w:left="1134" w:hanging="425"/>
        <w:jc w:val="both"/>
        <w:rPr>
          <w:rFonts w:eastAsia="Calibri"/>
          <w:bCs/>
          <w:sz w:val="24"/>
          <w:szCs w:val="24"/>
        </w:rPr>
      </w:pPr>
      <w:r w:rsidRPr="005C53F5">
        <w:rPr>
          <w:rFonts w:eastAsia="Calibri"/>
          <w:bCs/>
          <w:sz w:val="24"/>
          <w:szCs w:val="24"/>
        </w:rPr>
        <w:t>Империал Колледж Лондона, Бизнес школа Imperial College, Великобритания (2017-2019</w:t>
      </w:r>
      <w:r w:rsidR="001A075A" w:rsidRPr="005C53F5">
        <w:rPr>
          <w:rFonts w:eastAsia="Calibri"/>
          <w:bCs/>
          <w:sz w:val="24"/>
          <w:szCs w:val="24"/>
        </w:rPr>
        <w:t xml:space="preserve"> годы</w:t>
      </w:r>
      <w:r w:rsidRPr="005C53F5">
        <w:rPr>
          <w:rFonts w:eastAsia="Calibri"/>
          <w:bCs/>
          <w:sz w:val="24"/>
          <w:szCs w:val="24"/>
        </w:rPr>
        <w:t xml:space="preserve">), </w:t>
      </w:r>
      <w:r w:rsidR="001A075A" w:rsidRPr="005C53F5">
        <w:rPr>
          <w:rFonts w:eastAsia="Calibri"/>
          <w:bCs/>
          <w:sz w:val="24"/>
          <w:szCs w:val="24"/>
        </w:rPr>
        <w:t xml:space="preserve">магистр </w:t>
      </w:r>
      <w:r w:rsidRPr="005C53F5">
        <w:rPr>
          <w:rFonts w:eastAsia="Calibri"/>
          <w:bCs/>
          <w:sz w:val="24"/>
          <w:szCs w:val="24"/>
        </w:rPr>
        <w:t xml:space="preserve">по специальности </w:t>
      </w:r>
      <w:r w:rsidR="001A075A" w:rsidRPr="005C53F5">
        <w:rPr>
          <w:rFonts w:eastAsia="Calibri"/>
          <w:bCs/>
          <w:sz w:val="24"/>
          <w:szCs w:val="24"/>
        </w:rPr>
        <w:t>«</w:t>
      </w:r>
      <w:r w:rsidRPr="005C53F5">
        <w:rPr>
          <w:rFonts w:eastAsia="Calibri"/>
          <w:bCs/>
          <w:sz w:val="24"/>
          <w:szCs w:val="24"/>
        </w:rPr>
        <w:t>Executive MBA</w:t>
      </w:r>
      <w:r w:rsidR="001A075A" w:rsidRPr="005C53F5">
        <w:rPr>
          <w:rFonts w:eastAsia="Calibri"/>
          <w:bCs/>
          <w:sz w:val="24"/>
          <w:szCs w:val="24"/>
        </w:rPr>
        <w:t>»</w:t>
      </w:r>
      <w:r w:rsidRPr="005C53F5">
        <w:rPr>
          <w:rFonts w:eastAsia="Calibri"/>
          <w:bCs/>
          <w:sz w:val="24"/>
          <w:szCs w:val="24"/>
        </w:rPr>
        <w:t xml:space="preserve"> (</w:t>
      </w:r>
      <w:r w:rsidR="001A075A" w:rsidRPr="005C53F5">
        <w:rPr>
          <w:rFonts w:eastAsia="Calibri"/>
          <w:bCs/>
          <w:sz w:val="24"/>
          <w:szCs w:val="24"/>
        </w:rPr>
        <w:t xml:space="preserve">магистр </w:t>
      </w:r>
      <w:r w:rsidRPr="005C53F5">
        <w:rPr>
          <w:rFonts w:eastAsia="Calibri"/>
          <w:bCs/>
          <w:sz w:val="24"/>
          <w:szCs w:val="24"/>
        </w:rPr>
        <w:t>бизнес</w:t>
      </w:r>
      <w:r w:rsidR="001A075A" w:rsidRPr="005C53F5">
        <w:rPr>
          <w:rFonts w:eastAsia="Calibri"/>
          <w:bCs/>
          <w:sz w:val="24"/>
          <w:szCs w:val="24"/>
        </w:rPr>
        <w:t>-</w:t>
      </w:r>
      <w:r w:rsidRPr="005C53F5">
        <w:rPr>
          <w:rFonts w:eastAsia="Calibri"/>
          <w:bCs/>
          <w:sz w:val="24"/>
          <w:szCs w:val="24"/>
        </w:rPr>
        <w:t>администрирования для руководителей)</w:t>
      </w:r>
      <w:r w:rsidR="001A075A" w:rsidRPr="005C53F5">
        <w:rPr>
          <w:rFonts w:eastAsia="Calibri"/>
          <w:bCs/>
          <w:sz w:val="24"/>
          <w:szCs w:val="24"/>
        </w:rPr>
        <w:t>,</w:t>
      </w:r>
      <w:r w:rsidRPr="005C53F5">
        <w:rPr>
          <w:rFonts w:eastAsia="Calibri"/>
          <w:bCs/>
          <w:sz w:val="24"/>
          <w:szCs w:val="24"/>
        </w:rPr>
        <w:t xml:space="preserve"> диплом с отличием;</w:t>
      </w:r>
    </w:p>
    <w:p w14:paraId="359F4987" w14:textId="0F4F5561" w:rsidR="00E85A3C" w:rsidRPr="005C53F5" w:rsidRDefault="00E85A3C" w:rsidP="00057BE5">
      <w:pPr>
        <w:pStyle w:val="a4"/>
        <w:numPr>
          <w:ilvl w:val="0"/>
          <w:numId w:val="15"/>
        </w:numPr>
        <w:ind w:left="1134" w:hanging="425"/>
        <w:jc w:val="both"/>
        <w:rPr>
          <w:rFonts w:eastAsia="Calibri"/>
          <w:bCs/>
          <w:sz w:val="24"/>
          <w:szCs w:val="24"/>
        </w:rPr>
      </w:pPr>
      <w:r w:rsidRPr="005C53F5">
        <w:rPr>
          <w:rFonts w:eastAsia="Calibri"/>
          <w:bCs/>
          <w:sz w:val="24"/>
          <w:szCs w:val="24"/>
        </w:rPr>
        <w:t>Империал Колледж Лондона, Бизнес школа Imperial College, Великобритания (2017</w:t>
      </w:r>
      <w:r w:rsidR="001A075A" w:rsidRPr="005C53F5">
        <w:rPr>
          <w:rFonts w:eastAsia="Calibri"/>
          <w:bCs/>
          <w:sz w:val="24"/>
          <w:szCs w:val="24"/>
        </w:rPr>
        <w:t>-</w:t>
      </w:r>
      <w:r w:rsidRPr="005C53F5">
        <w:rPr>
          <w:rFonts w:eastAsia="Calibri"/>
          <w:bCs/>
          <w:sz w:val="24"/>
          <w:szCs w:val="24"/>
        </w:rPr>
        <w:t>2019</w:t>
      </w:r>
      <w:r w:rsidR="001A075A" w:rsidRPr="005C53F5">
        <w:rPr>
          <w:rFonts w:eastAsia="Calibri"/>
          <w:bCs/>
          <w:sz w:val="24"/>
          <w:szCs w:val="24"/>
        </w:rPr>
        <w:t xml:space="preserve"> годы)</w:t>
      </w:r>
      <w:r w:rsidRPr="005C53F5">
        <w:rPr>
          <w:rFonts w:eastAsia="Calibri"/>
          <w:bCs/>
          <w:sz w:val="24"/>
          <w:szCs w:val="24"/>
        </w:rPr>
        <w:t xml:space="preserve">, </w:t>
      </w:r>
      <w:r w:rsidR="001A075A" w:rsidRPr="005C53F5">
        <w:rPr>
          <w:rFonts w:eastAsia="Calibri"/>
          <w:bCs/>
          <w:sz w:val="24"/>
          <w:szCs w:val="24"/>
        </w:rPr>
        <w:t>д</w:t>
      </w:r>
      <w:r w:rsidRPr="005C53F5">
        <w:rPr>
          <w:rFonts w:eastAsia="Calibri"/>
          <w:bCs/>
          <w:sz w:val="24"/>
          <w:szCs w:val="24"/>
        </w:rPr>
        <w:t xml:space="preserve">иплом в </w:t>
      </w:r>
      <w:r w:rsidR="001A075A" w:rsidRPr="005C53F5">
        <w:rPr>
          <w:rFonts w:eastAsia="Calibri"/>
          <w:bCs/>
          <w:sz w:val="24"/>
          <w:szCs w:val="24"/>
        </w:rPr>
        <w:t>менеджменте</w:t>
      </w:r>
      <w:r w:rsidRPr="005C53F5">
        <w:rPr>
          <w:rFonts w:eastAsia="Calibri"/>
          <w:bCs/>
          <w:sz w:val="24"/>
          <w:szCs w:val="24"/>
        </w:rPr>
        <w:t>;</w:t>
      </w:r>
    </w:p>
    <w:p w14:paraId="3AD48A73"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все должности, занимаемые таким лицом в эмитенте и других организациях за последние пять лет и в настоящее время в хронологическом порядке, в том числе по совместительству:</w:t>
      </w:r>
    </w:p>
    <w:tbl>
      <w:tblPr>
        <w:tblStyle w:val="50"/>
        <w:tblW w:w="5000" w:type="pct"/>
        <w:tblInd w:w="0" w:type="dxa"/>
        <w:tblLayout w:type="fixed"/>
        <w:tblLook w:val="04A0" w:firstRow="1" w:lastRow="0" w:firstColumn="1" w:lastColumn="0" w:noHBand="0" w:noVBand="1"/>
      </w:tblPr>
      <w:tblGrid>
        <w:gridCol w:w="3460"/>
        <w:gridCol w:w="3084"/>
        <w:gridCol w:w="3083"/>
      </w:tblGrid>
      <w:tr w:rsidR="00E85A3C" w:rsidRPr="005C53F5" w14:paraId="39A29058" w14:textId="77777777" w:rsidTr="0037162F">
        <w:tc>
          <w:tcPr>
            <w:tcW w:w="1797" w:type="pct"/>
          </w:tcPr>
          <w:p w14:paraId="06D01F6B"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Период</w:t>
            </w:r>
          </w:p>
        </w:tc>
        <w:tc>
          <w:tcPr>
            <w:tcW w:w="1602" w:type="pct"/>
          </w:tcPr>
          <w:p w14:paraId="795203D7"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Организация</w:t>
            </w:r>
          </w:p>
        </w:tc>
        <w:tc>
          <w:tcPr>
            <w:tcW w:w="1601" w:type="pct"/>
          </w:tcPr>
          <w:p w14:paraId="5A6A433E"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Должность</w:t>
            </w:r>
          </w:p>
        </w:tc>
      </w:tr>
      <w:tr w:rsidR="00E85A3C" w:rsidRPr="005C53F5" w14:paraId="316FA3E8" w14:textId="77777777" w:rsidTr="0037162F">
        <w:tc>
          <w:tcPr>
            <w:tcW w:w="1797" w:type="pct"/>
          </w:tcPr>
          <w:p w14:paraId="2C884C3F" w14:textId="77777777" w:rsidR="00E85A3C" w:rsidRPr="005C53F5" w:rsidRDefault="00E85A3C" w:rsidP="00057BE5">
            <w:pPr>
              <w:shd w:val="clear" w:color="auto" w:fill="FFFFFF"/>
              <w:jc w:val="both"/>
              <w:rPr>
                <w:rFonts w:ascii="Times New Roman" w:hAnsi="Times New Roman" w:cs="Times New Roman"/>
                <w:sz w:val="24"/>
                <w:szCs w:val="24"/>
              </w:rPr>
            </w:pPr>
            <w:r w:rsidRPr="005C53F5">
              <w:rPr>
                <w:rFonts w:ascii="Times New Roman" w:hAnsi="Times New Roman" w:cs="Times New Roman"/>
                <w:color w:val="000000"/>
                <w:sz w:val="24"/>
                <w:szCs w:val="24"/>
              </w:rPr>
              <w:t>С июля 2014 года</w:t>
            </w:r>
          </w:p>
          <w:p w14:paraId="03E1E348" w14:textId="77777777" w:rsidR="00E85A3C" w:rsidRPr="005C53F5" w:rsidRDefault="00E85A3C" w:rsidP="00057BE5">
            <w:pPr>
              <w:jc w:val="both"/>
              <w:rPr>
                <w:rFonts w:ascii="Times New Roman" w:hAnsi="Times New Roman" w:cs="Times New Roman"/>
                <w:color w:val="000000"/>
                <w:sz w:val="24"/>
                <w:szCs w:val="24"/>
                <w:lang w:val="kk-KZ"/>
              </w:rPr>
            </w:pPr>
          </w:p>
        </w:tc>
        <w:tc>
          <w:tcPr>
            <w:tcW w:w="1602" w:type="pct"/>
          </w:tcPr>
          <w:p w14:paraId="0BD90532" w14:textId="77777777" w:rsidR="00E85A3C" w:rsidRPr="005C53F5" w:rsidRDefault="00E85A3C" w:rsidP="00057BE5">
            <w:pPr>
              <w:jc w:val="both"/>
              <w:rPr>
                <w:rFonts w:ascii="Times New Roman" w:hAnsi="Times New Roman" w:cs="Times New Roman"/>
                <w:color w:val="000000"/>
                <w:sz w:val="24"/>
                <w:szCs w:val="24"/>
                <w:lang w:val="kk-KZ"/>
              </w:rPr>
            </w:pPr>
            <w:r w:rsidRPr="005C53F5">
              <w:rPr>
                <w:rFonts w:ascii="Times New Roman" w:hAnsi="Times New Roman" w:cs="Times New Roman"/>
                <w:color w:val="000000"/>
                <w:sz w:val="24"/>
                <w:szCs w:val="24"/>
                <w:lang w:val="kk-KZ"/>
              </w:rPr>
              <w:t>Министерство финансов Республики Казахстан</w:t>
            </w:r>
          </w:p>
        </w:tc>
        <w:tc>
          <w:tcPr>
            <w:tcW w:w="1601" w:type="pct"/>
          </w:tcPr>
          <w:p w14:paraId="1FA8FFF2" w14:textId="77777777" w:rsidR="00E85A3C" w:rsidRPr="005C53F5" w:rsidRDefault="00E85A3C" w:rsidP="00057BE5">
            <w:pPr>
              <w:jc w:val="both"/>
              <w:rPr>
                <w:rFonts w:ascii="Times New Roman" w:hAnsi="Times New Roman" w:cs="Times New Roman"/>
                <w:color w:val="000000"/>
                <w:sz w:val="24"/>
                <w:szCs w:val="24"/>
                <w:lang w:val="kk-KZ"/>
              </w:rPr>
            </w:pPr>
            <w:r w:rsidRPr="005C53F5">
              <w:rPr>
                <w:rFonts w:ascii="Times New Roman" w:hAnsi="Times New Roman" w:cs="Times New Roman"/>
                <w:color w:val="000000"/>
                <w:sz w:val="24"/>
                <w:szCs w:val="24"/>
              </w:rPr>
              <w:t>Вице-министр финансов Республики Казахстан</w:t>
            </w:r>
          </w:p>
        </w:tc>
      </w:tr>
    </w:tbl>
    <w:p w14:paraId="22EFCF94"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доли участия такого лица в уставном капитале эмитента, являющегося коммерческой организацией, а для эмитентов, являющихся акционерными обществами, - также доли принадлежащих такому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w:t>
      </w:r>
      <w:r w:rsidRPr="005C53F5">
        <w:rPr>
          <w:rFonts w:ascii="Times New Roman" w:eastAsia="Calibri" w:hAnsi="Times New Roman" w:cs="Times New Roman"/>
          <w:b/>
          <w:i/>
          <w:iCs/>
          <w:sz w:val="24"/>
          <w:szCs w:val="24"/>
        </w:rPr>
        <w:t>не применимо</w:t>
      </w:r>
      <w:r w:rsidRPr="005C53F5">
        <w:rPr>
          <w:rFonts w:ascii="Times New Roman" w:eastAsia="Calibri" w:hAnsi="Times New Roman" w:cs="Times New Roman"/>
          <w:sz w:val="24"/>
          <w:szCs w:val="24"/>
        </w:rPr>
        <w:t xml:space="preserve">; </w:t>
      </w:r>
    </w:p>
    <w:p w14:paraId="64FB2180" w14:textId="718B116C"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доли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такому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w:t>
      </w:r>
      <w:r w:rsidRPr="005C53F5">
        <w:rPr>
          <w:rFonts w:ascii="Times New Roman" w:eastAsia="Calibri" w:hAnsi="Times New Roman" w:cs="Times New Roman"/>
          <w:b/>
          <w:i/>
          <w:iCs/>
          <w:sz w:val="24"/>
          <w:szCs w:val="24"/>
        </w:rPr>
        <w:t>не применимо</w:t>
      </w:r>
      <w:r w:rsidRPr="005C53F5">
        <w:rPr>
          <w:rFonts w:ascii="Times New Roman" w:eastAsia="Calibri" w:hAnsi="Times New Roman" w:cs="Times New Roman"/>
          <w:sz w:val="24"/>
          <w:szCs w:val="24"/>
        </w:rPr>
        <w:t xml:space="preserve">; </w:t>
      </w:r>
    </w:p>
    <w:p w14:paraId="1141294F"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5C53F5">
        <w:rPr>
          <w:rFonts w:ascii="Times New Roman" w:eastAsia="Calibri" w:hAnsi="Times New Roman" w:cs="Times New Roman"/>
          <w:b/>
          <w:i/>
          <w:iCs/>
          <w:sz w:val="24"/>
          <w:szCs w:val="24"/>
        </w:rPr>
        <w:t>отсутствуют</w:t>
      </w:r>
      <w:r w:rsidRPr="005C53F5">
        <w:rPr>
          <w:rFonts w:ascii="Times New Roman" w:eastAsia="Calibri" w:hAnsi="Times New Roman" w:cs="Times New Roman"/>
          <w:sz w:val="24"/>
          <w:szCs w:val="24"/>
        </w:rPr>
        <w:t xml:space="preserve">; </w:t>
      </w:r>
    </w:p>
    <w:p w14:paraId="0BDA6E34"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5C53F5">
        <w:rPr>
          <w:rFonts w:ascii="Times New Roman" w:eastAsia="Calibri" w:hAnsi="Times New Roman" w:cs="Times New Roman"/>
          <w:b/>
          <w:i/>
          <w:iCs/>
          <w:sz w:val="24"/>
          <w:szCs w:val="24"/>
        </w:rPr>
        <w:t>не привлекался</w:t>
      </w:r>
      <w:r w:rsidRPr="005C53F5">
        <w:rPr>
          <w:rFonts w:ascii="Times New Roman" w:eastAsia="Calibri" w:hAnsi="Times New Roman" w:cs="Times New Roman"/>
          <w:sz w:val="24"/>
          <w:szCs w:val="24"/>
        </w:rPr>
        <w:t xml:space="preserve">; </w:t>
      </w:r>
    </w:p>
    <w:p w14:paraId="55C284B3"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5C53F5">
        <w:rPr>
          <w:rFonts w:ascii="Times New Roman" w:eastAsia="Calibri" w:hAnsi="Times New Roman" w:cs="Times New Roman"/>
          <w:b/>
          <w:i/>
          <w:iCs/>
          <w:sz w:val="24"/>
          <w:szCs w:val="24"/>
        </w:rPr>
        <w:t>не занимал</w:t>
      </w:r>
      <w:r w:rsidRPr="005C53F5">
        <w:rPr>
          <w:rFonts w:ascii="Times New Roman" w:eastAsia="Calibri" w:hAnsi="Times New Roman" w:cs="Times New Roman"/>
          <w:sz w:val="24"/>
          <w:szCs w:val="24"/>
        </w:rPr>
        <w:t>;</w:t>
      </w:r>
    </w:p>
    <w:p w14:paraId="2269AFA1"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5) фамилия, имя, отчество: </w:t>
      </w:r>
      <w:r w:rsidRPr="005C53F5">
        <w:rPr>
          <w:rFonts w:ascii="Times New Roman" w:eastAsia="Calibri" w:hAnsi="Times New Roman" w:cs="Times New Roman"/>
          <w:b/>
          <w:i/>
          <w:iCs/>
          <w:sz w:val="24"/>
          <w:szCs w:val="24"/>
        </w:rPr>
        <w:t>Савельева Татьяна Михайловна</w:t>
      </w:r>
      <w:r w:rsidRPr="005C53F5">
        <w:rPr>
          <w:rFonts w:ascii="Times New Roman" w:eastAsia="Calibri" w:hAnsi="Times New Roman" w:cs="Times New Roman"/>
          <w:bCs/>
          <w:sz w:val="24"/>
          <w:szCs w:val="24"/>
        </w:rPr>
        <w:t>;</w:t>
      </w:r>
    </w:p>
    <w:p w14:paraId="4B837CD8"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год рождения: </w:t>
      </w:r>
      <w:r w:rsidRPr="005C53F5">
        <w:rPr>
          <w:rFonts w:ascii="Times New Roman" w:eastAsia="Calibri" w:hAnsi="Times New Roman" w:cs="Times New Roman"/>
          <w:b/>
          <w:i/>
          <w:iCs/>
          <w:sz w:val="24"/>
          <w:szCs w:val="24"/>
        </w:rPr>
        <w:t>1976 год</w:t>
      </w:r>
      <w:r w:rsidRPr="005C53F5">
        <w:rPr>
          <w:rFonts w:ascii="Times New Roman" w:eastAsia="Calibri" w:hAnsi="Times New Roman" w:cs="Times New Roman"/>
          <w:sz w:val="24"/>
          <w:szCs w:val="24"/>
        </w:rPr>
        <w:t xml:space="preserve">; </w:t>
      </w:r>
    </w:p>
    <w:p w14:paraId="0E593DA4" w14:textId="72AB01C0" w:rsidR="00E85A3C" w:rsidRPr="005C53F5" w:rsidRDefault="00E85A3C" w:rsidP="00057BE5">
      <w:pPr>
        <w:spacing w:after="0" w:line="240" w:lineRule="auto"/>
        <w:ind w:firstLine="709"/>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сведения об образовании: </w:t>
      </w:r>
      <w:r w:rsidRPr="005C53F5">
        <w:rPr>
          <w:rFonts w:ascii="Times New Roman" w:eastAsia="Calibri" w:hAnsi="Times New Roman" w:cs="Times New Roman"/>
          <w:b/>
          <w:i/>
          <w:iCs/>
          <w:sz w:val="24"/>
          <w:szCs w:val="24"/>
        </w:rPr>
        <w:t>высшее, в 2001 году окончила Акмолинский аграрный университет по специальности «Экономика и менеджмент», в 2007 году – Евразийский национальный университет по специальности «Экономика»</w:t>
      </w:r>
      <w:r w:rsidRPr="005C53F5">
        <w:rPr>
          <w:rFonts w:ascii="Times New Roman" w:eastAsia="Calibri" w:hAnsi="Times New Roman" w:cs="Times New Roman"/>
          <w:bCs/>
          <w:sz w:val="24"/>
          <w:szCs w:val="24"/>
        </w:rPr>
        <w:t>;</w:t>
      </w:r>
    </w:p>
    <w:p w14:paraId="109E87E2"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все должности, занимаемые таким лицом в эмитенте и других организациях за последние пять лет и в настоящее время в хронологическом порядке, в том числе по совместительству:</w:t>
      </w:r>
    </w:p>
    <w:tbl>
      <w:tblPr>
        <w:tblStyle w:val="50"/>
        <w:tblW w:w="5000" w:type="pct"/>
        <w:tblInd w:w="0" w:type="dxa"/>
        <w:tblLayout w:type="fixed"/>
        <w:tblLook w:val="04A0" w:firstRow="1" w:lastRow="0" w:firstColumn="1" w:lastColumn="0" w:noHBand="0" w:noVBand="1"/>
      </w:tblPr>
      <w:tblGrid>
        <w:gridCol w:w="3460"/>
        <w:gridCol w:w="3084"/>
        <w:gridCol w:w="3083"/>
      </w:tblGrid>
      <w:tr w:rsidR="00E85A3C" w:rsidRPr="005C53F5" w14:paraId="054EF379" w14:textId="77777777" w:rsidTr="0037162F">
        <w:tc>
          <w:tcPr>
            <w:tcW w:w="1797" w:type="pct"/>
          </w:tcPr>
          <w:p w14:paraId="2CCFB1A2"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Период</w:t>
            </w:r>
          </w:p>
        </w:tc>
        <w:tc>
          <w:tcPr>
            <w:tcW w:w="1602" w:type="pct"/>
          </w:tcPr>
          <w:p w14:paraId="36DE6719"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Организация</w:t>
            </w:r>
          </w:p>
        </w:tc>
        <w:tc>
          <w:tcPr>
            <w:tcW w:w="1602" w:type="pct"/>
          </w:tcPr>
          <w:p w14:paraId="0D25FC5B"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Должность</w:t>
            </w:r>
          </w:p>
        </w:tc>
      </w:tr>
      <w:tr w:rsidR="00E85A3C" w:rsidRPr="005C53F5" w14:paraId="7A7E80EF" w14:textId="77777777" w:rsidTr="0037162F">
        <w:tc>
          <w:tcPr>
            <w:tcW w:w="1797" w:type="pct"/>
          </w:tcPr>
          <w:p w14:paraId="40DF1637" w14:textId="77777777" w:rsidR="00E85A3C" w:rsidRPr="005C53F5" w:rsidRDefault="00E85A3C" w:rsidP="00057BE5">
            <w:pPr>
              <w:rPr>
                <w:rFonts w:ascii="Times New Roman" w:hAnsi="Times New Roman" w:cs="Times New Roman"/>
                <w:sz w:val="24"/>
                <w:szCs w:val="24"/>
              </w:rPr>
            </w:pPr>
            <w:r w:rsidRPr="005C53F5">
              <w:rPr>
                <w:rFonts w:ascii="Times New Roman" w:hAnsi="Times New Roman" w:cs="Times New Roman"/>
                <w:sz w:val="24"/>
                <w:szCs w:val="24"/>
              </w:rPr>
              <w:t>С октября 2014 года по апрель 2016 года</w:t>
            </w:r>
          </w:p>
        </w:tc>
        <w:tc>
          <w:tcPr>
            <w:tcW w:w="1602" w:type="pct"/>
          </w:tcPr>
          <w:p w14:paraId="49640ABB" w14:textId="77777777" w:rsidR="00E85A3C" w:rsidRPr="005C53F5" w:rsidRDefault="00E85A3C" w:rsidP="00057BE5">
            <w:pPr>
              <w:jc w:val="both"/>
              <w:rPr>
                <w:rFonts w:ascii="Times New Roman" w:hAnsi="Times New Roman" w:cs="Times New Roman"/>
                <w:color w:val="000000"/>
                <w:sz w:val="24"/>
                <w:szCs w:val="24"/>
                <w:lang w:val="kk-KZ"/>
              </w:rPr>
            </w:pPr>
            <w:r w:rsidRPr="005C53F5">
              <w:rPr>
                <w:rFonts w:ascii="Times New Roman" w:hAnsi="Times New Roman" w:cs="Times New Roman"/>
                <w:color w:val="000000"/>
                <w:sz w:val="24"/>
                <w:szCs w:val="24"/>
                <w:lang w:val="kk-KZ"/>
              </w:rPr>
              <w:t>Министерство финансов Республики Казахстан</w:t>
            </w:r>
          </w:p>
        </w:tc>
        <w:tc>
          <w:tcPr>
            <w:tcW w:w="1602" w:type="pct"/>
          </w:tcPr>
          <w:p w14:paraId="1DFC7E1B" w14:textId="77777777" w:rsidR="00E85A3C" w:rsidRPr="005C53F5" w:rsidRDefault="00E85A3C" w:rsidP="00057BE5">
            <w:pPr>
              <w:rPr>
                <w:rFonts w:ascii="Times New Roman" w:hAnsi="Times New Roman" w:cs="Times New Roman"/>
                <w:sz w:val="24"/>
                <w:szCs w:val="24"/>
              </w:rPr>
            </w:pPr>
            <w:r w:rsidRPr="005C53F5">
              <w:rPr>
                <w:rFonts w:ascii="Times New Roman" w:hAnsi="Times New Roman" w:cs="Times New Roman"/>
                <w:sz w:val="24"/>
                <w:szCs w:val="24"/>
              </w:rPr>
              <w:t>Директор Департамента бюджетного планирования </w:t>
            </w:r>
          </w:p>
        </w:tc>
      </w:tr>
      <w:tr w:rsidR="00E85A3C" w:rsidRPr="005C53F5" w14:paraId="2E6EB2E5" w14:textId="77777777" w:rsidTr="0037162F">
        <w:tc>
          <w:tcPr>
            <w:tcW w:w="1797" w:type="pct"/>
          </w:tcPr>
          <w:p w14:paraId="62255AB1" w14:textId="77777777" w:rsidR="00E85A3C" w:rsidRPr="005C53F5" w:rsidRDefault="00E85A3C" w:rsidP="00057BE5">
            <w:pPr>
              <w:rPr>
                <w:rFonts w:ascii="Times New Roman" w:hAnsi="Times New Roman" w:cs="Times New Roman"/>
                <w:sz w:val="24"/>
                <w:szCs w:val="24"/>
              </w:rPr>
            </w:pPr>
            <w:r w:rsidRPr="005C53F5">
              <w:rPr>
                <w:rFonts w:ascii="Times New Roman" w:hAnsi="Times New Roman" w:cs="Times New Roman"/>
                <w:sz w:val="24"/>
                <w:szCs w:val="24"/>
              </w:rPr>
              <w:t>С апреля 2016 года </w:t>
            </w:r>
          </w:p>
        </w:tc>
        <w:tc>
          <w:tcPr>
            <w:tcW w:w="1602" w:type="pct"/>
          </w:tcPr>
          <w:p w14:paraId="4E151A88" w14:textId="77777777" w:rsidR="00E85A3C" w:rsidRPr="005C53F5" w:rsidRDefault="00E85A3C" w:rsidP="00057BE5">
            <w:pPr>
              <w:jc w:val="both"/>
              <w:rPr>
                <w:rFonts w:ascii="Times New Roman" w:hAnsi="Times New Roman" w:cs="Times New Roman"/>
                <w:color w:val="000000"/>
                <w:sz w:val="24"/>
                <w:szCs w:val="24"/>
                <w:lang w:val="kk-KZ"/>
              </w:rPr>
            </w:pPr>
            <w:r w:rsidRPr="005C53F5">
              <w:rPr>
                <w:rFonts w:ascii="Times New Roman" w:hAnsi="Times New Roman" w:cs="Times New Roman"/>
                <w:color w:val="000000"/>
                <w:sz w:val="24"/>
                <w:szCs w:val="24"/>
                <w:lang w:val="kk-KZ"/>
              </w:rPr>
              <w:t>Министерство финансов Республики Казахстан</w:t>
            </w:r>
          </w:p>
        </w:tc>
        <w:tc>
          <w:tcPr>
            <w:tcW w:w="1602" w:type="pct"/>
          </w:tcPr>
          <w:p w14:paraId="1AA7B245" w14:textId="77777777" w:rsidR="00E85A3C" w:rsidRPr="005C53F5" w:rsidRDefault="00E85A3C" w:rsidP="00057BE5">
            <w:pPr>
              <w:jc w:val="both"/>
              <w:rPr>
                <w:rFonts w:ascii="Times New Roman" w:hAnsi="Times New Roman" w:cs="Times New Roman"/>
                <w:color w:val="000000"/>
                <w:sz w:val="24"/>
                <w:szCs w:val="24"/>
              </w:rPr>
            </w:pPr>
            <w:r w:rsidRPr="005C53F5">
              <w:rPr>
                <w:rFonts w:ascii="Times New Roman" w:hAnsi="Times New Roman" w:cs="Times New Roman"/>
                <w:color w:val="000000"/>
                <w:sz w:val="24"/>
                <w:szCs w:val="24"/>
              </w:rPr>
              <w:t>Вице-министр финансов Республики Казахстан</w:t>
            </w:r>
          </w:p>
        </w:tc>
      </w:tr>
    </w:tbl>
    <w:p w14:paraId="67D1CD03"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доли участия такого лица в уставном капитале эмитента, являющегося коммерческой организацией, а для эмитентов, являющихся акционерными обществами, - также доли принадлежащих такому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w:t>
      </w:r>
      <w:r w:rsidRPr="005C53F5">
        <w:rPr>
          <w:rFonts w:ascii="Times New Roman" w:eastAsia="Calibri" w:hAnsi="Times New Roman" w:cs="Times New Roman"/>
          <w:b/>
          <w:i/>
          <w:iCs/>
          <w:sz w:val="24"/>
          <w:szCs w:val="24"/>
        </w:rPr>
        <w:t>не применимо</w:t>
      </w:r>
      <w:r w:rsidRPr="005C53F5">
        <w:rPr>
          <w:rFonts w:ascii="Times New Roman" w:eastAsia="Calibri" w:hAnsi="Times New Roman" w:cs="Times New Roman"/>
          <w:sz w:val="24"/>
          <w:szCs w:val="24"/>
        </w:rPr>
        <w:t xml:space="preserve">; </w:t>
      </w:r>
    </w:p>
    <w:p w14:paraId="76B2D36A" w14:textId="7F285C5C"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доли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такому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w:t>
      </w:r>
      <w:r w:rsidRPr="005C53F5">
        <w:rPr>
          <w:rFonts w:ascii="Times New Roman" w:eastAsia="Calibri" w:hAnsi="Times New Roman" w:cs="Times New Roman"/>
          <w:b/>
          <w:i/>
          <w:iCs/>
          <w:sz w:val="24"/>
          <w:szCs w:val="24"/>
        </w:rPr>
        <w:t>не применимо</w:t>
      </w:r>
      <w:r w:rsidRPr="005C53F5">
        <w:rPr>
          <w:rFonts w:ascii="Times New Roman" w:eastAsia="Calibri" w:hAnsi="Times New Roman" w:cs="Times New Roman"/>
          <w:sz w:val="24"/>
          <w:szCs w:val="24"/>
        </w:rPr>
        <w:t xml:space="preserve">; </w:t>
      </w:r>
    </w:p>
    <w:p w14:paraId="456575DB"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5C53F5">
        <w:rPr>
          <w:rFonts w:ascii="Times New Roman" w:eastAsia="Calibri" w:hAnsi="Times New Roman" w:cs="Times New Roman"/>
          <w:b/>
          <w:i/>
          <w:iCs/>
          <w:sz w:val="24"/>
          <w:szCs w:val="24"/>
        </w:rPr>
        <w:t>отсутствуют</w:t>
      </w:r>
      <w:r w:rsidRPr="005C53F5">
        <w:rPr>
          <w:rFonts w:ascii="Times New Roman" w:eastAsia="Calibri" w:hAnsi="Times New Roman" w:cs="Times New Roman"/>
          <w:sz w:val="24"/>
          <w:szCs w:val="24"/>
        </w:rPr>
        <w:t xml:space="preserve">; </w:t>
      </w:r>
    </w:p>
    <w:p w14:paraId="60671F35"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5C53F5">
        <w:rPr>
          <w:rFonts w:ascii="Times New Roman" w:eastAsia="Calibri" w:hAnsi="Times New Roman" w:cs="Times New Roman"/>
          <w:b/>
          <w:i/>
          <w:iCs/>
          <w:sz w:val="24"/>
          <w:szCs w:val="24"/>
        </w:rPr>
        <w:t>не привлекался</w:t>
      </w:r>
      <w:r w:rsidRPr="005C53F5">
        <w:rPr>
          <w:rFonts w:ascii="Times New Roman" w:eastAsia="Calibri" w:hAnsi="Times New Roman" w:cs="Times New Roman"/>
          <w:sz w:val="24"/>
          <w:szCs w:val="24"/>
        </w:rPr>
        <w:t xml:space="preserve">; </w:t>
      </w:r>
    </w:p>
    <w:p w14:paraId="004EEA35" w14:textId="29CF6560"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5C53F5">
        <w:rPr>
          <w:rFonts w:ascii="Times New Roman" w:eastAsia="Calibri" w:hAnsi="Times New Roman" w:cs="Times New Roman"/>
          <w:b/>
          <w:i/>
          <w:iCs/>
          <w:sz w:val="24"/>
          <w:szCs w:val="24"/>
        </w:rPr>
        <w:t>не занимал</w:t>
      </w:r>
      <w:r w:rsidRPr="005C53F5">
        <w:rPr>
          <w:rFonts w:ascii="Times New Roman" w:eastAsia="Calibri" w:hAnsi="Times New Roman" w:cs="Times New Roman"/>
          <w:sz w:val="24"/>
          <w:szCs w:val="24"/>
        </w:rPr>
        <w:t xml:space="preserve">; </w:t>
      </w:r>
    </w:p>
    <w:p w14:paraId="6E7BA5FA"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6) фамилия, имя, отчество: </w:t>
      </w:r>
      <w:r w:rsidRPr="005C53F5">
        <w:rPr>
          <w:rFonts w:ascii="Times New Roman" w:eastAsia="Calibri" w:hAnsi="Times New Roman" w:cs="Times New Roman"/>
          <w:b/>
          <w:i/>
          <w:iCs/>
          <w:sz w:val="24"/>
          <w:szCs w:val="24"/>
        </w:rPr>
        <w:t>Енсебаев Руслан Сатбекович</w:t>
      </w:r>
      <w:r w:rsidRPr="005C53F5">
        <w:rPr>
          <w:rFonts w:ascii="Times New Roman" w:eastAsia="Calibri" w:hAnsi="Times New Roman" w:cs="Times New Roman"/>
          <w:bCs/>
          <w:sz w:val="24"/>
          <w:szCs w:val="24"/>
        </w:rPr>
        <w:t>;</w:t>
      </w:r>
    </w:p>
    <w:p w14:paraId="189B66E7"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год рождения: </w:t>
      </w:r>
      <w:r w:rsidRPr="005C53F5">
        <w:rPr>
          <w:rFonts w:ascii="Times New Roman" w:eastAsia="Calibri" w:hAnsi="Times New Roman" w:cs="Times New Roman"/>
          <w:b/>
          <w:i/>
          <w:iCs/>
          <w:sz w:val="24"/>
          <w:szCs w:val="24"/>
        </w:rPr>
        <w:t>1981 год</w:t>
      </w:r>
      <w:r w:rsidRPr="005C53F5">
        <w:rPr>
          <w:rFonts w:ascii="Times New Roman" w:eastAsia="Calibri" w:hAnsi="Times New Roman" w:cs="Times New Roman"/>
          <w:sz w:val="24"/>
          <w:szCs w:val="24"/>
        </w:rPr>
        <w:t xml:space="preserve">; </w:t>
      </w:r>
    </w:p>
    <w:p w14:paraId="1CC7702E" w14:textId="052C1EBF" w:rsidR="00E85A3C" w:rsidRPr="005C53F5" w:rsidRDefault="00E85A3C" w:rsidP="00057BE5">
      <w:pPr>
        <w:spacing w:after="0" w:line="240" w:lineRule="auto"/>
        <w:ind w:firstLine="709"/>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сведения об образовании: </w:t>
      </w:r>
      <w:r w:rsidRPr="005C53F5">
        <w:rPr>
          <w:rFonts w:ascii="Times New Roman" w:eastAsia="Calibri" w:hAnsi="Times New Roman" w:cs="Times New Roman"/>
          <w:b/>
          <w:i/>
          <w:iCs/>
          <w:sz w:val="24"/>
          <w:szCs w:val="24"/>
        </w:rPr>
        <w:t>высшее,</w:t>
      </w:r>
      <w:r w:rsidRPr="005C53F5">
        <w:rPr>
          <w:rFonts w:ascii="Times New Roman" w:eastAsia="Calibri" w:hAnsi="Times New Roman" w:cs="Times New Roman"/>
          <w:i/>
          <w:iCs/>
          <w:sz w:val="24"/>
          <w:szCs w:val="24"/>
        </w:rPr>
        <w:t xml:space="preserve"> </w:t>
      </w:r>
      <w:r w:rsidRPr="005C53F5">
        <w:rPr>
          <w:rFonts w:ascii="Times New Roman" w:eastAsia="Calibri" w:hAnsi="Times New Roman" w:cs="Times New Roman"/>
          <w:b/>
          <w:i/>
          <w:iCs/>
          <w:sz w:val="24"/>
          <w:szCs w:val="24"/>
        </w:rPr>
        <w:t>в 2001 году окончил Государственный политический колледж г. Астана, в 2005 году Институт Управления, в 2013 году Казахский национальный технический университет им. К.И. Сатпаева, в 2016 году АО «Международный университет информационных технологий»</w:t>
      </w:r>
      <w:r w:rsidRPr="005C53F5">
        <w:rPr>
          <w:rFonts w:ascii="Times New Roman" w:eastAsia="Calibri" w:hAnsi="Times New Roman" w:cs="Times New Roman"/>
          <w:bCs/>
          <w:sz w:val="24"/>
          <w:szCs w:val="24"/>
        </w:rPr>
        <w:t>;</w:t>
      </w:r>
    </w:p>
    <w:p w14:paraId="2A275A65"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все должности, занимаемые таким лицом в эмитенте и других организациях за последние пять лет и в настоящее время в хронологическом порядке, в том числе по совместительству:</w:t>
      </w:r>
    </w:p>
    <w:tbl>
      <w:tblPr>
        <w:tblStyle w:val="50"/>
        <w:tblW w:w="5000" w:type="pct"/>
        <w:tblInd w:w="0" w:type="dxa"/>
        <w:tblLayout w:type="fixed"/>
        <w:tblLook w:val="04A0" w:firstRow="1" w:lastRow="0" w:firstColumn="1" w:lastColumn="0" w:noHBand="0" w:noVBand="1"/>
      </w:tblPr>
      <w:tblGrid>
        <w:gridCol w:w="3460"/>
        <w:gridCol w:w="3084"/>
        <w:gridCol w:w="3083"/>
      </w:tblGrid>
      <w:tr w:rsidR="00E85A3C" w:rsidRPr="005C53F5" w14:paraId="411DFC8D" w14:textId="77777777" w:rsidTr="0037162F">
        <w:tc>
          <w:tcPr>
            <w:tcW w:w="1797" w:type="pct"/>
          </w:tcPr>
          <w:p w14:paraId="42C3ABAF"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Период</w:t>
            </w:r>
          </w:p>
        </w:tc>
        <w:tc>
          <w:tcPr>
            <w:tcW w:w="1602" w:type="pct"/>
          </w:tcPr>
          <w:p w14:paraId="679E2DFE"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Организация</w:t>
            </w:r>
          </w:p>
        </w:tc>
        <w:tc>
          <w:tcPr>
            <w:tcW w:w="1602" w:type="pct"/>
          </w:tcPr>
          <w:p w14:paraId="3A5745D0" w14:textId="77777777" w:rsidR="00E85A3C" w:rsidRPr="005C53F5" w:rsidRDefault="00E85A3C" w:rsidP="00057BE5">
            <w:pPr>
              <w:jc w:val="center"/>
              <w:rPr>
                <w:rFonts w:ascii="Times New Roman" w:eastAsia="Calibri" w:hAnsi="Times New Roman" w:cs="Times New Roman"/>
                <w:b/>
                <w:sz w:val="24"/>
                <w:szCs w:val="24"/>
              </w:rPr>
            </w:pPr>
            <w:r w:rsidRPr="005C53F5">
              <w:rPr>
                <w:rFonts w:ascii="Times New Roman" w:eastAsia="Calibri" w:hAnsi="Times New Roman" w:cs="Times New Roman"/>
                <w:b/>
                <w:sz w:val="24"/>
                <w:szCs w:val="24"/>
              </w:rPr>
              <w:t>Должность</w:t>
            </w:r>
          </w:p>
        </w:tc>
      </w:tr>
      <w:tr w:rsidR="00E85A3C" w:rsidRPr="005C53F5" w14:paraId="1E85CB7D" w14:textId="77777777" w:rsidTr="0037162F">
        <w:tc>
          <w:tcPr>
            <w:tcW w:w="1797" w:type="pct"/>
          </w:tcPr>
          <w:p w14:paraId="366E8BB5" w14:textId="77777777" w:rsidR="00E85A3C" w:rsidRPr="005C53F5" w:rsidRDefault="00E85A3C" w:rsidP="00057BE5">
            <w:pPr>
              <w:rPr>
                <w:rFonts w:ascii="Times New Roman" w:hAnsi="Times New Roman" w:cs="Times New Roman"/>
                <w:sz w:val="24"/>
                <w:szCs w:val="24"/>
              </w:rPr>
            </w:pPr>
            <w:r w:rsidRPr="005C53F5">
              <w:rPr>
                <w:rFonts w:ascii="Times New Roman" w:hAnsi="Times New Roman" w:cs="Times New Roman"/>
                <w:sz w:val="24"/>
                <w:szCs w:val="24"/>
              </w:rPr>
              <w:t>с 2014 года по март 2016 года</w:t>
            </w:r>
          </w:p>
        </w:tc>
        <w:tc>
          <w:tcPr>
            <w:tcW w:w="1602" w:type="pct"/>
          </w:tcPr>
          <w:p w14:paraId="49F27A77" w14:textId="77777777" w:rsidR="00E85A3C" w:rsidRPr="005C53F5" w:rsidRDefault="00E85A3C" w:rsidP="00057BE5">
            <w:pPr>
              <w:rPr>
                <w:rFonts w:ascii="Times New Roman" w:hAnsi="Times New Roman" w:cs="Times New Roman"/>
                <w:sz w:val="24"/>
                <w:szCs w:val="24"/>
              </w:rPr>
            </w:pPr>
            <w:r w:rsidRPr="005C53F5">
              <w:rPr>
                <w:rFonts w:ascii="Times New Roman" w:hAnsi="Times New Roman" w:cs="Times New Roman"/>
                <w:sz w:val="24"/>
                <w:szCs w:val="24"/>
              </w:rPr>
              <w:t>АО «НИТ»</w:t>
            </w:r>
          </w:p>
        </w:tc>
        <w:tc>
          <w:tcPr>
            <w:tcW w:w="1602" w:type="pct"/>
          </w:tcPr>
          <w:p w14:paraId="76510DA8" w14:textId="77777777" w:rsidR="00E85A3C" w:rsidRPr="005C53F5" w:rsidRDefault="00E85A3C" w:rsidP="00057BE5">
            <w:pPr>
              <w:rPr>
                <w:rFonts w:ascii="Times New Roman" w:hAnsi="Times New Roman" w:cs="Times New Roman"/>
                <w:sz w:val="24"/>
                <w:szCs w:val="24"/>
              </w:rPr>
            </w:pPr>
            <w:r w:rsidRPr="005C53F5">
              <w:rPr>
                <w:rFonts w:ascii="Times New Roman" w:hAnsi="Times New Roman" w:cs="Times New Roman"/>
                <w:sz w:val="24"/>
                <w:szCs w:val="24"/>
              </w:rPr>
              <w:t xml:space="preserve">Председатель Правления </w:t>
            </w:r>
          </w:p>
        </w:tc>
      </w:tr>
      <w:tr w:rsidR="00E85A3C" w:rsidRPr="005C53F5" w14:paraId="3913B35B" w14:textId="77777777" w:rsidTr="0037162F">
        <w:tc>
          <w:tcPr>
            <w:tcW w:w="1797" w:type="pct"/>
          </w:tcPr>
          <w:p w14:paraId="0DDC2BCB" w14:textId="77777777" w:rsidR="00E85A3C" w:rsidRPr="005C53F5" w:rsidRDefault="00E85A3C" w:rsidP="00057BE5">
            <w:pPr>
              <w:rPr>
                <w:rFonts w:ascii="Times New Roman" w:hAnsi="Times New Roman" w:cs="Times New Roman"/>
                <w:sz w:val="24"/>
                <w:szCs w:val="24"/>
              </w:rPr>
            </w:pPr>
            <w:r w:rsidRPr="005C53F5">
              <w:rPr>
                <w:rFonts w:ascii="Times New Roman" w:hAnsi="Times New Roman" w:cs="Times New Roman"/>
                <w:sz w:val="24"/>
                <w:szCs w:val="24"/>
              </w:rPr>
              <w:t>с 2016 по 2017 годы</w:t>
            </w:r>
          </w:p>
        </w:tc>
        <w:tc>
          <w:tcPr>
            <w:tcW w:w="1602" w:type="pct"/>
          </w:tcPr>
          <w:p w14:paraId="5288B2C2" w14:textId="77777777" w:rsidR="00E85A3C" w:rsidRPr="005C53F5" w:rsidRDefault="00E85A3C" w:rsidP="00057BE5">
            <w:pPr>
              <w:jc w:val="both"/>
              <w:rPr>
                <w:rFonts w:ascii="Times New Roman" w:hAnsi="Times New Roman" w:cs="Times New Roman"/>
                <w:sz w:val="24"/>
                <w:szCs w:val="24"/>
              </w:rPr>
            </w:pPr>
            <w:r w:rsidRPr="005C53F5">
              <w:rPr>
                <w:rFonts w:ascii="Times New Roman" w:hAnsi="Times New Roman" w:cs="Times New Roman"/>
                <w:sz w:val="24"/>
                <w:szCs w:val="24"/>
              </w:rPr>
              <w:t>АО «НАК Казатомпром»</w:t>
            </w:r>
          </w:p>
        </w:tc>
        <w:tc>
          <w:tcPr>
            <w:tcW w:w="1602" w:type="pct"/>
          </w:tcPr>
          <w:p w14:paraId="613E962A" w14:textId="77777777" w:rsidR="00E85A3C" w:rsidRPr="005C53F5" w:rsidRDefault="00E85A3C" w:rsidP="00057BE5">
            <w:pPr>
              <w:jc w:val="both"/>
              <w:rPr>
                <w:rFonts w:ascii="Times New Roman" w:hAnsi="Times New Roman" w:cs="Times New Roman"/>
                <w:sz w:val="24"/>
                <w:szCs w:val="24"/>
              </w:rPr>
            </w:pPr>
            <w:r w:rsidRPr="005C53F5">
              <w:rPr>
                <w:rFonts w:ascii="Times New Roman" w:hAnsi="Times New Roman" w:cs="Times New Roman"/>
                <w:sz w:val="24"/>
                <w:szCs w:val="24"/>
              </w:rPr>
              <w:t xml:space="preserve">Главный директор по трансформации и кадровой политике </w:t>
            </w:r>
          </w:p>
        </w:tc>
      </w:tr>
      <w:tr w:rsidR="00E85A3C" w:rsidRPr="005C53F5" w14:paraId="2FD62735" w14:textId="77777777" w:rsidTr="0037162F">
        <w:tc>
          <w:tcPr>
            <w:tcW w:w="1797" w:type="pct"/>
          </w:tcPr>
          <w:p w14:paraId="43D48BB1" w14:textId="77777777" w:rsidR="00E85A3C" w:rsidRPr="005C53F5" w:rsidRDefault="00E85A3C" w:rsidP="00057BE5">
            <w:pPr>
              <w:rPr>
                <w:rFonts w:ascii="Times New Roman" w:hAnsi="Times New Roman" w:cs="Times New Roman"/>
                <w:sz w:val="24"/>
                <w:szCs w:val="24"/>
              </w:rPr>
            </w:pPr>
            <w:r w:rsidRPr="005C53F5">
              <w:rPr>
                <w:rFonts w:ascii="Times New Roman" w:hAnsi="Times New Roman" w:cs="Times New Roman"/>
                <w:sz w:val="24"/>
                <w:szCs w:val="24"/>
              </w:rPr>
              <w:t>с 2017 года по май 2018 года</w:t>
            </w:r>
          </w:p>
          <w:p w14:paraId="4BFFD2C7" w14:textId="77777777" w:rsidR="00E85A3C" w:rsidRPr="005C53F5" w:rsidRDefault="00E85A3C" w:rsidP="00057BE5">
            <w:pPr>
              <w:rPr>
                <w:rFonts w:ascii="Times New Roman" w:hAnsi="Times New Roman" w:cs="Times New Roman"/>
                <w:sz w:val="24"/>
                <w:szCs w:val="24"/>
              </w:rPr>
            </w:pPr>
          </w:p>
        </w:tc>
        <w:tc>
          <w:tcPr>
            <w:tcW w:w="1602" w:type="pct"/>
          </w:tcPr>
          <w:p w14:paraId="3045EF17" w14:textId="77777777" w:rsidR="00E85A3C" w:rsidRPr="005C53F5" w:rsidRDefault="00E85A3C" w:rsidP="00057BE5">
            <w:pPr>
              <w:rPr>
                <w:rFonts w:ascii="Times New Roman" w:hAnsi="Times New Roman" w:cs="Times New Roman"/>
                <w:sz w:val="24"/>
                <w:szCs w:val="24"/>
              </w:rPr>
            </w:pPr>
            <w:r w:rsidRPr="005C53F5">
              <w:rPr>
                <w:rFonts w:ascii="Times New Roman" w:hAnsi="Times New Roman" w:cs="Times New Roman"/>
                <w:sz w:val="24"/>
                <w:szCs w:val="24"/>
              </w:rPr>
              <w:t>АО «НИХ «Зерде»</w:t>
            </w:r>
          </w:p>
        </w:tc>
        <w:tc>
          <w:tcPr>
            <w:tcW w:w="1602" w:type="pct"/>
          </w:tcPr>
          <w:p w14:paraId="05F2142F" w14:textId="77777777" w:rsidR="00E85A3C" w:rsidRPr="005C53F5" w:rsidRDefault="00E85A3C" w:rsidP="00057BE5">
            <w:pPr>
              <w:rPr>
                <w:rFonts w:ascii="Times New Roman" w:hAnsi="Times New Roman" w:cs="Times New Roman"/>
                <w:sz w:val="24"/>
                <w:szCs w:val="24"/>
              </w:rPr>
            </w:pPr>
            <w:r w:rsidRPr="005C53F5">
              <w:rPr>
                <w:rFonts w:ascii="Times New Roman" w:hAnsi="Times New Roman" w:cs="Times New Roman"/>
                <w:sz w:val="24"/>
                <w:szCs w:val="24"/>
              </w:rPr>
              <w:t xml:space="preserve">Председатель Правления </w:t>
            </w:r>
          </w:p>
          <w:p w14:paraId="32FD05D9" w14:textId="77777777" w:rsidR="00E85A3C" w:rsidRPr="005C53F5" w:rsidRDefault="00E85A3C" w:rsidP="00057BE5">
            <w:pPr>
              <w:rPr>
                <w:rFonts w:ascii="Times New Roman" w:hAnsi="Times New Roman" w:cs="Times New Roman"/>
                <w:sz w:val="24"/>
                <w:szCs w:val="24"/>
              </w:rPr>
            </w:pPr>
          </w:p>
        </w:tc>
      </w:tr>
      <w:tr w:rsidR="00E85A3C" w:rsidRPr="005C53F5" w14:paraId="59E05D6C" w14:textId="77777777" w:rsidTr="0037162F">
        <w:tc>
          <w:tcPr>
            <w:tcW w:w="1797" w:type="pct"/>
          </w:tcPr>
          <w:p w14:paraId="45AAD9C5" w14:textId="77777777" w:rsidR="00E85A3C" w:rsidRPr="005C53F5" w:rsidRDefault="00E85A3C" w:rsidP="00057BE5">
            <w:pPr>
              <w:rPr>
                <w:rFonts w:ascii="Times New Roman" w:hAnsi="Times New Roman" w:cs="Times New Roman"/>
                <w:sz w:val="24"/>
                <w:szCs w:val="24"/>
              </w:rPr>
            </w:pPr>
            <w:r w:rsidRPr="005C53F5">
              <w:rPr>
                <w:rFonts w:ascii="Times New Roman" w:hAnsi="Times New Roman" w:cs="Times New Roman"/>
                <w:sz w:val="24"/>
                <w:szCs w:val="24"/>
              </w:rPr>
              <w:t>С июня 2018 года</w:t>
            </w:r>
          </w:p>
        </w:tc>
        <w:tc>
          <w:tcPr>
            <w:tcW w:w="1602" w:type="pct"/>
          </w:tcPr>
          <w:p w14:paraId="46713947" w14:textId="77777777" w:rsidR="00E85A3C" w:rsidRPr="005C53F5" w:rsidRDefault="00E85A3C" w:rsidP="00057BE5">
            <w:pPr>
              <w:jc w:val="both"/>
              <w:rPr>
                <w:rFonts w:ascii="Times New Roman" w:hAnsi="Times New Roman" w:cs="Times New Roman"/>
                <w:color w:val="000000"/>
                <w:sz w:val="24"/>
                <w:szCs w:val="24"/>
                <w:lang w:val="kk-KZ"/>
              </w:rPr>
            </w:pPr>
            <w:r w:rsidRPr="005C53F5">
              <w:rPr>
                <w:rFonts w:ascii="Times New Roman" w:hAnsi="Times New Roman" w:cs="Times New Roman"/>
                <w:color w:val="000000"/>
                <w:sz w:val="24"/>
                <w:szCs w:val="24"/>
                <w:lang w:val="kk-KZ"/>
              </w:rPr>
              <w:t>Министерство финансов Республики Казахстан</w:t>
            </w:r>
          </w:p>
        </w:tc>
        <w:tc>
          <w:tcPr>
            <w:tcW w:w="1602" w:type="pct"/>
          </w:tcPr>
          <w:p w14:paraId="00AF230D" w14:textId="77777777" w:rsidR="00E85A3C" w:rsidRPr="005C53F5" w:rsidRDefault="00E85A3C" w:rsidP="00057BE5">
            <w:pPr>
              <w:jc w:val="both"/>
              <w:rPr>
                <w:rFonts w:ascii="Times New Roman" w:hAnsi="Times New Roman" w:cs="Times New Roman"/>
                <w:color w:val="000000"/>
                <w:sz w:val="24"/>
                <w:szCs w:val="24"/>
              </w:rPr>
            </w:pPr>
            <w:r w:rsidRPr="005C53F5">
              <w:rPr>
                <w:rFonts w:ascii="Times New Roman" w:hAnsi="Times New Roman" w:cs="Times New Roman"/>
                <w:color w:val="000000"/>
                <w:sz w:val="24"/>
                <w:szCs w:val="24"/>
              </w:rPr>
              <w:t>Вице-министр финансов Республики Казахстан</w:t>
            </w:r>
          </w:p>
        </w:tc>
      </w:tr>
    </w:tbl>
    <w:p w14:paraId="0F6CDED1"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доли участия такого лица в уставном капитале эмитента, являющегося коммерческой организацией, а для эмитентов, являющихся акционерными обществами, - также доли принадлежащих такому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w:t>
      </w:r>
      <w:r w:rsidRPr="005C53F5">
        <w:rPr>
          <w:rFonts w:ascii="Times New Roman" w:eastAsia="Calibri" w:hAnsi="Times New Roman" w:cs="Times New Roman"/>
          <w:b/>
          <w:i/>
          <w:iCs/>
          <w:sz w:val="24"/>
          <w:szCs w:val="24"/>
        </w:rPr>
        <w:t>не применимо</w:t>
      </w:r>
      <w:r w:rsidRPr="005C53F5">
        <w:rPr>
          <w:rFonts w:ascii="Times New Roman" w:eastAsia="Calibri" w:hAnsi="Times New Roman" w:cs="Times New Roman"/>
          <w:sz w:val="24"/>
          <w:szCs w:val="24"/>
        </w:rPr>
        <w:t xml:space="preserve">; </w:t>
      </w:r>
    </w:p>
    <w:p w14:paraId="5EACAA0D" w14:textId="4A6C26A3"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доли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такому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w:t>
      </w:r>
      <w:r w:rsidRPr="005C53F5">
        <w:rPr>
          <w:rFonts w:ascii="Times New Roman" w:eastAsia="Calibri" w:hAnsi="Times New Roman" w:cs="Times New Roman"/>
          <w:b/>
          <w:i/>
          <w:iCs/>
          <w:sz w:val="24"/>
          <w:szCs w:val="24"/>
        </w:rPr>
        <w:t>не применимо</w:t>
      </w:r>
      <w:r w:rsidRPr="005C53F5">
        <w:rPr>
          <w:rFonts w:ascii="Times New Roman" w:eastAsia="Calibri" w:hAnsi="Times New Roman" w:cs="Times New Roman"/>
          <w:sz w:val="24"/>
          <w:szCs w:val="24"/>
        </w:rPr>
        <w:t xml:space="preserve">; </w:t>
      </w:r>
    </w:p>
    <w:p w14:paraId="2104A26B"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5C53F5">
        <w:rPr>
          <w:rFonts w:ascii="Times New Roman" w:eastAsia="Calibri" w:hAnsi="Times New Roman" w:cs="Times New Roman"/>
          <w:b/>
          <w:i/>
          <w:iCs/>
          <w:sz w:val="24"/>
          <w:szCs w:val="24"/>
        </w:rPr>
        <w:t>отсутствуют</w:t>
      </w:r>
      <w:r w:rsidRPr="005C53F5">
        <w:rPr>
          <w:rFonts w:ascii="Times New Roman" w:eastAsia="Calibri" w:hAnsi="Times New Roman" w:cs="Times New Roman"/>
          <w:sz w:val="24"/>
          <w:szCs w:val="24"/>
        </w:rPr>
        <w:t xml:space="preserve">; </w:t>
      </w:r>
    </w:p>
    <w:p w14:paraId="49D7B9B6" w14:textId="77777777" w:rsidR="00E85A3C"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5C53F5">
        <w:rPr>
          <w:rFonts w:ascii="Times New Roman" w:eastAsia="Calibri" w:hAnsi="Times New Roman" w:cs="Times New Roman"/>
          <w:b/>
          <w:i/>
          <w:iCs/>
          <w:sz w:val="24"/>
          <w:szCs w:val="24"/>
        </w:rPr>
        <w:t>не привлекался</w:t>
      </w:r>
      <w:r w:rsidRPr="005C53F5">
        <w:rPr>
          <w:rFonts w:ascii="Times New Roman" w:eastAsia="Calibri" w:hAnsi="Times New Roman" w:cs="Times New Roman"/>
          <w:sz w:val="24"/>
          <w:szCs w:val="24"/>
        </w:rPr>
        <w:t xml:space="preserve">; </w:t>
      </w:r>
    </w:p>
    <w:p w14:paraId="7496A807" w14:textId="40AB4721" w:rsidR="003A1D6B" w:rsidRPr="005C53F5" w:rsidRDefault="00E85A3C"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5C53F5">
        <w:rPr>
          <w:rFonts w:ascii="Times New Roman" w:eastAsia="Calibri" w:hAnsi="Times New Roman" w:cs="Times New Roman"/>
          <w:b/>
          <w:i/>
          <w:iCs/>
          <w:sz w:val="24"/>
          <w:szCs w:val="24"/>
        </w:rPr>
        <w:t>не занимал</w:t>
      </w:r>
      <w:r w:rsidRPr="005C53F5">
        <w:rPr>
          <w:rFonts w:ascii="Times New Roman" w:eastAsia="Calibri" w:hAnsi="Times New Roman" w:cs="Times New Roman"/>
          <w:sz w:val="24"/>
          <w:szCs w:val="24"/>
        </w:rPr>
        <w:t>.</w:t>
      </w:r>
    </w:p>
    <w:p w14:paraId="030FE3D9" w14:textId="1DCDA098"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366" w:name="_Toc39616370"/>
      <w:bookmarkStart w:id="367" w:name="_Toc36145608"/>
      <w:r w:rsidRPr="005C53F5">
        <w:rPr>
          <w:rFonts w:ascii="Times New Roman" w:hAnsi="Times New Roman" w:cs="Times New Roman"/>
          <w:b/>
          <w:sz w:val="24"/>
          <w:szCs w:val="24"/>
        </w:rPr>
        <w:t>5.3. Сведения о размере вознаграждения, льгот и (или) компенсации расходов по каждому органу управления эмитента</w:t>
      </w:r>
      <w:bookmarkEnd w:id="366"/>
      <w:bookmarkEnd w:id="367"/>
    </w:p>
    <w:p w14:paraId="13A4C078" w14:textId="77777777" w:rsidR="008A083A" w:rsidRPr="005C53F5" w:rsidRDefault="008A083A" w:rsidP="00057BE5">
      <w:pPr>
        <w:pStyle w:val="ConsPlusNormal"/>
        <w:ind w:firstLine="709"/>
        <w:jc w:val="both"/>
        <w:rPr>
          <w:rFonts w:ascii="Times New Roman" w:hAnsi="Times New Roman" w:cs="Times New Roman"/>
          <w:b/>
          <w:sz w:val="24"/>
          <w:szCs w:val="24"/>
        </w:rPr>
      </w:pPr>
      <w:bookmarkStart w:id="368" w:name="_Toc521609657"/>
      <w:bookmarkStart w:id="369" w:name="_Toc533785428"/>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368"/>
      <w:bookmarkEnd w:id="369"/>
    </w:p>
    <w:p w14:paraId="32787DC2"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370" w:name="_Toc39616371"/>
      <w:bookmarkStart w:id="371" w:name="_Toc36145609"/>
      <w:r w:rsidRPr="005C53F5">
        <w:rPr>
          <w:rFonts w:ascii="Times New Roman" w:hAnsi="Times New Roman" w:cs="Times New Roman"/>
          <w:b/>
          <w:sz w:val="24"/>
          <w:szCs w:val="24"/>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370"/>
      <w:bookmarkEnd w:id="371"/>
    </w:p>
    <w:p w14:paraId="537D54DD" w14:textId="77777777" w:rsidR="008A083A" w:rsidRPr="005C53F5" w:rsidRDefault="008A083A" w:rsidP="00057BE5">
      <w:pPr>
        <w:pStyle w:val="ConsPlusNormal"/>
        <w:ind w:firstLine="709"/>
        <w:jc w:val="both"/>
        <w:rPr>
          <w:rFonts w:ascii="Times New Roman" w:hAnsi="Times New Roman" w:cs="Times New Roman"/>
          <w:b/>
          <w:sz w:val="24"/>
          <w:szCs w:val="24"/>
        </w:rPr>
      </w:pPr>
      <w:bookmarkStart w:id="372" w:name="_Toc521609659"/>
      <w:bookmarkStart w:id="373" w:name="_Toc533785430"/>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372"/>
      <w:bookmarkEnd w:id="373"/>
    </w:p>
    <w:p w14:paraId="0A2D96E1"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374" w:name="_Toc39616372"/>
      <w:bookmarkStart w:id="375" w:name="_Toc36145610"/>
      <w:r w:rsidRPr="005C53F5">
        <w:rPr>
          <w:rFonts w:ascii="Times New Roman" w:hAnsi="Times New Roman" w:cs="Times New Roman"/>
          <w:b/>
          <w:sz w:val="24"/>
          <w:szCs w:val="24"/>
        </w:rPr>
        <w:t>5.5. Информация о лицах, входящих в состав органов контроля за финансово-хозяйственной деятельностью эмитента</w:t>
      </w:r>
      <w:bookmarkEnd w:id="374"/>
      <w:bookmarkEnd w:id="375"/>
    </w:p>
    <w:p w14:paraId="1201DB21" w14:textId="77777777" w:rsidR="008A083A" w:rsidRPr="005C53F5" w:rsidRDefault="008A083A" w:rsidP="00057BE5">
      <w:pPr>
        <w:pStyle w:val="ConsPlusNormal"/>
        <w:ind w:firstLine="709"/>
        <w:jc w:val="both"/>
        <w:rPr>
          <w:rFonts w:ascii="Times New Roman" w:hAnsi="Times New Roman" w:cs="Times New Roman"/>
          <w:b/>
          <w:sz w:val="24"/>
          <w:szCs w:val="24"/>
        </w:rPr>
      </w:pPr>
      <w:bookmarkStart w:id="376" w:name="_Toc521609661"/>
      <w:bookmarkStart w:id="377" w:name="_Toc533785432"/>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376"/>
      <w:bookmarkEnd w:id="377"/>
    </w:p>
    <w:p w14:paraId="6C404CF7"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378" w:name="_Toc39616373"/>
      <w:bookmarkStart w:id="379" w:name="_Toc36145611"/>
      <w:r w:rsidRPr="005C53F5">
        <w:rPr>
          <w:rFonts w:ascii="Times New Roman" w:hAnsi="Times New Roman" w:cs="Times New Roman"/>
          <w:b/>
          <w:sz w:val="24"/>
          <w:szCs w:val="24"/>
        </w:rPr>
        <w:t>5.6. Сведения о размере вознаграждения и (или) компенсации расходов по органу контроля за финансово-хозяйственной деятельностью эмитента</w:t>
      </w:r>
      <w:bookmarkEnd w:id="378"/>
      <w:bookmarkEnd w:id="379"/>
    </w:p>
    <w:p w14:paraId="79D5809C" w14:textId="77777777" w:rsidR="008A083A" w:rsidRPr="005C53F5" w:rsidRDefault="008A083A" w:rsidP="00057BE5">
      <w:pPr>
        <w:pStyle w:val="ConsPlusNormal"/>
        <w:ind w:firstLine="709"/>
        <w:jc w:val="both"/>
        <w:rPr>
          <w:rFonts w:ascii="Times New Roman" w:hAnsi="Times New Roman" w:cs="Times New Roman"/>
          <w:b/>
          <w:sz w:val="24"/>
          <w:szCs w:val="24"/>
        </w:rPr>
      </w:pPr>
      <w:bookmarkStart w:id="380" w:name="_Toc521609663"/>
      <w:bookmarkStart w:id="381" w:name="_Toc533785434"/>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380"/>
      <w:bookmarkEnd w:id="381"/>
    </w:p>
    <w:p w14:paraId="0EB3DBA2"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382" w:name="_Toc39616374"/>
      <w:bookmarkStart w:id="383" w:name="_Toc36145612"/>
      <w:r w:rsidRPr="005C53F5">
        <w:rPr>
          <w:rFonts w:ascii="Times New Roman" w:hAnsi="Times New Roman" w:cs="Times New Roman"/>
          <w:b/>
          <w:sz w:val="24"/>
          <w:szCs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382"/>
      <w:bookmarkEnd w:id="383"/>
    </w:p>
    <w:p w14:paraId="24FD8C2D" w14:textId="77777777" w:rsidR="008A083A" w:rsidRPr="005C53F5" w:rsidRDefault="008A083A" w:rsidP="00057BE5">
      <w:pPr>
        <w:pStyle w:val="ConsPlusNormal"/>
        <w:ind w:firstLine="709"/>
        <w:jc w:val="both"/>
        <w:rPr>
          <w:rFonts w:ascii="Times New Roman" w:hAnsi="Times New Roman" w:cs="Times New Roman"/>
          <w:b/>
          <w:sz w:val="24"/>
          <w:szCs w:val="24"/>
        </w:rPr>
      </w:pPr>
      <w:bookmarkStart w:id="384" w:name="_Toc521609665"/>
      <w:bookmarkStart w:id="385" w:name="_Toc533785436"/>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384"/>
      <w:bookmarkEnd w:id="385"/>
    </w:p>
    <w:p w14:paraId="2DF76846"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386" w:name="_Toc39616375"/>
      <w:bookmarkStart w:id="387" w:name="_Toc36145613"/>
      <w:r w:rsidRPr="005C53F5">
        <w:rPr>
          <w:rFonts w:ascii="Times New Roman" w:hAnsi="Times New Roman" w:cs="Times New Roman"/>
          <w:b/>
          <w:sz w:val="24"/>
          <w:szCs w:val="24"/>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386"/>
      <w:bookmarkEnd w:id="387"/>
    </w:p>
    <w:p w14:paraId="07681BAD" w14:textId="77777777" w:rsidR="001B6FBF" w:rsidRPr="005C53F5" w:rsidRDefault="008A083A" w:rsidP="00057BE5">
      <w:pPr>
        <w:pStyle w:val="ConsPlusNormal"/>
        <w:ind w:firstLine="709"/>
        <w:jc w:val="both"/>
        <w:rPr>
          <w:rFonts w:ascii="Times New Roman" w:hAnsi="Times New Roman" w:cs="Times New Roman"/>
          <w:b/>
          <w:sz w:val="24"/>
          <w:szCs w:val="24"/>
        </w:rPr>
      </w:pPr>
      <w:bookmarkStart w:id="388" w:name="_Toc521609667"/>
      <w:bookmarkStart w:id="389" w:name="_Toc533785438"/>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388"/>
      <w:bookmarkEnd w:id="389"/>
      <w:r w:rsidR="001B6FBF" w:rsidRPr="005C53F5">
        <w:rPr>
          <w:rFonts w:ascii="Times New Roman" w:hAnsi="Times New Roman" w:cs="Times New Roman"/>
          <w:b/>
          <w:sz w:val="24"/>
          <w:szCs w:val="24"/>
        </w:rPr>
        <w:br w:type="page"/>
      </w:r>
    </w:p>
    <w:p w14:paraId="3FFA71F2" w14:textId="77777777" w:rsidR="00BF5F06" w:rsidRPr="005C53F5" w:rsidRDefault="00BF5F06" w:rsidP="00057BE5">
      <w:pPr>
        <w:pStyle w:val="ConsPlusNormal"/>
        <w:ind w:firstLine="709"/>
        <w:jc w:val="both"/>
        <w:outlineLvl w:val="0"/>
        <w:rPr>
          <w:rFonts w:ascii="Times New Roman" w:hAnsi="Times New Roman" w:cs="Times New Roman"/>
          <w:b/>
          <w:sz w:val="24"/>
          <w:szCs w:val="24"/>
        </w:rPr>
      </w:pPr>
      <w:bookmarkStart w:id="390" w:name="_Toc39616376"/>
      <w:bookmarkStart w:id="391" w:name="_Toc36145614"/>
      <w:r w:rsidRPr="005C53F5">
        <w:rPr>
          <w:rFonts w:ascii="Times New Roman" w:hAnsi="Times New Roman" w:cs="Times New Roman"/>
          <w:b/>
          <w:sz w:val="24"/>
          <w:szCs w:val="24"/>
        </w:rPr>
        <w:t>Раздел VI. Сведения об участниках (акционерах) эмитента и о совершенных эмитентом сделках, в совершении которых имелась заинтересованность</w:t>
      </w:r>
      <w:bookmarkEnd w:id="390"/>
      <w:bookmarkEnd w:id="391"/>
    </w:p>
    <w:p w14:paraId="05F2304D"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392" w:name="_Toc39616377"/>
      <w:bookmarkStart w:id="393" w:name="_Toc36145615"/>
      <w:r w:rsidRPr="005C53F5">
        <w:rPr>
          <w:rFonts w:ascii="Times New Roman" w:hAnsi="Times New Roman" w:cs="Times New Roman"/>
          <w:b/>
          <w:sz w:val="24"/>
          <w:szCs w:val="24"/>
        </w:rPr>
        <w:t>6.1. Сведения об общем количестве акционеров (участников) эмитента</w:t>
      </w:r>
      <w:bookmarkEnd w:id="392"/>
      <w:bookmarkEnd w:id="393"/>
    </w:p>
    <w:p w14:paraId="3733B637" w14:textId="77777777" w:rsidR="00222063" w:rsidRPr="005C53F5" w:rsidRDefault="00222063" w:rsidP="00057BE5">
      <w:pPr>
        <w:pStyle w:val="ConsPlusNormal"/>
        <w:ind w:firstLine="709"/>
        <w:jc w:val="both"/>
        <w:rPr>
          <w:rFonts w:ascii="Times New Roman" w:hAnsi="Times New Roman" w:cs="Times New Roman"/>
          <w:b/>
          <w:sz w:val="24"/>
          <w:szCs w:val="24"/>
        </w:rPr>
      </w:pPr>
      <w:bookmarkStart w:id="394" w:name="_Toc521609670"/>
      <w:bookmarkStart w:id="395" w:name="_Toc533785441"/>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394"/>
      <w:bookmarkEnd w:id="395"/>
    </w:p>
    <w:p w14:paraId="55E23751"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396" w:name="_Toc39616378"/>
      <w:bookmarkStart w:id="397" w:name="_Toc36145616"/>
      <w:r w:rsidRPr="005C53F5">
        <w:rPr>
          <w:rFonts w:ascii="Times New Roman" w:hAnsi="Times New Roman" w:cs="Times New Roman"/>
          <w:b/>
          <w:sz w:val="24"/>
          <w:szCs w:val="24"/>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их лицах, а в случае 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 таких участников (акционеров) эмитента</w:t>
      </w:r>
      <w:bookmarkEnd w:id="396"/>
      <w:bookmarkEnd w:id="397"/>
    </w:p>
    <w:p w14:paraId="6271085F" w14:textId="77777777" w:rsidR="00222063" w:rsidRPr="005C53F5" w:rsidRDefault="00222063" w:rsidP="00057BE5">
      <w:pPr>
        <w:pStyle w:val="ConsPlusNormal"/>
        <w:ind w:firstLine="709"/>
        <w:jc w:val="both"/>
        <w:rPr>
          <w:rFonts w:ascii="Times New Roman" w:hAnsi="Times New Roman" w:cs="Times New Roman"/>
          <w:b/>
          <w:sz w:val="24"/>
          <w:szCs w:val="24"/>
        </w:rPr>
      </w:pPr>
      <w:bookmarkStart w:id="398" w:name="_Toc521609672"/>
      <w:bookmarkStart w:id="399" w:name="_Toc533785443"/>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398"/>
      <w:bookmarkEnd w:id="399"/>
    </w:p>
    <w:p w14:paraId="255B1E92" w14:textId="7442ECEE"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00" w:name="_Toc39616379"/>
      <w:bookmarkStart w:id="401" w:name="_Toc36145617"/>
      <w:r w:rsidRPr="005C53F5">
        <w:rPr>
          <w:rFonts w:ascii="Times New Roman" w:hAnsi="Times New Roman" w:cs="Times New Roman"/>
          <w:b/>
          <w:sz w:val="24"/>
          <w:szCs w:val="24"/>
        </w:rPr>
        <w:t>6.3. Сведения о доле участия государства или муниципального образования в уставном капитале эмитент</w:t>
      </w:r>
      <w:r w:rsidR="00A51442" w:rsidRPr="005C53F5">
        <w:rPr>
          <w:rFonts w:ascii="Times New Roman" w:hAnsi="Times New Roman" w:cs="Times New Roman"/>
          <w:b/>
          <w:sz w:val="24"/>
          <w:szCs w:val="24"/>
        </w:rPr>
        <w:t>а, наличии специального права («золотой акции»</w:t>
      </w:r>
      <w:r w:rsidRPr="005C53F5">
        <w:rPr>
          <w:rFonts w:ascii="Times New Roman" w:hAnsi="Times New Roman" w:cs="Times New Roman"/>
          <w:b/>
          <w:sz w:val="24"/>
          <w:szCs w:val="24"/>
        </w:rPr>
        <w:t>)</w:t>
      </w:r>
      <w:bookmarkEnd w:id="400"/>
      <w:bookmarkEnd w:id="401"/>
    </w:p>
    <w:p w14:paraId="33B09CC2" w14:textId="77777777" w:rsidR="00222063" w:rsidRPr="005C53F5" w:rsidRDefault="00222063" w:rsidP="00057BE5">
      <w:pPr>
        <w:pStyle w:val="ConsPlusNormal"/>
        <w:ind w:firstLine="709"/>
        <w:jc w:val="both"/>
        <w:rPr>
          <w:rFonts w:ascii="Times New Roman" w:hAnsi="Times New Roman" w:cs="Times New Roman"/>
          <w:b/>
          <w:sz w:val="24"/>
          <w:szCs w:val="24"/>
        </w:rPr>
      </w:pPr>
      <w:bookmarkStart w:id="402" w:name="_Toc521609674"/>
      <w:bookmarkStart w:id="403" w:name="_Toc533785445"/>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402"/>
      <w:bookmarkEnd w:id="403"/>
    </w:p>
    <w:p w14:paraId="197A9087"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04" w:name="_Toc39616380"/>
      <w:bookmarkStart w:id="405" w:name="_Toc36145618"/>
      <w:r w:rsidRPr="005C53F5">
        <w:rPr>
          <w:rFonts w:ascii="Times New Roman" w:hAnsi="Times New Roman" w:cs="Times New Roman"/>
          <w:b/>
          <w:sz w:val="24"/>
          <w:szCs w:val="24"/>
        </w:rPr>
        <w:t>6.4. Сведения об ограничениях на участие в уставном капитале эмитента</w:t>
      </w:r>
      <w:bookmarkEnd w:id="404"/>
      <w:bookmarkEnd w:id="405"/>
    </w:p>
    <w:p w14:paraId="0E073A8D" w14:textId="77777777" w:rsidR="00222063" w:rsidRPr="005C53F5" w:rsidRDefault="00222063" w:rsidP="00057BE5">
      <w:pPr>
        <w:pStyle w:val="ConsPlusNormal"/>
        <w:ind w:firstLine="709"/>
        <w:jc w:val="both"/>
        <w:rPr>
          <w:rFonts w:ascii="Times New Roman" w:hAnsi="Times New Roman" w:cs="Times New Roman"/>
          <w:b/>
          <w:sz w:val="24"/>
          <w:szCs w:val="24"/>
        </w:rPr>
      </w:pPr>
      <w:bookmarkStart w:id="406" w:name="_Toc521609676"/>
      <w:bookmarkStart w:id="407" w:name="_Toc533785447"/>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406"/>
      <w:bookmarkEnd w:id="407"/>
    </w:p>
    <w:p w14:paraId="465DECD8"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08" w:name="_Toc39616381"/>
      <w:bookmarkStart w:id="409" w:name="_Toc36145619"/>
      <w:r w:rsidRPr="005C53F5">
        <w:rPr>
          <w:rFonts w:ascii="Times New Roman" w:hAnsi="Times New Roman" w:cs="Times New Roman"/>
          <w:b/>
          <w:sz w:val="24"/>
          <w:szCs w:val="24"/>
        </w:rPr>
        <w:t>6.5. Сведения об изменениях в составе и размере участия участников (акционеров) эмитента, владеющих не менее чем пятью процентами его уставного капитала или не менее чем пятью процентами его обыкновенных акций</w:t>
      </w:r>
      <w:bookmarkEnd w:id="408"/>
      <w:bookmarkEnd w:id="409"/>
    </w:p>
    <w:p w14:paraId="1C53E819" w14:textId="77777777" w:rsidR="00222063" w:rsidRPr="005C53F5" w:rsidRDefault="00222063" w:rsidP="00057BE5">
      <w:pPr>
        <w:pStyle w:val="ConsPlusNormal"/>
        <w:ind w:firstLine="709"/>
        <w:jc w:val="both"/>
        <w:rPr>
          <w:rFonts w:ascii="Times New Roman" w:hAnsi="Times New Roman" w:cs="Times New Roman"/>
          <w:b/>
          <w:sz w:val="24"/>
          <w:szCs w:val="24"/>
        </w:rPr>
      </w:pPr>
      <w:bookmarkStart w:id="410" w:name="_Toc521609678"/>
      <w:bookmarkStart w:id="411" w:name="_Toc533785449"/>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410"/>
      <w:bookmarkEnd w:id="411"/>
    </w:p>
    <w:p w14:paraId="59FBC173"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12" w:name="_Toc39616382"/>
      <w:bookmarkStart w:id="413" w:name="_Toc36145620"/>
      <w:r w:rsidRPr="005C53F5">
        <w:rPr>
          <w:rFonts w:ascii="Times New Roman" w:hAnsi="Times New Roman" w:cs="Times New Roman"/>
          <w:b/>
          <w:sz w:val="24"/>
          <w:szCs w:val="24"/>
        </w:rPr>
        <w:t>6.6. Сведения о совершенных эмитентом сделках, в совершении которых имелась заинтересованность</w:t>
      </w:r>
      <w:bookmarkEnd w:id="412"/>
      <w:bookmarkEnd w:id="413"/>
    </w:p>
    <w:p w14:paraId="2A3945BA" w14:textId="77777777" w:rsidR="00222063" w:rsidRPr="005C53F5" w:rsidRDefault="00222063" w:rsidP="00057BE5">
      <w:pPr>
        <w:pStyle w:val="ConsPlusNormal"/>
        <w:ind w:firstLine="709"/>
        <w:jc w:val="both"/>
        <w:rPr>
          <w:rFonts w:ascii="Times New Roman" w:hAnsi="Times New Roman" w:cs="Times New Roman"/>
          <w:b/>
          <w:sz w:val="24"/>
          <w:szCs w:val="24"/>
        </w:rPr>
      </w:pPr>
      <w:bookmarkStart w:id="414" w:name="_Toc521609680"/>
      <w:bookmarkStart w:id="415" w:name="_Toc533785451"/>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414"/>
      <w:bookmarkEnd w:id="415"/>
    </w:p>
    <w:p w14:paraId="7234A817"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16" w:name="_Toc39616383"/>
      <w:bookmarkStart w:id="417" w:name="_Toc36145621"/>
      <w:r w:rsidRPr="005C53F5">
        <w:rPr>
          <w:rFonts w:ascii="Times New Roman" w:hAnsi="Times New Roman" w:cs="Times New Roman"/>
          <w:b/>
          <w:sz w:val="24"/>
          <w:szCs w:val="24"/>
        </w:rPr>
        <w:t>6.7. Сведения о размере дебиторской задолженности</w:t>
      </w:r>
      <w:bookmarkEnd w:id="416"/>
      <w:bookmarkEnd w:id="417"/>
    </w:p>
    <w:p w14:paraId="69216B0C" w14:textId="77777777" w:rsidR="001B6FBF" w:rsidRPr="005C53F5" w:rsidRDefault="00222063" w:rsidP="00057BE5">
      <w:pPr>
        <w:pStyle w:val="ConsPlusNormal"/>
        <w:ind w:firstLine="709"/>
        <w:jc w:val="both"/>
        <w:rPr>
          <w:rFonts w:ascii="Times New Roman" w:hAnsi="Times New Roman" w:cs="Times New Roman"/>
          <w:b/>
          <w:sz w:val="24"/>
          <w:szCs w:val="24"/>
        </w:rPr>
      </w:pPr>
      <w:bookmarkStart w:id="418" w:name="_Toc521609682"/>
      <w:bookmarkStart w:id="419" w:name="_Toc533785453"/>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418"/>
      <w:bookmarkEnd w:id="419"/>
      <w:r w:rsidR="001B6FBF" w:rsidRPr="005C53F5">
        <w:rPr>
          <w:rFonts w:ascii="Times New Roman" w:hAnsi="Times New Roman" w:cs="Times New Roman"/>
          <w:b/>
          <w:sz w:val="24"/>
          <w:szCs w:val="24"/>
        </w:rPr>
        <w:br w:type="page"/>
      </w:r>
    </w:p>
    <w:p w14:paraId="42148C64" w14:textId="77777777" w:rsidR="00BF5F06" w:rsidRPr="005C53F5" w:rsidRDefault="00BF5F06" w:rsidP="00057BE5">
      <w:pPr>
        <w:pStyle w:val="ConsPlusNormal"/>
        <w:ind w:firstLine="709"/>
        <w:jc w:val="both"/>
        <w:outlineLvl w:val="0"/>
        <w:rPr>
          <w:rFonts w:ascii="Times New Roman" w:hAnsi="Times New Roman" w:cs="Times New Roman"/>
          <w:b/>
          <w:sz w:val="24"/>
          <w:szCs w:val="24"/>
        </w:rPr>
      </w:pPr>
      <w:bookmarkStart w:id="420" w:name="_Toc39616384"/>
      <w:bookmarkStart w:id="421" w:name="_Toc36145622"/>
      <w:r w:rsidRPr="005C53F5">
        <w:rPr>
          <w:rFonts w:ascii="Times New Roman" w:hAnsi="Times New Roman" w:cs="Times New Roman"/>
          <w:b/>
          <w:sz w:val="24"/>
          <w:szCs w:val="24"/>
        </w:rPr>
        <w:t>Раздел VII. Бухгалтерская (финансовая) отчетность эмитента и иная финансовая информация</w:t>
      </w:r>
      <w:bookmarkEnd w:id="420"/>
      <w:bookmarkEnd w:id="421"/>
    </w:p>
    <w:p w14:paraId="295ABAC9"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22" w:name="_Toc39616385"/>
      <w:bookmarkStart w:id="423" w:name="_Toc36145623"/>
      <w:r w:rsidRPr="005C53F5">
        <w:rPr>
          <w:rFonts w:ascii="Times New Roman" w:hAnsi="Times New Roman" w:cs="Times New Roman"/>
          <w:b/>
          <w:sz w:val="24"/>
          <w:szCs w:val="24"/>
        </w:rPr>
        <w:t>7.1. Годовая бухгалтерская (финансовая) отчетность эмитента</w:t>
      </w:r>
      <w:bookmarkEnd w:id="422"/>
      <w:bookmarkEnd w:id="423"/>
    </w:p>
    <w:p w14:paraId="5EC6853C" w14:textId="1758184C" w:rsidR="00521FBF" w:rsidRPr="005C53F5" w:rsidRDefault="00521FBF" w:rsidP="00057BE5">
      <w:pPr>
        <w:pStyle w:val="ConsPlusNormal"/>
        <w:ind w:firstLine="709"/>
        <w:jc w:val="both"/>
        <w:rPr>
          <w:rFonts w:ascii="Times New Roman" w:hAnsi="Times New Roman" w:cs="Times New Roman"/>
          <w:sz w:val="24"/>
          <w:szCs w:val="24"/>
        </w:rPr>
      </w:pPr>
      <w:bookmarkStart w:id="424" w:name="_Toc521609685"/>
      <w:bookmarkStart w:id="425" w:name="_Toc533785456"/>
      <w:r w:rsidRPr="005C53F5">
        <w:rPr>
          <w:rFonts w:ascii="Times New Roman" w:hAnsi="Times New Roman" w:cs="Times New Roman"/>
          <w:sz w:val="24"/>
          <w:szCs w:val="24"/>
        </w:rPr>
        <w:t>В соответствии с пунктом 91.4 Положения Банка России № 454-П в Проспект ценных бумаг включается следующая годовая отчетность об исполнении государственного бюджета Республики Казахстан:</w:t>
      </w:r>
      <w:bookmarkEnd w:id="424"/>
      <w:bookmarkEnd w:id="425"/>
    </w:p>
    <w:p w14:paraId="70AE1D4A" w14:textId="0D6F6C8A" w:rsidR="007650EC" w:rsidRPr="005C53F5" w:rsidRDefault="007650EC" w:rsidP="00057BE5">
      <w:pPr>
        <w:pStyle w:val="ConsPlusNormal"/>
        <w:numPr>
          <w:ilvl w:val="0"/>
          <w:numId w:val="2"/>
        </w:numPr>
        <w:ind w:hanging="551"/>
        <w:jc w:val="both"/>
        <w:rPr>
          <w:rFonts w:ascii="Times New Roman" w:hAnsi="Times New Roman" w:cs="Times New Roman"/>
          <w:sz w:val="24"/>
          <w:szCs w:val="24"/>
        </w:rPr>
      </w:pPr>
      <w:bookmarkStart w:id="426" w:name="_Toc521609686"/>
      <w:bookmarkStart w:id="427" w:name="_Toc533785457"/>
      <w:r w:rsidRPr="005C53F5">
        <w:rPr>
          <w:rFonts w:ascii="Times New Roman" w:hAnsi="Times New Roman" w:cs="Times New Roman"/>
          <w:sz w:val="24"/>
          <w:szCs w:val="24"/>
        </w:rPr>
        <w:t>отчет об исполнении консолидированного бюджета Республики Казахстан за 2016 год (Приложение 1 к Проспекту ценных бумаг</w:t>
      </w:r>
    </w:p>
    <w:p w14:paraId="00F23215" w14:textId="4E1E98A1" w:rsidR="00521FBF" w:rsidRPr="005C53F5" w:rsidRDefault="00521FBF" w:rsidP="00057BE5">
      <w:pPr>
        <w:pStyle w:val="ConsPlusNormal"/>
        <w:numPr>
          <w:ilvl w:val="0"/>
          <w:numId w:val="2"/>
        </w:numPr>
        <w:ind w:hanging="551"/>
        <w:jc w:val="both"/>
        <w:rPr>
          <w:rFonts w:ascii="Times New Roman" w:hAnsi="Times New Roman" w:cs="Times New Roman"/>
          <w:sz w:val="24"/>
          <w:szCs w:val="24"/>
        </w:rPr>
      </w:pPr>
      <w:r w:rsidRPr="005C53F5">
        <w:rPr>
          <w:rFonts w:ascii="Times New Roman" w:hAnsi="Times New Roman" w:cs="Times New Roman"/>
          <w:sz w:val="24"/>
          <w:szCs w:val="24"/>
        </w:rPr>
        <w:t xml:space="preserve">отчет об исполнении консолидированного бюджета Республики Казахстан за 2017 год (Приложение </w:t>
      </w:r>
      <w:r w:rsidR="007650EC" w:rsidRPr="005C53F5">
        <w:rPr>
          <w:rFonts w:ascii="Times New Roman" w:hAnsi="Times New Roman" w:cs="Times New Roman"/>
          <w:sz w:val="24"/>
          <w:szCs w:val="24"/>
        </w:rPr>
        <w:t>2</w:t>
      </w:r>
      <w:r w:rsidRPr="005C53F5">
        <w:rPr>
          <w:rFonts w:ascii="Times New Roman" w:hAnsi="Times New Roman" w:cs="Times New Roman"/>
          <w:sz w:val="24"/>
          <w:szCs w:val="24"/>
        </w:rPr>
        <w:t xml:space="preserve"> к Проспекту ценных бумаг);</w:t>
      </w:r>
      <w:bookmarkEnd w:id="426"/>
      <w:bookmarkEnd w:id="427"/>
    </w:p>
    <w:p w14:paraId="233BEA15" w14:textId="585AA801" w:rsidR="00521FBF" w:rsidRPr="005C53F5" w:rsidRDefault="00521FBF" w:rsidP="00057BE5">
      <w:pPr>
        <w:pStyle w:val="ConsPlusNormal"/>
        <w:numPr>
          <w:ilvl w:val="0"/>
          <w:numId w:val="2"/>
        </w:numPr>
        <w:ind w:hanging="551"/>
        <w:jc w:val="both"/>
        <w:rPr>
          <w:rFonts w:ascii="Times New Roman" w:hAnsi="Times New Roman" w:cs="Times New Roman"/>
          <w:sz w:val="24"/>
          <w:szCs w:val="24"/>
        </w:rPr>
      </w:pPr>
      <w:bookmarkStart w:id="428" w:name="_Toc521609687"/>
      <w:bookmarkStart w:id="429" w:name="_Toc533785458"/>
      <w:r w:rsidRPr="005C53F5">
        <w:rPr>
          <w:rFonts w:ascii="Times New Roman" w:hAnsi="Times New Roman" w:cs="Times New Roman"/>
          <w:sz w:val="24"/>
          <w:szCs w:val="24"/>
        </w:rPr>
        <w:t xml:space="preserve">отчет об исполнении консолидированного бюджета Республики Казахстан за 2018 год (Приложение </w:t>
      </w:r>
      <w:r w:rsidR="004356A3" w:rsidRPr="005C53F5">
        <w:rPr>
          <w:rFonts w:ascii="Times New Roman" w:hAnsi="Times New Roman" w:cs="Times New Roman"/>
          <w:sz w:val="24"/>
          <w:szCs w:val="24"/>
        </w:rPr>
        <w:t>3</w:t>
      </w:r>
      <w:r w:rsidRPr="005C53F5">
        <w:rPr>
          <w:rFonts w:ascii="Times New Roman" w:hAnsi="Times New Roman" w:cs="Times New Roman"/>
          <w:sz w:val="24"/>
          <w:szCs w:val="24"/>
        </w:rPr>
        <w:t xml:space="preserve"> к Проспекту ценных бумаг)</w:t>
      </w:r>
      <w:r w:rsidR="00D8214B" w:rsidRPr="005C53F5">
        <w:rPr>
          <w:rFonts w:ascii="Times New Roman" w:hAnsi="Times New Roman" w:cs="Times New Roman"/>
          <w:sz w:val="24"/>
          <w:szCs w:val="24"/>
        </w:rPr>
        <w:t>.</w:t>
      </w:r>
      <w:bookmarkEnd w:id="428"/>
      <w:bookmarkEnd w:id="429"/>
    </w:p>
    <w:p w14:paraId="4A35F53C" w14:textId="38432A55" w:rsidR="002D187F" w:rsidRPr="005C53F5" w:rsidRDefault="002D187F"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Годовая отчетность об исполнении консолидированного бюджета Республики Казахстан за 2019 год не </w:t>
      </w:r>
      <w:r w:rsidR="006E5D3A" w:rsidRPr="005C53F5">
        <w:rPr>
          <w:rFonts w:ascii="Times New Roman" w:hAnsi="Times New Roman" w:cs="Times New Roman"/>
          <w:sz w:val="24"/>
          <w:szCs w:val="24"/>
        </w:rPr>
        <w:t>подготовлена</w:t>
      </w:r>
      <w:r w:rsidRPr="005C53F5">
        <w:rPr>
          <w:rFonts w:ascii="Times New Roman" w:hAnsi="Times New Roman" w:cs="Times New Roman"/>
          <w:sz w:val="24"/>
          <w:szCs w:val="24"/>
        </w:rPr>
        <w:t xml:space="preserve"> в связи с тем, что</w:t>
      </w:r>
      <w:r w:rsidR="006E5D3A" w:rsidRPr="005C53F5">
        <w:rPr>
          <w:rFonts w:ascii="Times New Roman" w:hAnsi="Times New Roman" w:cs="Times New Roman"/>
          <w:sz w:val="24"/>
          <w:szCs w:val="24"/>
        </w:rPr>
        <w:t xml:space="preserve"> годовые</w:t>
      </w:r>
      <w:r w:rsidRPr="005C53F5">
        <w:rPr>
          <w:rFonts w:ascii="Times New Roman" w:hAnsi="Times New Roman" w:cs="Times New Roman"/>
          <w:sz w:val="24"/>
          <w:szCs w:val="24"/>
        </w:rPr>
        <w:t xml:space="preserve"> отчеты об исполнении республиканского и местных бюджетов</w:t>
      </w:r>
      <w:r w:rsidR="006E5D3A" w:rsidRPr="005C53F5">
        <w:rPr>
          <w:rFonts w:ascii="Times New Roman" w:hAnsi="Times New Roman" w:cs="Times New Roman"/>
          <w:sz w:val="24"/>
          <w:szCs w:val="24"/>
        </w:rPr>
        <w:t xml:space="preserve"> Республики Казахстан за 2019 год </w:t>
      </w:r>
      <w:r w:rsidR="00AD7B95" w:rsidRPr="005C53F5">
        <w:rPr>
          <w:rFonts w:ascii="Times New Roman" w:hAnsi="Times New Roman" w:cs="Times New Roman"/>
          <w:sz w:val="24"/>
          <w:szCs w:val="24"/>
        </w:rPr>
        <w:t xml:space="preserve">по состоянию на дату утверждения Проспекта ценных бумаг </w:t>
      </w:r>
      <w:r w:rsidR="006E5D3A" w:rsidRPr="005C53F5">
        <w:rPr>
          <w:rFonts w:ascii="Times New Roman" w:hAnsi="Times New Roman" w:cs="Times New Roman"/>
          <w:sz w:val="24"/>
          <w:szCs w:val="24"/>
        </w:rPr>
        <w:t>не утверждены соответствующими уполномоченными органами</w:t>
      </w:r>
      <w:r w:rsidR="00AD7B95" w:rsidRPr="005C53F5">
        <w:rPr>
          <w:rFonts w:ascii="Times New Roman" w:hAnsi="Times New Roman" w:cs="Times New Roman"/>
          <w:sz w:val="24"/>
          <w:szCs w:val="24"/>
        </w:rPr>
        <w:t xml:space="preserve"> Республики Казахстан</w:t>
      </w:r>
      <w:r w:rsidR="006E5D3A" w:rsidRPr="005C53F5">
        <w:rPr>
          <w:rFonts w:ascii="Times New Roman" w:hAnsi="Times New Roman" w:cs="Times New Roman"/>
          <w:sz w:val="24"/>
          <w:szCs w:val="24"/>
        </w:rPr>
        <w:t xml:space="preserve">. </w:t>
      </w:r>
      <w:r w:rsidR="00AD7B95" w:rsidRPr="005C53F5">
        <w:rPr>
          <w:rFonts w:ascii="Times New Roman" w:hAnsi="Times New Roman" w:cs="Times New Roman"/>
          <w:sz w:val="24"/>
          <w:szCs w:val="24"/>
        </w:rPr>
        <w:t>С</w:t>
      </w:r>
      <w:r w:rsidR="006E5D3A" w:rsidRPr="005C53F5">
        <w:rPr>
          <w:rFonts w:ascii="Times New Roman" w:hAnsi="Times New Roman" w:cs="Times New Roman"/>
          <w:sz w:val="24"/>
          <w:szCs w:val="24"/>
        </w:rPr>
        <w:t xml:space="preserve">роки для утверждения годовых отчетов об исполнении республиканского и местных бюджетов Республики Казахстан </w:t>
      </w:r>
      <w:r w:rsidR="00AD7B95" w:rsidRPr="005C53F5">
        <w:rPr>
          <w:rFonts w:ascii="Times New Roman" w:hAnsi="Times New Roman" w:cs="Times New Roman"/>
          <w:sz w:val="24"/>
          <w:szCs w:val="24"/>
        </w:rPr>
        <w:t xml:space="preserve">за 2019 год </w:t>
      </w:r>
      <w:r w:rsidR="006E5D3A" w:rsidRPr="005C53F5">
        <w:rPr>
          <w:rFonts w:ascii="Times New Roman" w:hAnsi="Times New Roman" w:cs="Times New Roman"/>
          <w:sz w:val="24"/>
          <w:szCs w:val="24"/>
        </w:rPr>
        <w:t xml:space="preserve">на дату </w:t>
      </w:r>
      <w:r w:rsidR="00AD7B95" w:rsidRPr="005C53F5">
        <w:rPr>
          <w:rFonts w:ascii="Times New Roman" w:hAnsi="Times New Roman" w:cs="Times New Roman"/>
          <w:sz w:val="24"/>
          <w:szCs w:val="24"/>
        </w:rPr>
        <w:t xml:space="preserve">утверждения </w:t>
      </w:r>
      <w:r w:rsidR="006E5D3A" w:rsidRPr="005C53F5">
        <w:rPr>
          <w:rFonts w:ascii="Times New Roman" w:hAnsi="Times New Roman" w:cs="Times New Roman"/>
          <w:sz w:val="24"/>
          <w:szCs w:val="24"/>
        </w:rPr>
        <w:t xml:space="preserve">Проспекта </w:t>
      </w:r>
      <w:r w:rsidR="00AD7B95" w:rsidRPr="005C53F5">
        <w:rPr>
          <w:rFonts w:ascii="Times New Roman" w:hAnsi="Times New Roman" w:cs="Times New Roman"/>
          <w:sz w:val="24"/>
          <w:szCs w:val="24"/>
        </w:rPr>
        <w:t xml:space="preserve">ценных бумаг </w:t>
      </w:r>
      <w:r w:rsidR="006E5D3A" w:rsidRPr="005C53F5">
        <w:rPr>
          <w:rFonts w:ascii="Times New Roman" w:hAnsi="Times New Roman" w:cs="Times New Roman"/>
          <w:sz w:val="24"/>
          <w:szCs w:val="24"/>
        </w:rPr>
        <w:t>не истекли.</w:t>
      </w:r>
      <w:r w:rsidR="00D8214B" w:rsidRPr="005C53F5">
        <w:rPr>
          <w:rFonts w:ascii="Times New Roman" w:hAnsi="Times New Roman" w:cs="Times New Roman"/>
          <w:sz w:val="24"/>
          <w:szCs w:val="24"/>
        </w:rPr>
        <w:t xml:space="preserve"> В связи с изложенными обстоятельствами в Проспект ценных бумаг включается отчет об исполнении консолидированного бюджета Республики Казахстан на 1 января 2020 года (Приложение 4 к Проспекту ценных бумаг).</w:t>
      </w:r>
      <w:r w:rsidR="006E5D3A" w:rsidRPr="005C53F5">
        <w:rPr>
          <w:rFonts w:ascii="Times New Roman" w:hAnsi="Times New Roman" w:cs="Times New Roman"/>
          <w:sz w:val="24"/>
          <w:szCs w:val="24"/>
        </w:rPr>
        <w:t xml:space="preserve">  </w:t>
      </w:r>
    </w:p>
    <w:p w14:paraId="18BC7E6C" w14:textId="220D0D2C"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30" w:name="_Toc39616386"/>
      <w:bookmarkStart w:id="431" w:name="_Toc36145624"/>
      <w:r w:rsidRPr="005C53F5">
        <w:rPr>
          <w:rFonts w:ascii="Times New Roman" w:hAnsi="Times New Roman" w:cs="Times New Roman"/>
          <w:b/>
          <w:sz w:val="24"/>
          <w:szCs w:val="24"/>
        </w:rPr>
        <w:t>7.2. Промежуточная бухгалтерская (финансовая) отчетность эмитента</w:t>
      </w:r>
      <w:bookmarkEnd w:id="430"/>
      <w:bookmarkEnd w:id="431"/>
    </w:p>
    <w:p w14:paraId="4A6696F9" w14:textId="2C3E4F39" w:rsidR="00521FBF" w:rsidRPr="005C53F5" w:rsidRDefault="00521FBF"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Сведения не указываются, поскольку Бюджетным кодексом Республики Казахстан составление промежуточной государственной бюджетной отчетности (промежуточной отчетности об исполнении государственного бюджета Республики Казахстан) не предусмотрено.</w:t>
      </w:r>
    </w:p>
    <w:p w14:paraId="124AC111" w14:textId="77777777" w:rsidR="00BF5F06" w:rsidRPr="005C53F5" w:rsidRDefault="00BF5F06" w:rsidP="00057BE5">
      <w:pPr>
        <w:pStyle w:val="ConsPlusNormal"/>
        <w:ind w:firstLine="709"/>
        <w:jc w:val="both"/>
        <w:rPr>
          <w:rFonts w:ascii="Times New Roman" w:hAnsi="Times New Roman" w:cs="Times New Roman"/>
          <w:b/>
          <w:sz w:val="24"/>
          <w:szCs w:val="24"/>
        </w:rPr>
      </w:pPr>
      <w:bookmarkStart w:id="432" w:name="_Toc36145625"/>
      <w:r w:rsidRPr="005C53F5">
        <w:rPr>
          <w:rFonts w:ascii="Times New Roman" w:hAnsi="Times New Roman" w:cs="Times New Roman"/>
          <w:b/>
          <w:sz w:val="24"/>
          <w:szCs w:val="24"/>
        </w:rPr>
        <w:t>7.3. Консолидированная финансовая отчетность эмитента</w:t>
      </w:r>
      <w:bookmarkEnd w:id="432"/>
    </w:p>
    <w:p w14:paraId="58DD55C2" w14:textId="77777777" w:rsidR="002F3338" w:rsidRPr="005C53F5" w:rsidRDefault="002F3338" w:rsidP="00057BE5">
      <w:pPr>
        <w:pStyle w:val="ConsPlusNormal"/>
        <w:ind w:firstLine="709"/>
        <w:jc w:val="both"/>
        <w:rPr>
          <w:rFonts w:ascii="Times New Roman" w:hAnsi="Times New Roman" w:cs="Times New Roman"/>
          <w:b/>
          <w:sz w:val="24"/>
          <w:szCs w:val="24"/>
        </w:rPr>
      </w:pPr>
      <w:bookmarkStart w:id="433" w:name="_Toc521609692"/>
      <w:bookmarkStart w:id="434" w:name="_Toc533785463"/>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433"/>
      <w:bookmarkEnd w:id="434"/>
    </w:p>
    <w:p w14:paraId="3E2FD03D"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35" w:name="_Toc39616387"/>
      <w:bookmarkStart w:id="436" w:name="_Toc36145626"/>
      <w:r w:rsidRPr="005C53F5">
        <w:rPr>
          <w:rFonts w:ascii="Times New Roman" w:hAnsi="Times New Roman" w:cs="Times New Roman"/>
          <w:b/>
          <w:sz w:val="24"/>
          <w:szCs w:val="24"/>
        </w:rPr>
        <w:t>7.4. Сведения об учетной политике эмитента</w:t>
      </w:r>
      <w:bookmarkEnd w:id="435"/>
      <w:bookmarkEnd w:id="436"/>
    </w:p>
    <w:p w14:paraId="4B54890E" w14:textId="77777777" w:rsidR="002F3338" w:rsidRPr="005C53F5" w:rsidRDefault="002F3338" w:rsidP="00057BE5">
      <w:pPr>
        <w:pStyle w:val="ConsPlusNormal"/>
        <w:ind w:firstLine="709"/>
        <w:jc w:val="both"/>
        <w:rPr>
          <w:rFonts w:ascii="Times New Roman" w:hAnsi="Times New Roman" w:cs="Times New Roman"/>
          <w:b/>
          <w:sz w:val="24"/>
          <w:szCs w:val="24"/>
        </w:rPr>
      </w:pPr>
      <w:bookmarkStart w:id="437" w:name="_Toc521609694"/>
      <w:bookmarkStart w:id="438" w:name="_Toc533785465"/>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437"/>
      <w:bookmarkEnd w:id="438"/>
    </w:p>
    <w:p w14:paraId="051AB036"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39" w:name="_Toc39616388"/>
      <w:bookmarkStart w:id="440" w:name="_Toc36145627"/>
      <w:r w:rsidRPr="005C53F5">
        <w:rPr>
          <w:rFonts w:ascii="Times New Roman" w:hAnsi="Times New Roman" w:cs="Times New Roman"/>
          <w:b/>
          <w:sz w:val="24"/>
          <w:szCs w:val="24"/>
        </w:rPr>
        <w:t>7.5. Сведения об общей сумме экспорта, а также о доле, которую составляет экспорт в общем объеме продаж</w:t>
      </w:r>
      <w:bookmarkEnd w:id="439"/>
      <w:bookmarkEnd w:id="440"/>
    </w:p>
    <w:p w14:paraId="6BE6BE16" w14:textId="77777777" w:rsidR="002F3338" w:rsidRPr="005C53F5" w:rsidRDefault="002F3338" w:rsidP="00057BE5">
      <w:pPr>
        <w:pStyle w:val="ConsPlusNormal"/>
        <w:ind w:firstLine="709"/>
        <w:jc w:val="both"/>
        <w:rPr>
          <w:rFonts w:ascii="Times New Roman" w:hAnsi="Times New Roman" w:cs="Times New Roman"/>
          <w:b/>
          <w:sz w:val="24"/>
          <w:szCs w:val="24"/>
        </w:rPr>
      </w:pPr>
      <w:bookmarkStart w:id="441" w:name="_Toc521609696"/>
      <w:bookmarkStart w:id="442" w:name="_Toc533785467"/>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441"/>
      <w:bookmarkEnd w:id="442"/>
    </w:p>
    <w:p w14:paraId="0E175439"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43" w:name="_Toc39616389"/>
      <w:bookmarkStart w:id="444" w:name="_Toc36145628"/>
      <w:r w:rsidRPr="005C53F5">
        <w:rPr>
          <w:rFonts w:ascii="Times New Roman" w:hAnsi="Times New Roman" w:cs="Times New Roman"/>
          <w:b/>
          <w:sz w:val="24"/>
          <w:szCs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443"/>
      <w:bookmarkEnd w:id="444"/>
    </w:p>
    <w:p w14:paraId="3006B67F" w14:textId="77777777" w:rsidR="002F3338" w:rsidRPr="005C53F5" w:rsidRDefault="002F3338" w:rsidP="00057BE5">
      <w:pPr>
        <w:pStyle w:val="ConsPlusNormal"/>
        <w:ind w:firstLine="709"/>
        <w:jc w:val="both"/>
        <w:rPr>
          <w:rFonts w:ascii="Times New Roman" w:hAnsi="Times New Roman" w:cs="Times New Roman"/>
          <w:b/>
          <w:sz w:val="24"/>
          <w:szCs w:val="24"/>
        </w:rPr>
      </w:pPr>
      <w:bookmarkStart w:id="445" w:name="_Toc521609698"/>
      <w:bookmarkStart w:id="446" w:name="_Toc533785469"/>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445"/>
      <w:bookmarkEnd w:id="446"/>
    </w:p>
    <w:p w14:paraId="0C93EAED"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47" w:name="_Toc39616390"/>
      <w:bookmarkStart w:id="448" w:name="_Toc36145629"/>
      <w:r w:rsidRPr="005C53F5">
        <w:rPr>
          <w:rFonts w:ascii="Times New Roman" w:hAnsi="Times New Roman" w:cs="Times New Roman"/>
          <w:b/>
          <w:sz w:val="24"/>
          <w:szCs w:val="24"/>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447"/>
      <w:bookmarkEnd w:id="448"/>
    </w:p>
    <w:p w14:paraId="3FBFE526" w14:textId="6EC8D899" w:rsidR="00791B24" w:rsidRPr="005C53F5" w:rsidRDefault="00791B24" w:rsidP="00057BE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bookmarkStart w:id="449" w:name="_Toc521609700"/>
      <w:bookmarkStart w:id="450" w:name="_Toc533785471"/>
      <w:r w:rsidRPr="005C53F5">
        <w:rPr>
          <w:rFonts w:ascii="Times New Roman" w:eastAsia="Times New Roman" w:hAnsi="Times New Roman" w:cs="Times New Roman"/>
          <w:sz w:val="24"/>
          <w:szCs w:val="24"/>
          <w:lang w:eastAsia="ru-RU"/>
        </w:rPr>
        <w:t xml:space="preserve">На дату утверждения Проспекта ценных бумаг Республика Казахстан не участвует в судебных процессах, которые могут существенно отразиться на ее финансово-хозяйственной деятельности. </w:t>
      </w:r>
      <w:r w:rsidRPr="005C53F5">
        <w:rPr>
          <w:rFonts w:ascii="Times New Roman" w:eastAsia="SimSun" w:hAnsi="Times New Roman" w:cs="Times New Roman"/>
          <w:sz w:val="24"/>
          <w:szCs w:val="24"/>
          <w:lang w:eastAsia="de-DE"/>
        </w:rPr>
        <w:t>Вместе с тем по состоянию на дату утверждения Проспекта ценных бумаг Республика Казахстан является ответчиком по 14 незавершенным международным арбитражным разбирательствам, начатым иностранными инвесторами.</w:t>
      </w:r>
    </w:p>
    <w:p w14:paraId="3FC6C4A9" w14:textId="29973D18" w:rsidR="00791B24" w:rsidRPr="005C53F5" w:rsidRDefault="00791B24" w:rsidP="00057BE5">
      <w:pPr>
        <w:spacing w:after="0" w:line="240" w:lineRule="auto"/>
        <w:ind w:firstLine="709"/>
        <w:jc w:val="both"/>
        <w:rPr>
          <w:rFonts w:ascii="Times New Roman" w:eastAsia="SimSun" w:hAnsi="Times New Roman" w:cs="Times New Roman"/>
          <w:sz w:val="24"/>
          <w:szCs w:val="24"/>
          <w:lang w:eastAsia="de-DE"/>
        </w:rPr>
      </w:pPr>
      <w:r w:rsidRPr="005C53F5">
        <w:rPr>
          <w:rFonts w:ascii="Times New Roman" w:eastAsia="SimSun" w:hAnsi="Times New Roman" w:cs="Times New Roman"/>
          <w:sz w:val="24"/>
          <w:szCs w:val="24"/>
          <w:lang w:eastAsia="de-DE"/>
        </w:rPr>
        <w:t>Казахстан также является участником ряда процедур приведения в исполнение иностранных арбитражных решений и</w:t>
      </w:r>
      <w:r w:rsidR="002F77D0" w:rsidRPr="005C53F5">
        <w:rPr>
          <w:rFonts w:ascii="Times New Roman" w:eastAsia="SimSun" w:hAnsi="Times New Roman" w:cs="Times New Roman"/>
          <w:sz w:val="24"/>
          <w:szCs w:val="24"/>
          <w:lang w:eastAsia="de-DE"/>
        </w:rPr>
        <w:t xml:space="preserve"> (</w:t>
      </w:r>
      <w:r w:rsidRPr="005C53F5">
        <w:rPr>
          <w:rFonts w:ascii="Times New Roman" w:eastAsia="SimSun" w:hAnsi="Times New Roman" w:cs="Times New Roman"/>
          <w:sz w:val="24"/>
          <w:szCs w:val="24"/>
          <w:lang w:eastAsia="de-DE"/>
        </w:rPr>
        <w:t>или</w:t>
      </w:r>
      <w:r w:rsidR="002F77D0" w:rsidRPr="005C53F5">
        <w:rPr>
          <w:rFonts w:ascii="Times New Roman" w:eastAsia="SimSun" w:hAnsi="Times New Roman" w:cs="Times New Roman"/>
          <w:sz w:val="24"/>
          <w:szCs w:val="24"/>
          <w:lang w:eastAsia="de-DE"/>
        </w:rPr>
        <w:t>)</w:t>
      </w:r>
      <w:r w:rsidRPr="005C53F5">
        <w:rPr>
          <w:rFonts w:ascii="Times New Roman" w:eastAsia="SimSun" w:hAnsi="Times New Roman" w:cs="Times New Roman"/>
          <w:sz w:val="24"/>
          <w:szCs w:val="24"/>
          <w:lang w:eastAsia="de-DE"/>
        </w:rPr>
        <w:t xml:space="preserve"> ареста активов за пределами Республики Казахстан, связанных с инвестиционными спорами, включая процедуры, в рамках которых инвесторы стремятся привести в исполнение арбитражное решение на сумму 530 млн</w:t>
      </w:r>
      <w:r w:rsidR="002F77D0" w:rsidRPr="005C53F5">
        <w:rPr>
          <w:rFonts w:ascii="Times New Roman" w:eastAsia="SimSun" w:hAnsi="Times New Roman" w:cs="Times New Roman"/>
          <w:sz w:val="24"/>
          <w:szCs w:val="24"/>
          <w:lang w:eastAsia="de-DE"/>
        </w:rPr>
        <w:t> </w:t>
      </w:r>
      <w:r w:rsidRPr="005C53F5">
        <w:rPr>
          <w:rFonts w:ascii="Times New Roman" w:eastAsia="SimSun" w:hAnsi="Times New Roman" w:cs="Times New Roman"/>
          <w:sz w:val="24"/>
          <w:szCs w:val="24"/>
          <w:lang w:eastAsia="de-DE"/>
        </w:rPr>
        <w:t>долларов США против Республики Казахстан. Республика Казахстан отстаивает свои права во всех этих процессах.</w:t>
      </w:r>
    </w:p>
    <w:bookmarkEnd w:id="449"/>
    <w:bookmarkEnd w:id="450"/>
    <w:p w14:paraId="477369C6" w14:textId="610F3ED4" w:rsidR="00791B24" w:rsidRPr="005C53F5" w:rsidRDefault="00791B24" w:rsidP="00057BE5">
      <w:pPr>
        <w:spacing w:after="0" w:line="240" w:lineRule="auto"/>
        <w:ind w:firstLine="709"/>
        <w:jc w:val="both"/>
        <w:rPr>
          <w:rFonts w:ascii="Times New Roman" w:eastAsia="SimSun" w:hAnsi="Times New Roman" w:cs="Times New Roman"/>
          <w:sz w:val="24"/>
          <w:szCs w:val="24"/>
          <w:lang w:eastAsia="de-DE"/>
        </w:rPr>
      </w:pPr>
      <w:r w:rsidRPr="005C53F5">
        <w:rPr>
          <w:rFonts w:ascii="Times New Roman" w:eastAsia="SimSun" w:hAnsi="Times New Roman" w:cs="Times New Roman"/>
          <w:sz w:val="24"/>
          <w:szCs w:val="24"/>
          <w:lang w:eastAsia="de-DE"/>
        </w:rPr>
        <w:t xml:space="preserve">Так, арбитражное решение о присуждении к выплате </w:t>
      </w:r>
      <w:r w:rsidR="00AA60F6" w:rsidRPr="005C53F5">
        <w:rPr>
          <w:rFonts w:ascii="Times New Roman" w:eastAsia="SimSun" w:hAnsi="Times New Roman" w:cs="Times New Roman"/>
          <w:sz w:val="24"/>
          <w:szCs w:val="24"/>
          <w:lang w:eastAsia="de-DE"/>
        </w:rPr>
        <w:t>Республикой</w:t>
      </w:r>
      <w:r w:rsidRPr="005C53F5">
        <w:rPr>
          <w:rFonts w:ascii="Times New Roman" w:eastAsia="SimSun" w:hAnsi="Times New Roman" w:cs="Times New Roman"/>
          <w:sz w:val="24"/>
          <w:szCs w:val="24"/>
          <w:lang w:eastAsia="de-DE"/>
        </w:rPr>
        <w:t xml:space="preserve"> Казахстан 530 млн</w:t>
      </w:r>
      <w:r w:rsidR="002F77D0" w:rsidRPr="005C53F5">
        <w:rPr>
          <w:rFonts w:ascii="Times New Roman" w:eastAsia="SimSun" w:hAnsi="Times New Roman" w:cs="Times New Roman"/>
          <w:sz w:val="24"/>
          <w:szCs w:val="24"/>
          <w:lang w:eastAsia="de-DE"/>
        </w:rPr>
        <w:t> </w:t>
      </w:r>
      <w:r w:rsidRPr="005C53F5">
        <w:rPr>
          <w:rFonts w:ascii="Times New Roman" w:eastAsia="SimSun" w:hAnsi="Times New Roman" w:cs="Times New Roman"/>
          <w:sz w:val="24"/>
          <w:szCs w:val="24"/>
          <w:lang w:eastAsia="de-DE"/>
        </w:rPr>
        <w:t>долларов США («</w:t>
      </w:r>
      <w:r w:rsidRPr="005C53F5">
        <w:rPr>
          <w:rFonts w:ascii="Times New Roman" w:eastAsia="SimSun" w:hAnsi="Times New Roman" w:cs="Times New Roman"/>
          <w:b/>
          <w:sz w:val="24"/>
          <w:szCs w:val="24"/>
          <w:lang w:eastAsia="de-DE"/>
        </w:rPr>
        <w:t>Арбитражное решение Стати</w:t>
      </w:r>
      <w:r w:rsidRPr="005C53F5">
        <w:rPr>
          <w:rFonts w:ascii="Times New Roman" w:eastAsia="SimSun" w:hAnsi="Times New Roman" w:cs="Times New Roman"/>
          <w:sz w:val="24"/>
          <w:szCs w:val="24"/>
          <w:lang w:eastAsia="de-DE"/>
        </w:rPr>
        <w:t xml:space="preserve">») было вынесено в декабре 2013 года Стокгольмским арбитражем по иску на сумму более 2,6 млрд долларов США в соответствии с Договором </w:t>
      </w:r>
      <w:r w:rsidR="002F77D0" w:rsidRPr="005C53F5">
        <w:rPr>
          <w:rFonts w:ascii="Times New Roman" w:eastAsia="SimSun" w:hAnsi="Times New Roman" w:cs="Times New Roman"/>
          <w:sz w:val="24"/>
          <w:szCs w:val="24"/>
          <w:lang w:eastAsia="de-DE"/>
        </w:rPr>
        <w:t xml:space="preserve">к </w:t>
      </w:r>
      <w:r w:rsidRPr="005C53F5">
        <w:rPr>
          <w:rFonts w:ascii="Times New Roman" w:eastAsia="SimSun" w:hAnsi="Times New Roman" w:cs="Times New Roman"/>
          <w:sz w:val="24"/>
          <w:szCs w:val="24"/>
          <w:lang w:eastAsia="de-DE"/>
        </w:rPr>
        <w:t xml:space="preserve">Энергетической </w:t>
      </w:r>
      <w:r w:rsidR="002F77D0" w:rsidRPr="005C53F5">
        <w:rPr>
          <w:rFonts w:ascii="Times New Roman" w:eastAsia="SimSun" w:hAnsi="Times New Roman" w:cs="Times New Roman"/>
          <w:sz w:val="24"/>
          <w:szCs w:val="24"/>
          <w:lang w:eastAsia="de-DE"/>
        </w:rPr>
        <w:t>хартии</w:t>
      </w:r>
      <w:r w:rsidRPr="005C53F5">
        <w:rPr>
          <w:rFonts w:ascii="Times New Roman" w:eastAsia="SimSun" w:hAnsi="Times New Roman" w:cs="Times New Roman"/>
          <w:sz w:val="24"/>
          <w:szCs w:val="24"/>
          <w:lang w:eastAsia="de-DE"/>
        </w:rPr>
        <w:t xml:space="preserve">. В данном иске молдавский бизнесмен Анатол Стати, его сын Габриэль Стати и две принадлежащие им компании </w:t>
      </w:r>
      <w:r w:rsidR="00AA60F6" w:rsidRPr="005C53F5">
        <w:rPr>
          <w:rFonts w:ascii="Times New Roman" w:eastAsia="SimSun" w:hAnsi="Times New Roman" w:cs="Times New Roman"/>
          <w:sz w:val="24"/>
          <w:szCs w:val="24"/>
          <w:lang w:eastAsia="de-DE"/>
        </w:rPr>
        <w:t>заявляли</w:t>
      </w:r>
      <w:r w:rsidRPr="005C53F5">
        <w:rPr>
          <w:rFonts w:ascii="Times New Roman" w:eastAsia="SimSun" w:hAnsi="Times New Roman" w:cs="Times New Roman"/>
          <w:sz w:val="24"/>
          <w:szCs w:val="24"/>
          <w:lang w:eastAsia="de-DE"/>
        </w:rPr>
        <w:t xml:space="preserve"> об экспроприации Республикой Казахстан их инвестиций в нефтяные месторождения и завод по производству сжиженного нефтяного газа в Республике Казахстан. Республика Казахстан не произвела выплату присужденной суммы, поскольку считает, что решение арбитража было вынесено в пользу инвесторов в результате мошеннических действий, </w:t>
      </w:r>
      <w:r w:rsidR="00AA60F6" w:rsidRPr="005C53F5">
        <w:rPr>
          <w:rFonts w:ascii="Times New Roman" w:eastAsia="SimSun" w:hAnsi="Times New Roman" w:cs="Times New Roman"/>
          <w:sz w:val="24"/>
          <w:szCs w:val="24"/>
          <w:lang w:eastAsia="de-DE"/>
        </w:rPr>
        <w:t>а также что</w:t>
      </w:r>
      <w:r w:rsidRPr="005C53F5">
        <w:rPr>
          <w:rFonts w:ascii="Times New Roman" w:eastAsia="SimSun" w:hAnsi="Times New Roman" w:cs="Times New Roman"/>
          <w:sz w:val="24"/>
          <w:szCs w:val="24"/>
          <w:lang w:eastAsia="de-DE"/>
        </w:rPr>
        <w:t xml:space="preserve"> были нарушены права Республики Казахстан на надлежащее судебное разбирательство. Ходатайство Республики Казахстан об отмене арбитражного решения было отклонено судами Швеции (юрисдикции арбитража), включая Верховный суд Швеции. Республика Казахстан также оспорила приведение в исполнение арбитражного решения в нескольких юрисдикциях, включая Англию, США, Нидерланды, Бельгию, Люксембург и Италию. </w:t>
      </w:r>
    </w:p>
    <w:p w14:paraId="31ADBDBA" w14:textId="03F63F7B" w:rsidR="00791B24" w:rsidRPr="005C53F5" w:rsidRDefault="00791B24" w:rsidP="00057BE5">
      <w:pPr>
        <w:spacing w:after="0" w:line="240" w:lineRule="auto"/>
        <w:ind w:firstLine="709"/>
        <w:jc w:val="both"/>
        <w:rPr>
          <w:rFonts w:ascii="Times New Roman" w:eastAsia="SimSun" w:hAnsi="Times New Roman" w:cs="Times New Roman"/>
          <w:sz w:val="24"/>
          <w:szCs w:val="24"/>
          <w:lang w:eastAsia="de-DE"/>
        </w:rPr>
      </w:pPr>
      <w:r w:rsidRPr="005C53F5">
        <w:rPr>
          <w:rFonts w:ascii="Times New Roman" w:eastAsia="SimSun" w:hAnsi="Times New Roman" w:cs="Times New Roman"/>
          <w:sz w:val="24"/>
          <w:szCs w:val="24"/>
          <w:lang w:eastAsia="de-DE"/>
        </w:rPr>
        <w:t xml:space="preserve">По состоянию на дату </w:t>
      </w:r>
      <w:r w:rsidR="00B5402F" w:rsidRPr="005C53F5">
        <w:rPr>
          <w:rFonts w:ascii="Times New Roman" w:eastAsia="SimSun" w:hAnsi="Times New Roman" w:cs="Times New Roman"/>
          <w:sz w:val="24"/>
          <w:szCs w:val="24"/>
          <w:lang w:eastAsia="de-DE"/>
        </w:rPr>
        <w:t xml:space="preserve">утверждения </w:t>
      </w:r>
      <w:r w:rsidRPr="005C53F5">
        <w:rPr>
          <w:rFonts w:ascii="Times New Roman" w:eastAsia="SimSun" w:hAnsi="Times New Roman" w:cs="Times New Roman"/>
          <w:sz w:val="24"/>
          <w:szCs w:val="24"/>
          <w:lang w:eastAsia="de-DE"/>
        </w:rPr>
        <w:t>Проспекта</w:t>
      </w:r>
      <w:r w:rsidR="00B5402F" w:rsidRPr="005C53F5">
        <w:rPr>
          <w:rFonts w:ascii="Times New Roman" w:eastAsia="SimSun" w:hAnsi="Times New Roman" w:cs="Times New Roman"/>
          <w:sz w:val="24"/>
          <w:szCs w:val="24"/>
          <w:lang w:eastAsia="de-DE"/>
        </w:rPr>
        <w:t xml:space="preserve"> ценных бумаг</w:t>
      </w:r>
      <w:r w:rsidRPr="005C53F5">
        <w:rPr>
          <w:rFonts w:ascii="Times New Roman" w:eastAsia="SimSun" w:hAnsi="Times New Roman" w:cs="Times New Roman"/>
          <w:sz w:val="24"/>
          <w:szCs w:val="24"/>
          <w:lang w:eastAsia="de-DE"/>
        </w:rPr>
        <w:t xml:space="preserve"> приведение в исполнение арбитражного решения было осуществлено в США Апелляционным судом округа Колумбия 19 апреля 2019 года, а в Италии - Римским Апелляционным судом 27 февраля 2019 года. Республика Казахстан в настоящее время обжалует данные решения о приведении в исполнение арбитражного решения. Республика Казахстан не считает, что существуют какие-либо активы в США или Италии, в отношении которых указанное арбитражное решение может быть приведено в исполнение. В других юрисдикциях процедура приведения в исполнени</w:t>
      </w:r>
      <w:r w:rsidR="00462844" w:rsidRPr="005C53F5">
        <w:rPr>
          <w:rFonts w:ascii="Times New Roman" w:eastAsia="SimSun" w:hAnsi="Times New Roman" w:cs="Times New Roman"/>
          <w:sz w:val="24"/>
          <w:szCs w:val="24"/>
          <w:lang w:eastAsia="de-DE"/>
        </w:rPr>
        <w:t>е</w:t>
      </w:r>
      <w:r w:rsidRPr="005C53F5">
        <w:rPr>
          <w:rFonts w:ascii="Times New Roman" w:eastAsia="SimSun" w:hAnsi="Times New Roman" w:cs="Times New Roman"/>
          <w:sz w:val="24"/>
          <w:szCs w:val="24"/>
          <w:lang w:eastAsia="de-DE"/>
        </w:rPr>
        <w:t xml:space="preserve"> Арбитражного решения Стати остается </w:t>
      </w:r>
      <w:r w:rsidR="0035297D" w:rsidRPr="005C53F5">
        <w:rPr>
          <w:rFonts w:ascii="Times New Roman" w:eastAsia="SimSun" w:hAnsi="Times New Roman" w:cs="Times New Roman"/>
          <w:sz w:val="24"/>
          <w:szCs w:val="24"/>
          <w:lang w:eastAsia="de-DE"/>
        </w:rPr>
        <w:t>незавершенной</w:t>
      </w:r>
      <w:r w:rsidRPr="005C53F5">
        <w:rPr>
          <w:rFonts w:ascii="Times New Roman" w:eastAsia="SimSun" w:hAnsi="Times New Roman" w:cs="Times New Roman"/>
          <w:sz w:val="24"/>
          <w:szCs w:val="24"/>
          <w:lang w:eastAsia="de-DE"/>
        </w:rPr>
        <w:t>, за исключением Англии, где данная процедура прекращена. В октябре 2017 года Бельгийский суд постановил наложить арест на все активы, которые Брюссельский Банк Нью-Йорка Меллон («</w:t>
      </w:r>
      <w:r w:rsidRPr="005C53F5">
        <w:rPr>
          <w:rFonts w:ascii="Times New Roman" w:eastAsia="SimSun" w:hAnsi="Times New Roman" w:cs="Times New Roman"/>
          <w:b/>
          <w:sz w:val="24"/>
          <w:szCs w:val="24"/>
          <w:lang w:eastAsia="de-DE"/>
        </w:rPr>
        <w:t>БНМ Брюссель</w:t>
      </w:r>
      <w:r w:rsidRPr="005C53F5">
        <w:rPr>
          <w:rFonts w:ascii="Times New Roman" w:eastAsia="SimSun" w:hAnsi="Times New Roman" w:cs="Times New Roman"/>
          <w:sz w:val="24"/>
          <w:szCs w:val="24"/>
          <w:lang w:eastAsia="de-DE"/>
        </w:rPr>
        <w:t>») держал от имени Республики Казахстан. Во исполнение данного решения БНМ Брюссель добровольно согласился заморозить около 22 млрд долларов США из средств Национального фонда Республики Казахстан, находящихся на хранении от имени НБК, для целей обеспечения исполнения Арбитражного решения Стати. 25 мая 2018 года Бельгийский суд вынес решение, на основании которого БНМ Брюссель снял ограничения с указанных активов</w:t>
      </w:r>
      <w:r w:rsidR="0035297D" w:rsidRPr="005C53F5">
        <w:rPr>
          <w:rFonts w:ascii="Times New Roman" w:eastAsia="SimSun" w:hAnsi="Times New Roman" w:cs="Times New Roman"/>
          <w:sz w:val="24"/>
          <w:szCs w:val="24"/>
          <w:lang w:eastAsia="de-DE"/>
        </w:rPr>
        <w:t>,</w:t>
      </w:r>
      <w:r w:rsidRPr="005C53F5">
        <w:rPr>
          <w:rFonts w:ascii="Times New Roman" w:eastAsia="SimSun" w:hAnsi="Times New Roman" w:cs="Times New Roman"/>
          <w:sz w:val="24"/>
          <w:szCs w:val="24"/>
          <w:lang w:eastAsia="de-DE"/>
        </w:rPr>
        <w:t xml:space="preserve"> за исключением суммы, присужденной к выплате в соответствии Арбитражным решением Стати.</w:t>
      </w:r>
      <w:r w:rsidR="00462844" w:rsidRPr="005C53F5">
        <w:rPr>
          <w:rFonts w:ascii="Times New Roman" w:eastAsia="SimSun" w:hAnsi="Times New Roman" w:cs="Times New Roman"/>
          <w:sz w:val="24"/>
          <w:szCs w:val="24"/>
          <w:lang w:eastAsia="de-DE"/>
        </w:rPr>
        <w:t xml:space="preserve"> Республика Казахстан ожидала, что апелляция на это решение будет рассмотрена в декабре 2019 года. Однако, 3 декабря 2019 года Брюссельский Апелляционный суд постановил, чтобы новые доказательства, свидетельствующие о том, что Заявители Стати ввели в заблуждение аудиторскую компанию KPMG, были включены в дело и назначил слушания на октябрь 2020 года.</w:t>
      </w:r>
      <w:r w:rsidRPr="005C53F5">
        <w:rPr>
          <w:rFonts w:ascii="Times New Roman" w:eastAsia="SimSun" w:hAnsi="Times New Roman" w:cs="Times New Roman"/>
          <w:sz w:val="24"/>
          <w:szCs w:val="24"/>
          <w:lang w:eastAsia="de-DE"/>
        </w:rPr>
        <w:t xml:space="preserve"> </w:t>
      </w:r>
    </w:p>
    <w:p w14:paraId="71545884" w14:textId="526F2D67" w:rsidR="00791B24" w:rsidRPr="005C53F5" w:rsidRDefault="00791B24" w:rsidP="00057BE5">
      <w:pPr>
        <w:spacing w:after="0" w:line="240" w:lineRule="auto"/>
        <w:ind w:firstLine="709"/>
        <w:jc w:val="both"/>
        <w:rPr>
          <w:rFonts w:ascii="Times New Roman" w:eastAsia="SimSun" w:hAnsi="Times New Roman" w:cs="Times New Roman"/>
          <w:sz w:val="24"/>
          <w:szCs w:val="24"/>
          <w:lang w:eastAsia="de-DE"/>
        </w:rPr>
      </w:pPr>
      <w:r w:rsidRPr="005C53F5">
        <w:rPr>
          <w:rFonts w:ascii="Times New Roman" w:eastAsia="SimSun" w:hAnsi="Times New Roman" w:cs="Times New Roman"/>
          <w:sz w:val="24"/>
          <w:szCs w:val="24"/>
          <w:lang w:eastAsia="de-DE"/>
        </w:rPr>
        <w:t>В Англии иск о признании и приведении в исполнение арбитражного решения был отозван заявителями в августе 2018 года. По итогам слушаний, состоявшихся 1-2 июля 2019 года, Республике Казахстан было присуждено первоначальное возмещение судебных издержек в размере 1,3 млн фунтов стерлингов (при условии уточнения окончательной суммы). Однако примерно 530 млн долларов США активов Национального фонда остаются замороженными в Лондонском филиале Банка Нью-Йорк Меллон («</w:t>
      </w:r>
      <w:r w:rsidRPr="005C53F5">
        <w:rPr>
          <w:rFonts w:ascii="Times New Roman" w:eastAsia="SimSun" w:hAnsi="Times New Roman" w:cs="Times New Roman"/>
          <w:b/>
          <w:sz w:val="24"/>
          <w:szCs w:val="24"/>
          <w:lang w:eastAsia="de-DE"/>
        </w:rPr>
        <w:t>БНМ Лондон</w:t>
      </w:r>
      <w:r w:rsidRPr="005C53F5">
        <w:rPr>
          <w:rFonts w:ascii="Times New Roman" w:eastAsia="SimSun" w:hAnsi="Times New Roman" w:cs="Times New Roman"/>
          <w:sz w:val="24"/>
          <w:szCs w:val="24"/>
          <w:lang w:eastAsia="de-DE"/>
        </w:rPr>
        <w:t xml:space="preserve">») для обеспечения исполнения Арбитражного решения Стати. </w:t>
      </w:r>
      <w:r w:rsidR="005F2C87" w:rsidRPr="005C53F5">
        <w:rPr>
          <w:rFonts w:ascii="Times New Roman" w:eastAsia="SimSun" w:hAnsi="Times New Roman" w:cs="Times New Roman"/>
          <w:sz w:val="24"/>
          <w:szCs w:val="24"/>
          <w:lang w:eastAsia="de-DE"/>
        </w:rPr>
        <w:t>По итогам слушаний, прошедших с 26 марта по 1 апреля 2020 года, 22 апреля 2020 года Высокий суд Англии постановил, что (</w:t>
      </w:r>
      <w:r w:rsidR="005F2C87" w:rsidRPr="005C53F5">
        <w:rPr>
          <w:rFonts w:ascii="Times New Roman" w:eastAsia="SimSun" w:hAnsi="Times New Roman" w:cs="Times New Roman"/>
          <w:sz w:val="24"/>
          <w:szCs w:val="24"/>
          <w:lang w:val="en-US" w:eastAsia="de-DE"/>
        </w:rPr>
        <w:t>i</w:t>
      </w:r>
      <w:r w:rsidR="005F2C87" w:rsidRPr="005C53F5">
        <w:rPr>
          <w:rFonts w:ascii="Times New Roman" w:eastAsia="SimSun" w:hAnsi="Times New Roman" w:cs="Times New Roman"/>
          <w:sz w:val="24"/>
          <w:szCs w:val="24"/>
          <w:lang w:eastAsia="de-DE"/>
        </w:rPr>
        <w:t xml:space="preserve">) </w:t>
      </w:r>
      <w:r w:rsidR="005F2C87" w:rsidRPr="005C53F5">
        <w:rPr>
          <w:rFonts w:ascii="Times New Roman" w:eastAsia="SimSun" w:hAnsi="Times New Roman" w:cs="Times New Roman"/>
          <w:sz w:val="24"/>
          <w:szCs w:val="24"/>
          <w:lang w:val="kk-KZ" w:eastAsia="de-DE"/>
        </w:rPr>
        <w:t>Республика Казахстан не является стороной глобального депозитарного соглашения между БНМ Лондон и НБК</w:t>
      </w:r>
      <w:r w:rsidR="005F2C87" w:rsidRPr="005C53F5">
        <w:rPr>
          <w:rFonts w:ascii="Times New Roman" w:eastAsia="SimSun" w:hAnsi="Times New Roman" w:cs="Times New Roman"/>
          <w:sz w:val="24"/>
          <w:szCs w:val="24"/>
          <w:lang w:eastAsia="de-DE"/>
        </w:rPr>
        <w:t>, (</w:t>
      </w:r>
      <w:r w:rsidR="005F2C87" w:rsidRPr="005C53F5">
        <w:rPr>
          <w:rFonts w:ascii="Times New Roman" w:eastAsia="SimSun" w:hAnsi="Times New Roman" w:cs="Times New Roman"/>
          <w:sz w:val="24"/>
          <w:szCs w:val="24"/>
          <w:lang w:val="en-US" w:eastAsia="de-DE"/>
        </w:rPr>
        <w:t>ii</w:t>
      </w:r>
      <w:r w:rsidR="005F2C87" w:rsidRPr="005C53F5">
        <w:rPr>
          <w:rFonts w:ascii="Times New Roman" w:eastAsia="SimSun" w:hAnsi="Times New Roman" w:cs="Times New Roman"/>
          <w:sz w:val="24"/>
          <w:szCs w:val="24"/>
          <w:lang w:eastAsia="de-DE"/>
        </w:rPr>
        <w:t>) обязательства БНМ Лондон по</w:t>
      </w:r>
      <w:r w:rsidR="005F2C87" w:rsidRPr="005C53F5">
        <w:rPr>
          <w:rFonts w:ascii="Times New Roman" w:eastAsia="SimSun" w:hAnsi="Times New Roman" w:cs="Times New Roman"/>
          <w:sz w:val="24"/>
          <w:szCs w:val="24"/>
          <w:lang w:val="kk-KZ" w:eastAsia="de-DE"/>
        </w:rPr>
        <w:t xml:space="preserve"> глобальному депозитарному соглашению принадлежат исключительно НБК (а не Республике Казахстан), </w:t>
      </w:r>
      <w:r w:rsidR="005F2C87" w:rsidRPr="005C53F5">
        <w:rPr>
          <w:rFonts w:ascii="Times New Roman" w:eastAsia="SimSun" w:hAnsi="Times New Roman" w:cs="Times New Roman"/>
          <w:sz w:val="24"/>
          <w:szCs w:val="24"/>
          <w:lang w:eastAsia="de-DE"/>
        </w:rPr>
        <w:t>(</w:t>
      </w:r>
      <w:r w:rsidR="005F2C87" w:rsidRPr="005C53F5">
        <w:rPr>
          <w:rFonts w:ascii="Times New Roman" w:eastAsia="SimSun" w:hAnsi="Times New Roman" w:cs="Times New Roman"/>
          <w:sz w:val="24"/>
          <w:szCs w:val="24"/>
          <w:lang w:val="en-US" w:eastAsia="de-DE"/>
        </w:rPr>
        <w:t>iii</w:t>
      </w:r>
      <w:r w:rsidR="005F2C87" w:rsidRPr="005C53F5">
        <w:rPr>
          <w:rFonts w:ascii="Times New Roman" w:eastAsia="SimSun" w:hAnsi="Times New Roman" w:cs="Times New Roman"/>
          <w:sz w:val="24"/>
          <w:szCs w:val="24"/>
          <w:lang w:eastAsia="de-DE"/>
        </w:rPr>
        <w:t xml:space="preserve">) </w:t>
      </w:r>
      <w:r w:rsidR="005F2C87" w:rsidRPr="005C53F5">
        <w:rPr>
          <w:rFonts w:ascii="Times New Roman" w:eastAsia="SimSun" w:hAnsi="Times New Roman" w:cs="Times New Roman"/>
          <w:sz w:val="24"/>
          <w:szCs w:val="24"/>
          <w:lang w:val="kk-KZ" w:eastAsia="de-DE"/>
        </w:rPr>
        <w:t xml:space="preserve">БНМ Лондон не имеет обязательств по выплате денежных средств Республике Казахстан в соответствии с глобальным депозитарным соглашением, и </w:t>
      </w:r>
      <w:r w:rsidR="005F2C87" w:rsidRPr="005C53F5">
        <w:rPr>
          <w:rFonts w:ascii="Times New Roman" w:eastAsia="SimSun" w:hAnsi="Times New Roman" w:cs="Times New Roman"/>
          <w:sz w:val="24"/>
          <w:szCs w:val="24"/>
          <w:lang w:eastAsia="de-DE"/>
        </w:rPr>
        <w:t>(</w:t>
      </w:r>
      <w:r w:rsidR="005F2C87" w:rsidRPr="005C53F5">
        <w:rPr>
          <w:rFonts w:ascii="Times New Roman" w:eastAsia="SimSun" w:hAnsi="Times New Roman" w:cs="Times New Roman"/>
          <w:sz w:val="24"/>
          <w:szCs w:val="24"/>
          <w:lang w:val="en-US" w:eastAsia="de-DE"/>
        </w:rPr>
        <w:t>iv</w:t>
      </w:r>
      <w:r w:rsidR="005F2C87" w:rsidRPr="005C53F5">
        <w:rPr>
          <w:rFonts w:ascii="Times New Roman" w:eastAsia="SimSun" w:hAnsi="Times New Roman" w:cs="Times New Roman"/>
          <w:sz w:val="24"/>
          <w:szCs w:val="24"/>
          <w:lang w:eastAsia="de-DE"/>
        </w:rPr>
        <w:t xml:space="preserve">) </w:t>
      </w:r>
      <w:r w:rsidR="005F2C87" w:rsidRPr="005C53F5">
        <w:rPr>
          <w:rFonts w:ascii="Times New Roman" w:eastAsia="SimSun" w:hAnsi="Times New Roman" w:cs="Times New Roman"/>
          <w:sz w:val="24"/>
          <w:szCs w:val="24"/>
          <w:lang w:val="kk-KZ" w:eastAsia="de-DE"/>
        </w:rPr>
        <w:t>Республика Казахстан не имеет каких-либо прав требования к БНМ в отношении денежных средств на депозитах в БНМ в соответствии с глобальным депозитарным соглашением.</w:t>
      </w:r>
      <w:r w:rsidR="00CA6A00" w:rsidRPr="005C53F5">
        <w:rPr>
          <w:rFonts w:ascii="Times New Roman" w:eastAsia="SimSun" w:hAnsi="Times New Roman" w:cs="Times New Roman"/>
          <w:sz w:val="24"/>
          <w:szCs w:val="24"/>
          <w:lang w:val="kk-KZ" w:eastAsia="de-DE"/>
        </w:rPr>
        <w:t xml:space="preserve"> Таким образом, </w:t>
      </w:r>
      <w:r w:rsidR="00CA6A00" w:rsidRPr="005C53F5">
        <w:rPr>
          <w:rFonts w:ascii="Times New Roman" w:eastAsia="SimSun" w:hAnsi="Times New Roman" w:cs="Times New Roman"/>
          <w:sz w:val="24"/>
          <w:szCs w:val="24"/>
          <w:lang w:eastAsia="de-DE"/>
        </w:rPr>
        <w:t>в Высоком суде Англии было доказано, что БНМ Лондон имеет обязательства в отношении активов Национального фонда исключительно перед НБК, а не перед Республикой Казахстан</w:t>
      </w:r>
      <w:r w:rsidR="00313E8B" w:rsidRPr="005C53F5">
        <w:rPr>
          <w:rFonts w:ascii="Times New Roman" w:eastAsia="SimSun" w:hAnsi="Times New Roman" w:cs="Times New Roman"/>
          <w:sz w:val="24"/>
          <w:szCs w:val="24"/>
          <w:lang w:eastAsia="de-DE"/>
        </w:rPr>
        <w:t>.</w:t>
      </w:r>
    </w:p>
    <w:p w14:paraId="4BD4B8E3" w14:textId="0E2D9B84" w:rsidR="00791B24" w:rsidRPr="005C53F5" w:rsidRDefault="00791B24" w:rsidP="00057BE5">
      <w:pPr>
        <w:spacing w:after="0" w:line="240" w:lineRule="auto"/>
        <w:ind w:firstLine="709"/>
        <w:jc w:val="both"/>
        <w:rPr>
          <w:rFonts w:ascii="Times New Roman" w:eastAsia="SimSun" w:hAnsi="Times New Roman" w:cs="Times New Roman"/>
          <w:sz w:val="24"/>
          <w:szCs w:val="24"/>
          <w:lang w:eastAsia="de-DE"/>
        </w:rPr>
      </w:pPr>
      <w:r w:rsidRPr="005C53F5">
        <w:rPr>
          <w:rFonts w:ascii="Times New Roman" w:eastAsia="SimSun" w:hAnsi="Times New Roman" w:cs="Times New Roman"/>
          <w:sz w:val="24"/>
          <w:szCs w:val="24"/>
          <w:lang w:eastAsia="de-DE"/>
        </w:rPr>
        <w:t xml:space="preserve">В Нидерландах в пользу заявителей Стати также было вынесено предписание о досудебном наложении ареста на акции, принадлежащих Самрук-Казына. Через Самрук-Казына Республика Казахстан владеет примерно 50% акций компании </w:t>
      </w:r>
      <w:r w:rsidRPr="005C53F5">
        <w:rPr>
          <w:rFonts w:ascii="Times New Roman" w:eastAsia="SimSun" w:hAnsi="Times New Roman" w:cs="Times New Roman"/>
          <w:sz w:val="24"/>
          <w:szCs w:val="24"/>
          <w:lang w:val="en-GB" w:eastAsia="de-DE"/>
        </w:rPr>
        <w:t>KMG</w:t>
      </w:r>
      <w:r w:rsidRPr="005C53F5">
        <w:rPr>
          <w:rFonts w:ascii="Times New Roman" w:eastAsia="SimSun" w:hAnsi="Times New Roman" w:cs="Times New Roman"/>
          <w:sz w:val="24"/>
          <w:szCs w:val="24"/>
          <w:lang w:eastAsia="de-DE"/>
        </w:rPr>
        <w:t xml:space="preserve"> </w:t>
      </w:r>
      <w:r w:rsidRPr="005C53F5">
        <w:rPr>
          <w:rFonts w:ascii="Times New Roman" w:eastAsia="SimSun" w:hAnsi="Times New Roman" w:cs="Times New Roman"/>
          <w:sz w:val="24"/>
          <w:szCs w:val="24"/>
          <w:lang w:val="en-GB" w:eastAsia="de-DE"/>
        </w:rPr>
        <w:t>Kashagan</w:t>
      </w:r>
      <w:r w:rsidRPr="005C53F5">
        <w:rPr>
          <w:rFonts w:ascii="Times New Roman" w:eastAsia="SimSun" w:hAnsi="Times New Roman" w:cs="Times New Roman"/>
          <w:sz w:val="24"/>
          <w:szCs w:val="24"/>
          <w:lang w:eastAsia="de-DE"/>
        </w:rPr>
        <w:t xml:space="preserve"> </w:t>
      </w:r>
      <w:r w:rsidRPr="005C53F5">
        <w:rPr>
          <w:rFonts w:ascii="Times New Roman" w:eastAsia="SimSun" w:hAnsi="Times New Roman" w:cs="Times New Roman"/>
          <w:sz w:val="24"/>
          <w:szCs w:val="24"/>
          <w:lang w:val="en-GB" w:eastAsia="de-DE"/>
        </w:rPr>
        <w:t>B</w:t>
      </w:r>
      <w:r w:rsidRPr="005C53F5">
        <w:rPr>
          <w:rFonts w:ascii="Times New Roman" w:eastAsia="SimSun" w:hAnsi="Times New Roman" w:cs="Times New Roman"/>
          <w:sz w:val="24"/>
          <w:szCs w:val="24"/>
          <w:lang w:eastAsia="de-DE"/>
        </w:rPr>
        <w:t>.</w:t>
      </w:r>
      <w:r w:rsidRPr="005C53F5">
        <w:rPr>
          <w:rFonts w:ascii="Times New Roman" w:eastAsia="SimSun" w:hAnsi="Times New Roman" w:cs="Times New Roman"/>
          <w:sz w:val="24"/>
          <w:szCs w:val="24"/>
          <w:lang w:val="en-GB" w:eastAsia="de-DE"/>
        </w:rPr>
        <w:t>V</w:t>
      </w:r>
      <w:r w:rsidRPr="005C53F5">
        <w:rPr>
          <w:rFonts w:ascii="Times New Roman" w:eastAsia="SimSun" w:hAnsi="Times New Roman" w:cs="Times New Roman"/>
          <w:sz w:val="24"/>
          <w:szCs w:val="24"/>
          <w:lang w:eastAsia="de-DE"/>
        </w:rPr>
        <w:t>. («</w:t>
      </w:r>
      <w:r w:rsidRPr="005C53F5">
        <w:rPr>
          <w:rFonts w:ascii="Times New Roman" w:eastAsia="SimSun" w:hAnsi="Times New Roman" w:cs="Times New Roman"/>
          <w:b/>
          <w:sz w:val="24"/>
          <w:szCs w:val="24"/>
          <w:lang w:eastAsia="de-DE"/>
        </w:rPr>
        <w:t>Кашаган</w:t>
      </w:r>
      <w:r w:rsidRPr="005C53F5">
        <w:rPr>
          <w:rFonts w:ascii="Times New Roman" w:eastAsia="SimSun" w:hAnsi="Times New Roman" w:cs="Times New Roman"/>
          <w:sz w:val="24"/>
          <w:szCs w:val="24"/>
          <w:lang w:eastAsia="de-DE"/>
        </w:rPr>
        <w:t xml:space="preserve">»), которая участвует в консорциуме, имеющем контракт о разделе продукции на месторождении Кашаган. Кашаган управляет долей участия Республики Казахстан в добыче нефти на месторождении. Казахстанская доля участия в Кашагане имеет стоимость примерно в 5,2 млрд долларов США. 14 сентября 2017 года для целей обеспечения исполнения Арбитражного решения Стати в Амстердаме было вынесено предписание о наложении досудебного ареста на акции и ограничении прав Самрук-Казына на управление своим пакетом акций в Кашагане. 7 мая 2019 года Апелляционный суд Амстердама поддержал данное предписание. Данное решение ограничивает возможность Самрук-Казына свободно распоряжаться активами до тех пор, пока в Нидерландах не будут вынесены решения по двум основным незавершенным делам, связанным с Арбитражным решением Стати. Эти незавершенные дела касаются признания и приведения в исполнение Арбитражного решения Стати голландской судебной системой, а также вопроса о юридической и фактической независимости Самрук-Казына от Казахстана. </w:t>
      </w:r>
      <w:r w:rsidR="00313E8B" w:rsidRPr="005C53F5">
        <w:rPr>
          <w:rFonts w:ascii="Times New Roman" w:eastAsia="SimSun" w:hAnsi="Times New Roman" w:cs="Times New Roman"/>
          <w:sz w:val="24"/>
          <w:szCs w:val="24"/>
          <w:lang w:eastAsia="de-DE"/>
        </w:rPr>
        <w:t xml:space="preserve">Последнее слушание по этим вопросам состоялось 27 августа 2019 года, а окончательное решение ожидалось 28 января 2020 года, однако </w:t>
      </w:r>
      <w:r w:rsidR="00313E8B" w:rsidRPr="005C53F5">
        <w:rPr>
          <w:rFonts w:ascii="Times New Roman" w:eastAsia="SimSun" w:hAnsi="Times New Roman" w:cs="Times New Roman"/>
          <w:sz w:val="24"/>
          <w:szCs w:val="24"/>
          <w:lang w:val="kk-KZ" w:eastAsia="de-DE"/>
        </w:rPr>
        <w:t xml:space="preserve">впоследствии </w:t>
      </w:r>
      <w:r w:rsidR="00313E8B" w:rsidRPr="005C53F5">
        <w:rPr>
          <w:rFonts w:ascii="Times New Roman" w:eastAsia="SimSun" w:hAnsi="Times New Roman" w:cs="Times New Roman"/>
          <w:sz w:val="24"/>
          <w:szCs w:val="24"/>
          <w:lang w:eastAsia="de-DE"/>
        </w:rPr>
        <w:t>было перенесено на не определенный срок</w:t>
      </w:r>
      <w:r w:rsidRPr="005C53F5">
        <w:rPr>
          <w:rFonts w:ascii="Times New Roman" w:eastAsia="SimSun" w:hAnsi="Times New Roman" w:cs="Times New Roman"/>
          <w:sz w:val="24"/>
          <w:szCs w:val="24"/>
          <w:lang w:eastAsia="de-DE"/>
        </w:rPr>
        <w:t>. В результате наложения ареста в пользу Самрук-Казына</w:t>
      </w:r>
      <w:r w:rsidRPr="005C53F5" w:rsidDel="00ED09F2">
        <w:rPr>
          <w:rFonts w:ascii="Times New Roman" w:eastAsia="SimSun" w:hAnsi="Times New Roman" w:cs="Times New Roman"/>
          <w:sz w:val="24"/>
          <w:szCs w:val="24"/>
          <w:lang w:eastAsia="de-DE"/>
        </w:rPr>
        <w:t xml:space="preserve"> </w:t>
      </w:r>
      <w:r w:rsidRPr="005C53F5">
        <w:rPr>
          <w:rFonts w:ascii="Times New Roman" w:eastAsia="SimSun" w:hAnsi="Times New Roman" w:cs="Times New Roman"/>
          <w:sz w:val="24"/>
          <w:szCs w:val="24"/>
          <w:lang w:eastAsia="de-DE"/>
        </w:rPr>
        <w:t>не могут быть выплачены дивиденды. Право голоса в Кашагане и повседневное управление им, включая выполнение платежных обязательств, сохранились без изменений.</w:t>
      </w:r>
    </w:p>
    <w:p w14:paraId="3AC5BCE6" w14:textId="3CF07289" w:rsidR="00791B24" w:rsidRPr="005C53F5" w:rsidRDefault="00791B24" w:rsidP="00057BE5">
      <w:pPr>
        <w:spacing w:after="0" w:line="240" w:lineRule="auto"/>
        <w:ind w:firstLine="709"/>
        <w:jc w:val="both"/>
        <w:rPr>
          <w:rFonts w:ascii="Times New Roman" w:eastAsia="SimSun" w:hAnsi="Times New Roman" w:cs="Times New Roman"/>
          <w:sz w:val="24"/>
          <w:szCs w:val="24"/>
          <w:lang w:eastAsia="de-DE"/>
        </w:rPr>
      </w:pPr>
      <w:r w:rsidRPr="005C53F5">
        <w:rPr>
          <w:rFonts w:ascii="Times New Roman" w:eastAsia="SimSun" w:hAnsi="Times New Roman" w:cs="Times New Roman"/>
          <w:sz w:val="24"/>
          <w:szCs w:val="24"/>
          <w:lang w:eastAsia="de-DE"/>
        </w:rPr>
        <w:t xml:space="preserve">Отдельно Самрук-Казына в настоящее время владеет 19,37% акций турецкого банка </w:t>
      </w:r>
      <w:r w:rsidRPr="005C53F5">
        <w:rPr>
          <w:rFonts w:ascii="Times New Roman" w:eastAsia="SimSun" w:hAnsi="Times New Roman" w:cs="Times New Roman"/>
          <w:sz w:val="24"/>
          <w:szCs w:val="24"/>
          <w:lang w:val="en-GB" w:eastAsia="de-DE"/>
        </w:rPr>
        <w:t>Sekerbank</w:t>
      </w:r>
      <w:r w:rsidRPr="005C53F5">
        <w:rPr>
          <w:rFonts w:ascii="Times New Roman" w:eastAsia="SimSun" w:hAnsi="Times New Roman" w:cs="Times New Roman"/>
          <w:sz w:val="24"/>
          <w:szCs w:val="24"/>
          <w:lang w:eastAsia="de-DE"/>
        </w:rPr>
        <w:t>, которые имеют приблизительную стоимость около 39 млн</w:t>
      </w:r>
      <w:r w:rsidR="009B6098" w:rsidRPr="005C53F5">
        <w:rPr>
          <w:rFonts w:ascii="Times New Roman" w:eastAsia="SimSun" w:hAnsi="Times New Roman" w:cs="Times New Roman"/>
          <w:sz w:val="24"/>
          <w:szCs w:val="24"/>
          <w:lang w:eastAsia="de-DE"/>
        </w:rPr>
        <w:t xml:space="preserve"> </w:t>
      </w:r>
      <w:r w:rsidRPr="005C53F5">
        <w:rPr>
          <w:rFonts w:ascii="Times New Roman" w:eastAsia="SimSun" w:hAnsi="Times New Roman" w:cs="Times New Roman"/>
          <w:sz w:val="24"/>
          <w:szCs w:val="24"/>
          <w:lang w:eastAsia="de-DE"/>
        </w:rPr>
        <w:t xml:space="preserve">долларов США. В связи с Арбитражным решением Стати также имеется обременение в отношении прав Самрук-Казына </w:t>
      </w:r>
      <w:r w:rsidR="006E66F7" w:rsidRPr="005C53F5">
        <w:rPr>
          <w:rFonts w:ascii="Times New Roman" w:eastAsia="SimSun" w:hAnsi="Times New Roman" w:cs="Times New Roman"/>
          <w:sz w:val="24"/>
          <w:szCs w:val="24"/>
          <w:lang w:eastAsia="de-DE"/>
        </w:rPr>
        <w:t xml:space="preserve">на </w:t>
      </w:r>
      <w:r w:rsidRPr="005C53F5">
        <w:rPr>
          <w:rFonts w:ascii="Times New Roman" w:eastAsia="SimSun" w:hAnsi="Times New Roman" w:cs="Times New Roman"/>
          <w:sz w:val="24"/>
          <w:szCs w:val="24"/>
          <w:lang w:eastAsia="de-DE"/>
        </w:rPr>
        <w:t xml:space="preserve">данные акции. Самрук-Казына не может продать эти акции или получить по ним дивиденды. Право голоса Самрук-Казына в </w:t>
      </w:r>
      <w:r w:rsidRPr="005C53F5">
        <w:rPr>
          <w:rFonts w:ascii="Times New Roman" w:eastAsia="SimSun" w:hAnsi="Times New Roman" w:cs="Times New Roman"/>
          <w:sz w:val="24"/>
          <w:szCs w:val="24"/>
          <w:lang w:val="en-GB" w:eastAsia="de-DE"/>
        </w:rPr>
        <w:t>Sekerbank</w:t>
      </w:r>
      <w:r w:rsidRPr="005C53F5">
        <w:rPr>
          <w:rFonts w:ascii="Times New Roman" w:eastAsia="SimSun" w:hAnsi="Times New Roman" w:cs="Times New Roman"/>
          <w:sz w:val="24"/>
          <w:szCs w:val="24"/>
          <w:lang w:eastAsia="de-DE"/>
        </w:rPr>
        <w:t xml:space="preserve"> не затрагивается данным обременением.</w:t>
      </w:r>
    </w:p>
    <w:p w14:paraId="581C4ABA" w14:textId="52D68818" w:rsidR="00B84B75" w:rsidRPr="005C53F5" w:rsidRDefault="00001B03"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Несмотря на вышеизложенное,</w:t>
      </w:r>
      <w:r w:rsidR="00791B24" w:rsidRPr="005C53F5">
        <w:rPr>
          <w:rFonts w:ascii="Times New Roman" w:eastAsia="Calibri" w:hAnsi="Times New Roman" w:cs="Times New Roman"/>
          <w:sz w:val="24"/>
          <w:szCs w:val="24"/>
        </w:rPr>
        <w:t xml:space="preserve"> Эмитент не считает, что любая из вышеуказанных процедур, будь то отдельно или совместно, в конечном итоге может привести к такому объему обязательств, который может оказать существенное влияние на финансовое положение Эмитента. </w:t>
      </w:r>
    </w:p>
    <w:p w14:paraId="16D9791D" w14:textId="77777777" w:rsidR="001B6FBF" w:rsidRPr="005C53F5" w:rsidRDefault="001B6FBF" w:rsidP="00057BE5">
      <w:pPr>
        <w:spacing w:after="0" w:line="240" w:lineRule="auto"/>
        <w:rPr>
          <w:rFonts w:ascii="Times New Roman" w:eastAsia="Times New Roman" w:hAnsi="Times New Roman" w:cs="Times New Roman"/>
          <w:b/>
          <w:sz w:val="24"/>
          <w:szCs w:val="24"/>
          <w:lang w:eastAsia="ru-RU"/>
        </w:rPr>
      </w:pPr>
      <w:r w:rsidRPr="005C53F5">
        <w:rPr>
          <w:rFonts w:ascii="Times New Roman" w:hAnsi="Times New Roman" w:cs="Times New Roman"/>
          <w:b/>
          <w:sz w:val="24"/>
          <w:szCs w:val="24"/>
        </w:rPr>
        <w:br w:type="page"/>
      </w:r>
    </w:p>
    <w:p w14:paraId="300816BE" w14:textId="59B5EF21" w:rsidR="00BF5F06" w:rsidRPr="005C53F5" w:rsidRDefault="00BF5F06" w:rsidP="00057BE5">
      <w:pPr>
        <w:pStyle w:val="ConsPlusNormal"/>
        <w:ind w:firstLine="709"/>
        <w:jc w:val="both"/>
        <w:outlineLvl w:val="0"/>
        <w:rPr>
          <w:rFonts w:ascii="Times New Roman" w:hAnsi="Times New Roman" w:cs="Times New Roman"/>
          <w:b/>
          <w:sz w:val="24"/>
          <w:szCs w:val="24"/>
        </w:rPr>
      </w:pPr>
      <w:bookmarkStart w:id="451" w:name="_Toc39616391"/>
      <w:bookmarkStart w:id="452" w:name="_Toc36145630"/>
      <w:r w:rsidRPr="005C53F5">
        <w:rPr>
          <w:rFonts w:ascii="Times New Roman" w:hAnsi="Times New Roman" w:cs="Times New Roman"/>
          <w:b/>
          <w:sz w:val="24"/>
          <w:szCs w:val="24"/>
        </w:rPr>
        <w:t>Раздел VIII. Сведения о размещаемых эмиссионных ценных бумагах, а также об объеме, о сроке, об условиях и о порядке их размещения</w:t>
      </w:r>
      <w:bookmarkEnd w:id="451"/>
      <w:bookmarkEnd w:id="452"/>
    </w:p>
    <w:p w14:paraId="415D3C42"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53" w:name="_Toc39616392"/>
      <w:bookmarkStart w:id="454" w:name="_Toc36145631"/>
      <w:r w:rsidRPr="005C53F5">
        <w:rPr>
          <w:rFonts w:ascii="Times New Roman" w:hAnsi="Times New Roman" w:cs="Times New Roman"/>
          <w:b/>
          <w:sz w:val="24"/>
          <w:szCs w:val="24"/>
        </w:rPr>
        <w:t>8.1. Вид, категория (тип) ценных бумаг</w:t>
      </w:r>
      <w:bookmarkEnd w:id="453"/>
      <w:bookmarkEnd w:id="454"/>
    </w:p>
    <w:p w14:paraId="7CA676CE" w14:textId="75758A62" w:rsidR="003A1D6B" w:rsidRPr="005C53F5" w:rsidRDefault="004070DF"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01:</w:t>
      </w:r>
    </w:p>
    <w:p w14:paraId="12B9B719" w14:textId="318D8906" w:rsidR="004070DF" w:rsidRPr="005C53F5" w:rsidRDefault="004070DF"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03AC2D5F" w14:textId="77777777" w:rsidR="006B4804"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Бездокументарные процентные неконвертируемые государственные облигации Республики Казахстан с централизованным учетом прав серии 01</w:t>
      </w:r>
    </w:p>
    <w:p w14:paraId="65137BCE" w14:textId="7F554490" w:rsidR="006B2B5E" w:rsidRPr="005C53F5" w:rsidRDefault="006B2B5E"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02:</w:t>
      </w:r>
    </w:p>
    <w:p w14:paraId="37817E61" w14:textId="77777777" w:rsidR="006B2B5E" w:rsidRPr="005C53F5" w:rsidRDefault="006B2B5E"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7DDA2255" w14:textId="58E3ED9E" w:rsidR="006B2B5E"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 xml:space="preserve">Бездокументарные процентные неконвертируемые государственные облигации Республики Казахстан с централизованным учетом прав серии </w:t>
      </w:r>
      <w:r w:rsidR="006B2B5E" w:rsidRPr="005C53F5">
        <w:rPr>
          <w:rFonts w:ascii="Times New Roman" w:hAnsi="Times New Roman" w:cs="Times New Roman"/>
          <w:bCs/>
          <w:sz w:val="24"/>
          <w:szCs w:val="24"/>
        </w:rPr>
        <w:t>02</w:t>
      </w:r>
    </w:p>
    <w:p w14:paraId="60988D5F" w14:textId="36A04289" w:rsidR="006B2B5E" w:rsidRPr="005C53F5" w:rsidRDefault="006B2B5E"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03:</w:t>
      </w:r>
    </w:p>
    <w:p w14:paraId="57745EEF" w14:textId="77777777" w:rsidR="006B2B5E" w:rsidRPr="005C53F5" w:rsidRDefault="006B2B5E"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266AE678" w14:textId="74A2908F" w:rsidR="006B2B5E"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 xml:space="preserve">Бездокументарные процентные неконвертируемые государственные облигации Республики Казахстан с централизованным учетом прав серии </w:t>
      </w:r>
      <w:r w:rsidR="006B2B5E" w:rsidRPr="005C53F5">
        <w:rPr>
          <w:rFonts w:ascii="Times New Roman" w:hAnsi="Times New Roman" w:cs="Times New Roman"/>
          <w:bCs/>
          <w:sz w:val="24"/>
          <w:szCs w:val="24"/>
        </w:rPr>
        <w:t>03</w:t>
      </w:r>
    </w:p>
    <w:p w14:paraId="348A31ED" w14:textId="77777777" w:rsidR="006B2B5E" w:rsidRPr="005C53F5" w:rsidRDefault="006B2B5E"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04:</w:t>
      </w:r>
    </w:p>
    <w:p w14:paraId="34AA1B5A" w14:textId="77777777" w:rsidR="006B2B5E" w:rsidRPr="005C53F5" w:rsidRDefault="006B2B5E"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7CE825C1" w14:textId="13F5813A" w:rsidR="006B2B5E"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 xml:space="preserve">Бездокументарные процентные неконвертируемые государственные облигации Республики Казахстан с централизованным учетом прав серии </w:t>
      </w:r>
      <w:r w:rsidR="006B2B5E" w:rsidRPr="005C53F5">
        <w:rPr>
          <w:rFonts w:ascii="Times New Roman" w:hAnsi="Times New Roman" w:cs="Times New Roman"/>
          <w:bCs/>
          <w:sz w:val="24"/>
          <w:szCs w:val="24"/>
        </w:rPr>
        <w:t>04</w:t>
      </w:r>
    </w:p>
    <w:p w14:paraId="478C4187" w14:textId="529CDADB" w:rsidR="006B2B5E" w:rsidRPr="005C53F5" w:rsidRDefault="006B2B5E"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05:</w:t>
      </w:r>
    </w:p>
    <w:p w14:paraId="6ABAA837" w14:textId="77777777" w:rsidR="006B2B5E" w:rsidRPr="005C53F5" w:rsidRDefault="006B2B5E"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15D42D76" w14:textId="5845ADD7" w:rsidR="006B2B5E"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 xml:space="preserve">Бездокументарные процентные неконвертируемые государственные облигации Республики Казахстан с централизованным учетом прав серии </w:t>
      </w:r>
      <w:r w:rsidR="006B2B5E" w:rsidRPr="005C53F5">
        <w:rPr>
          <w:rFonts w:ascii="Times New Roman" w:hAnsi="Times New Roman" w:cs="Times New Roman"/>
          <w:bCs/>
          <w:sz w:val="24"/>
          <w:szCs w:val="24"/>
        </w:rPr>
        <w:t>05</w:t>
      </w:r>
    </w:p>
    <w:p w14:paraId="024D87A4" w14:textId="78818A9C" w:rsidR="006B2B5E" w:rsidRPr="005C53F5" w:rsidRDefault="006B2B5E"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06:</w:t>
      </w:r>
    </w:p>
    <w:p w14:paraId="735956B2" w14:textId="77777777" w:rsidR="006B2B5E" w:rsidRPr="005C53F5" w:rsidRDefault="006B2B5E"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455FECBE" w14:textId="684F08A7" w:rsidR="006B2B5E"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 xml:space="preserve">Бездокументарные процентные неконвертируемые государственные облигации Республики Казахстан с централизованным учетом прав серии </w:t>
      </w:r>
      <w:r w:rsidR="006B2B5E" w:rsidRPr="005C53F5">
        <w:rPr>
          <w:rFonts w:ascii="Times New Roman" w:hAnsi="Times New Roman" w:cs="Times New Roman"/>
          <w:bCs/>
          <w:sz w:val="24"/>
          <w:szCs w:val="24"/>
        </w:rPr>
        <w:t>06</w:t>
      </w:r>
    </w:p>
    <w:p w14:paraId="0E145679" w14:textId="6EEE532E" w:rsidR="006B2B5E" w:rsidRPr="005C53F5" w:rsidRDefault="006B2B5E"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07:</w:t>
      </w:r>
    </w:p>
    <w:p w14:paraId="3D461EAC" w14:textId="77777777" w:rsidR="006B2B5E" w:rsidRPr="005C53F5" w:rsidRDefault="006B2B5E"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46138799" w14:textId="4CFB4C36" w:rsidR="006B2B5E"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 xml:space="preserve">Бездокументарные процентные неконвертируемые государственные облигации Республики Казахстан с централизованным учетом прав серии </w:t>
      </w:r>
      <w:r w:rsidR="006B2B5E" w:rsidRPr="005C53F5">
        <w:rPr>
          <w:rFonts w:ascii="Times New Roman" w:hAnsi="Times New Roman" w:cs="Times New Roman"/>
          <w:bCs/>
          <w:sz w:val="24"/>
          <w:szCs w:val="24"/>
        </w:rPr>
        <w:t>07</w:t>
      </w:r>
    </w:p>
    <w:p w14:paraId="1ED868E9" w14:textId="1C618A81" w:rsidR="006B2B5E" w:rsidRPr="005C53F5" w:rsidRDefault="006B2B5E"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08:</w:t>
      </w:r>
    </w:p>
    <w:p w14:paraId="6F3D6345" w14:textId="77777777" w:rsidR="006B2B5E" w:rsidRPr="005C53F5" w:rsidRDefault="006B2B5E"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211649DA" w14:textId="4B7400CD" w:rsidR="006B2B5E"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 xml:space="preserve">Бездокументарные процентные неконвертируемые государственные облигации Республики Казахстан с централизованным учетом прав серии </w:t>
      </w:r>
      <w:r w:rsidR="006B2B5E" w:rsidRPr="005C53F5">
        <w:rPr>
          <w:rFonts w:ascii="Times New Roman" w:hAnsi="Times New Roman" w:cs="Times New Roman"/>
          <w:bCs/>
          <w:sz w:val="24"/>
          <w:szCs w:val="24"/>
        </w:rPr>
        <w:t>08</w:t>
      </w:r>
    </w:p>
    <w:p w14:paraId="63139836" w14:textId="06A89A1D" w:rsidR="006B2B5E" w:rsidRPr="005C53F5" w:rsidRDefault="006B2B5E"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09:</w:t>
      </w:r>
    </w:p>
    <w:p w14:paraId="01C32F74" w14:textId="77777777" w:rsidR="006B2B5E" w:rsidRPr="005C53F5" w:rsidRDefault="006B2B5E"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380034D5" w14:textId="12FF9F50" w:rsidR="006B2B5E"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 xml:space="preserve">Бездокументарные процентные неконвертируемые государственные облигации Республики Казахстан с централизованным учетом прав серии </w:t>
      </w:r>
      <w:r w:rsidR="006B2B5E" w:rsidRPr="005C53F5">
        <w:rPr>
          <w:rFonts w:ascii="Times New Roman" w:hAnsi="Times New Roman" w:cs="Times New Roman"/>
          <w:bCs/>
          <w:sz w:val="24"/>
          <w:szCs w:val="24"/>
        </w:rPr>
        <w:t>09</w:t>
      </w:r>
    </w:p>
    <w:p w14:paraId="3FBA727B" w14:textId="03E00E86" w:rsidR="006B2B5E" w:rsidRPr="005C53F5" w:rsidRDefault="006B2B5E"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10:</w:t>
      </w:r>
    </w:p>
    <w:p w14:paraId="6EC6A329" w14:textId="77777777" w:rsidR="006B2B5E" w:rsidRPr="005C53F5" w:rsidRDefault="006B2B5E"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556E4ADD" w14:textId="675BFCE3" w:rsidR="006B2B5E"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 xml:space="preserve">Бездокументарные процентные неконвертируемые государственные облигации Республики Казахстан с централизованным учетом прав серии </w:t>
      </w:r>
      <w:r w:rsidR="006B2B5E" w:rsidRPr="005C53F5">
        <w:rPr>
          <w:rFonts w:ascii="Times New Roman" w:hAnsi="Times New Roman" w:cs="Times New Roman"/>
          <w:bCs/>
          <w:sz w:val="24"/>
          <w:szCs w:val="24"/>
        </w:rPr>
        <w:t>10</w:t>
      </w:r>
    </w:p>
    <w:p w14:paraId="5A466CB9" w14:textId="36311BA1" w:rsidR="006B2B5E" w:rsidRPr="005C53F5" w:rsidRDefault="006B2B5E"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11:</w:t>
      </w:r>
    </w:p>
    <w:p w14:paraId="5AC5E287" w14:textId="77777777" w:rsidR="006B2B5E" w:rsidRPr="005C53F5" w:rsidRDefault="006B2B5E"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74902F67" w14:textId="3B9C2D64" w:rsidR="006B2B5E"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 xml:space="preserve">Бездокументарные процентные неконвертируемые государственные облигации Республики Казахстан с централизованным учетом прав серии </w:t>
      </w:r>
      <w:r w:rsidR="006B2B5E" w:rsidRPr="005C53F5">
        <w:rPr>
          <w:rFonts w:ascii="Times New Roman" w:hAnsi="Times New Roman" w:cs="Times New Roman"/>
          <w:bCs/>
          <w:sz w:val="24"/>
          <w:szCs w:val="24"/>
        </w:rPr>
        <w:t>11</w:t>
      </w:r>
    </w:p>
    <w:p w14:paraId="610FC150" w14:textId="5BED05C9" w:rsidR="006B2B5E" w:rsidRPr="005C53F5" w:rsidRDefault="006B2B5E"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12:</w:t>
      </w:r>
    </w:p>
    <w:p w14:paraId="3477F94C" w14:textId="77777777" w:rsidR="006B2B5E" w:rsidRPr="005C53F5" w:rsidRDefault="006B2B5E"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79A3AD46" w14:textId="177EB420" w:rsidR="006B2B5E"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 xml:space="preserve">Бездокументарные процентные неконвертируемые государственные облигации Республики Казахстан с централизованным учетом прав серии </w:t>
      </w:r>
      <w:r w:rsidR="006B2B5E" w:rsidRPr="005C53F5">
        <w:rPr>
          <w:rFonts w:ascii="Times New Roman" w:hAnsi="Times New Roman" w:cs="Times New Roman"/>
          <w:bCs/>
          <w:sz w:val="24"/>
          <w:szCs w:val="24"/>
        </w:rPr>
        <w:t>12</w:t>
      </w:r>
    </w:p>
    <w:p w14:paraId="2DDAE521" w14:textId="02034EF4" w:rsidR="006B2B5E" w:rsidRPr="005C53F5" w:rsidRDefault="006B2B5E"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13:</w:t>
      </w:r>
    </w:p>
    <w:p w14:paraId="4194F230" w14:textId="77777777" w:rsidR="006B2B5E" w:rsidRPr="005C53F5" w:rsidRDefault="006B2B5E"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0A1BF50E" w14:textId="1279253F" w:rsidR="006B2B5E"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 xml:space="preserve">Бездокументарные процентные неконвертируемые государственные облигации Республики Казахстан с централизованным учетом прав серии </w:t>
      </w:r>
      <w:r w:rsidR="006B2B5E" w:rsidRPr="005C53F5">
        <w:rPr>
          <w:rFonts w:ascii="Times New Roman" w:hAnsi="Times New Roman" w:cs="Times New Roman"/>
          <w:bCs/>
          <w:sz w:val="24"/>
          <w:szCs w:val="24"/>
        </w:rPr>
        <w:t>13</w:t>
      </w:r>
    </w:p>
    <w:p w14:paraId="01FA4DCE" w14:textId="1EF6F73D" w:rsidR="006B2B5E" w:rsidRPr="005C53F5" w:rsidRDefault="006B2B5E"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СЕРИИ 14:</w:t>
      </w:r>
    </w:p>
    <w:p w14:paraId="7A87846B" w14:textId="77777777" w:rsidR="006B2B5E" w:rsidRPr="005C53F5" w:rsidRDefault="006B2B5E" w:rsidP="00057BE5">
      <w:pPr>
        <w:pStyle w:val="ConsPlusNormal"/>
        <w:ind w:firstLine="709"/>
        <w:jc w:val="both"/>
        <w:rPr>
          <w:rFonts w:ascii="Times New Roman" w:hAnsi="Times New Roman" w:cs="Times New Roman"/>
          <w:bCs/>
          <w:i/>
          <w:iCs/>
          <w:sz w:val="24"/>
          <w:szCs w:val="24"/>
        </w:rPr>
      </w:pPr>
      <w:r w:rsidRPr="005C53F5">
        <w:rPr>
          <w:rFonts w:ascii="Times New Roman" w:hAnsi="Times New Roman" w:cs="Times New Roman"/>
          <w:bCs/>
          <w:i/>
          <w:iCs/>
          <w:sz w:val="24"/>
          <w:szCs w:val="24"/>
        </w:rPr>
        <w:t>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14:paraId="7BDC832B" w14:textId="59BF6517" w:rsidR="006B2B5E" w:rsidRPr="005C53F5" w:rsidRDefault="006B4804" w:rsidP="00057BE5">
      <w:pPr>
        <w:pStyle w:val="ConsPlusNormal"/>
        <w:ind w:firstLine="709"/>
        <w:jc w:val="both"/>
        <w:rPr>
          <w:rFonts w:ascii="Times New Roman" w:hAnsi="Times New Roman" w:cs="Times New Roman"/>
          <w:bCs/>
          <w:sz w:val="24"/>
          <w:szCs w:val="24"/>
        </w:rPr>
      </w:pPr>
      <w:r w:rsidRPr="005C53F5">
        <w:rPr>
          <w:rFonts w:ascii="Times New Roman" w:hAnsi="Times New Roman" w:cs="Times New Roman"/>
          <w:bCs/>
          <w:sz w:val="24"/>
          <w:szCs w:val="24"/>
        </w:rPr>
        <w:t xml:space="preserve">Бездокументарные процентные неконвертируемые государственные облигации Республики Казахстан с централизованным учетом прав серии </w:t>
      </w:r>
      <w:r w:rsidR="006B2B5E" w:rsidRPr="005C53F5">
        <w:rPr>
          <w:rFonts w:ascii="Times New Roman" w:hAnsi="Times New Roman" w:cs="Times New Roman"/>
          <w:bCs/>
          <w:sz w:val="24"/>
          <w:szCs w:val="24"/>
        </w:rPr>
        <w:t>14</w:t>
      </w:r>
    </w:p>
    <w:p w14:paraId="2ABC47BB" w14:textId="0ED4F0A4" w:rsidR="00026713" w:rsidRPr="005C53F5" w:rsidRDefault="00026713" w:rsidP="00057BE5">
      <w:pPr>
        <w:pStyle w:val="ConsPlusNormal"/>
        <w:ind w:firstLine="709"/>
        <w:jc w:val="both"/>
        <w:rPr>
          <w:rFonts w:ascii="Times New Roman" w:hAnsi="Times New Roman" w:cs="Times New Roman"/>
          <w:b/>
          <w:sz w:val="24"/>
          <w:szCs w:val="22"/>
        </w:rPr>
      </w:pPr>
      <w:r w:rsidRPr="005C53F5">
        <w:rPr>
          <w:rFonts w:ascii="Times New Roman" w:hAnsi="Times New Roman" w:cs="Times New Roman"/>
          <w:b/>
          <w:sz w:val="24"/>
          <w:szCs w:val="22"/>
        </w:rPr>
        <w:t>ДЛЯ ОБ</w:t>
      </w:r>
      <w:r w:rsidR="006B4804" w:rsidRPr="005C53F5">
        <w:rPr>
          <w:rFonts w:ascii="Times New Roman" w:hAnsi="Times New Roman" w:cs="Times New Roman"/>
          <w:b/>
          <w:sz w:val="24"/>
          <w:szCs w:val="22"/>
        </w:rPr>
        <w:t>ЛИГАЦИЙ СЕРИЙ 01-</w:t>
      </w:r>
      <w:r w:rsidRPr="005C53F5">
        <w:rPr>
          <w:rFonts w:ascii="Times New Roman" w:hAnsi="Times New Roman" w:cs="Times New Roman"/>
          <w:b/>
          <w:sz w:val="24"/>
          <w:szCs w:val="22"/>
        </w:rPr>
        <w:t>14:</w:t>
      </w:r>
      <w:r w:rsidR="006B4804" w:rsidRPr="005C53F5">
        <w:rPr>
          <w:rFonts w:ascii="Times New Roman" w:hAnsi="Times New Roman" w:cs="Times New Roman"/>
          <w:b/>
          <w:sz w:val="24"/>
          <w:szCs w:val="22"/>
        </w:rPr>
        <w:t xml:space="preserve"> </w:t>
      </w:r>
    </w:p>
    <w:p w14:paraId="766BC115" w14:textId="352E9B45" w:rsidR="006B4804" w:rsidRPr="005C53F5" w:rsidRDefault="006B4804"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szCs w:val="22"/>
        </w:rPr>
        <w:t>Облигации являются бездокументарными государственными эмиссионными ценными бумагами Республики Казахстан</w:t>
      </w:r>
    </w:p>
    <w:p w14:paraId="30DD8386" w14:textId="437BBA4A"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55" w:name="_Toc39616393"/>
      <w:bookmarkStart w:id="456" w:name="_Toc36145632"/>
      <w:r w:rsidRPr="005C53F5">
        <w:rPr>
          <w:rFonts w:ascii="Times New Roman" w:hAnsi="Times New Roman" w:cs="Times New Roman"/>
          <w:b/>
          <w:sz w:val="24"/>
          <w:szCs w:val="24"/>
        </w:rPr>
        <w:t>8.2. Форма ценных бумаг</w:t>
      </w:r>
      <w:bookmarkEnd w:id="455"/>
      <w:bookmarkEnd w:id="456"/>
    </w:p>
    <w:p w14:paraId="44C3D773" w14:textId="7C29B172" w:rsidR="00C23C1C" w:rsidRPr="005C53F5" w:rsidRDefault="00C23C1C"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СЕРИЙ 01-14:</w:t>
      </w:r>
    </w:p>
    <w:p w14:paraId="3EDE1CF4" w14:textId="2C1D6391" w:rsidR="003A1D6B" w:rsidRPr="005C53F5" w:rsidRDefault="00C23C1C"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szCs w:val="22"/>
        </w:rPr>
        <w:t>Бездокументарные</w:t>
      </w:r>
    </w:p>
    <w:p w14:paraId="3D0B7376" w14:textId="39A660D8"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57" w:name="_Toc39616394"/>
      <w:bookmarkStart w:id="458" w:name="_Toc36145633"/>
      <w:r w:rsidRPr="005C53F5">
        <w:rPr>
          <w:rFonts w:ascii="Times New Roman" w:hAnsi="Times New Roman" w:cs="Times New Roman"/>
          <w:b/>
          <w:sz w:val="24"/>
          <w:szCs w:val="24"/>
        </w:rPr>
        <w:t>8.3. Указание на обязательное централизованное хранение</w:t>
      </w:r>
      <w:bookmarkEnd w:id="457"/>
      <w:bookmarkEnd w:id="458"/>
    </w:p>
    <w:p w14:paraId="3D68E729" w14:textId="7DFE8576" w:rsidR="00C23C1C" w:rsidRPr="005C53F5" w:rsidRDefault="00C23C1C" w:rsidP="00057BE5">
      <w:pPr>
        <w:pStyle w:val="ConsPlusNormal"/>
        <w:ind w:firstLine="709"/>
        <w:jc w:val="both"/>
        <w:rPr>
          <w:rFonts w:ascii="Times New Roman" w:hAnsi="Times New Roman" w:cs="Times New Roman"/>
          <w:b/>
          <w:bCs/>
          <w:sz w:val="24"/>
          <w:szCs w:val="24"/>
        </w:rPr>
      </w:pPr>
      <w:r w:rsidRPr="005C53F5">
        <w:rPr>
          <w:rFonts w:ascii="Times New Roman" w:hAnsi="Times New Roman" w:cs="Times New Roman"/>
          <w:b/>
          <w:bCs/>
          <w:sz w:val="24"/>
          <w:szCs w:val="24"/>
        </w:rPr>
        <w:t>ДЛЯ ОБЛИГАЦИЙ СЕРИЙ 01-14:</w:t>
      </w:r>
    </w:p>
    <w:p w14:paraId="6FEC8DEC" w14:textId="1996299A" w:rsidR="00C23C1C" w:rsidRPr="005C53F5" w:rsidRDefault="00C23C1C" w:rsidP="00057BE5">
      <w:pPr>
        <w:pStyle w:val="ConsPlusNormal"/>
        <w:ind w:firstLine="709"/>
        <w:rPr>
          <w:rFonts w:ascii="Times New Roman" w:hAnsi="Times New Roman" w:cs="Times New Roman"/>
          <w:sz w:val="24"/>
          <w:u w:val="single"/>
        </w:rPr>
      </w:pPr>
      <w:r w:rsidRPr="005C53F5">
        <w:rPr>
          <w:rFonts w:ascii="Times New Roman" w:hAnsi="Times New Roman" w:cs="Times New Roman"/>
          <w:sz w:val="24"/>
        </w:rPr>
        <w:t>Предусмотрен централизованный учет прав на Облигации.</w:t>
      </w:r>
    </w:p>
    <w:tbl>
      <w:tblPr>
        <w:tblStyle w:val="a3"/>
        <w:tblW w:w="5000" w:type="pct"/>
        <w:tblLook w:val="04A0" w:firstRow="1" w:lastRow="0" w:firstColumn="1" w:lastColumn="0" w:noHBand="0" w:noVBand="1"/>
      </w:tblPr>
      <w:tblGrid>
        <w:gridCol w:w="4813"/>
        <w:gridCol w:w="4814"/>
      </w:tblGrid>
      <w:tr w:rsidR="00EB4231" w:rsidRPr="005C53F5" w14:paraId="3803B236" w14:textId="77777777" w:rsidTr="00A61372">
        <w:tc>
          <w:tcPr>
            <w:tcW w:w="5000" w:type="pct"/>
            <w:gridSpan w:val="2"/>
          </w:tcPr>
          <w:p w14:paraId="20AA1566" w14:textId="77777777" w:rsidR="00EB4231" w:rsidRPr="005C53F5" w:rsidRDefault="00EB4231" w:rsidP="00057BE5">
            <w:pPr>
              <w:pStyle w:val="ConsPlusNormal"/>
              <w:jc w:val="center"/>
              <w:rPr>
                <w:rFonts w:ascii="Times New Roman" w:hAnsi="Times New Roman" w:cs="Times New Roman"/>
                <w:sz w:val="24"/>
              </w:rPr>
            </w:pPr>
            <w:r w:rsidRPr="005C53F5">
              <w:rPr>
                <w:rFonts w:ascii="Times New Roman" w:hAnsi="Times New Roman" w:cs="Times New Roman"/>
                <w:b/>
                <w:sz w:val="24"/>
              </w:rPr>
              <w:t>Депозитарий, осуществляющий централизованный учет прав на Облигации</w:t>
            </w:r>
          </w:p>
        </w:tc>
      </w:tr>
      <w:tr w:rsidR="00EB4231" w:rsidRPr="005C53F5" w14:paraId="06B0073A" w14:textId="77777777" w:rsidTr="00A61372">
        <w:tc>
          <w:tcPr>
            <w:tcW w:w="2500" w:type="pct"/>
          </w:tcPr>
          <w:p w14:paraId="00D89863"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 xml:space="preserve">Полное фирменное наименование </w:t>
            </w:r>
          </w:p>
        </w:tc>
        <w:tc>
          <w:tcPr>
            <w:tcW w:w="2500" w:type="pct"/>
          </w:tcPr>
          <w:p w14:paraId="105ACE7B"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Небанковская кредитная организация акционерное общество «Национальный расчетный депозитарий»</w:t>
            </w:r>
          </w:p>
        </w:tc>
      </w:tr>
      <w:tr w:rsidR="00EB4231" w:rsidRPr="005C53F5" w14:paraId="43019777" w14:textId="77777777" w:rsidTr="00A61372">
        <w:tc>
          <w:tcPr>
            <w:tcW w:w="2500" w:type="pct"/>
          </w:tcPr>
          <w:p w14:paraId="2A11E013"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Сокращенное фирменное наименование</w:t>
            </w:r>
          </w:p>
        </w:tc>
        <w:tc>
          <w:tcPr>
            <w:tcW w:w="2500" w:type="pct"/>
          </w:tcPr>
          <w:p w14:paraId="0ACE0A3E"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НКО АО НРД</w:t>
            </w:r>
          </w:p>
          <w:p w14:paraId="1D6B9360" w14:textId="77777777" w:rsidR="00EB4231" w:rsidRPr="005C53F5" w:rsidRDefault="00EB4231" w:rsidP="00057BE5">
            <w:pPr>
              <w:pStyle w:val="ConsPlusNormal"/>
              <w:ind w:firstLine="709"/>
              <w:rPr>
                <w:rFonts w:ascii="Times New Roman" w:hAnsi="Times New Roman" w:cs="Times New Roman"/>
                <w:sz w:val="24"/>
              </w:rPr>
            </w:pPr>
          </w:p>
        </w:tc>
      </w:tr>
      <w:tr w:rsidR="00EB4231" w:rsidRPr="005C53F5" w14:paraId="15B59CF6" w14:textId="77777777" w:rsidTr="00A61372">
        <w:tc>
          <w:tcPr>
            <w:tcW w:w="2500" w:type="pct"/>
          </w:tcPr>
          <w:p w14:paraId="2F1C7A4C"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Место нахождения</w:t>
            </w:r>
          </w:p>
        </w:tc>
        <w:tc>
          <w:tcPr>
            <w:tcW w:w="2500" w:type="pct"/>
          </w:tcPr>
          <w:p w14:paraId="728C9178" w14:textId="54929D5F" w:rsidR="00EB4231" w:rsidRPr="005C53F5" w:rsidRDefault="00DA1F23" w:rsidP="00057BE5">
            <w:pPr>
              <w:pStyle w:val="ConsPlusNormal"/>
              <w:rPr>
                <w:rFonts w:ascii="Times New Roman" w:hAnsi="Times New Roman" w:cs="Times New Roman"/>
                <w:sz w:val="24"/>
              </w:rPr>
            </w:pPr>
            <w:r w:rsidRPr="005C53F5">
              <w:rPr>
                <w:rFonts w:ascii="Times New Roman" w:hAnsi="Times New Roman" w:cs="Times New Roman"/>
                <w:sz w:val="24"/>
              </w:rPr>
              <w:t xml:space="preserve">Российская Федерация, </w:t>
            </w:r>
            <w:r w:rsidR="00EB4231" w:rsidRPr="005C53F5">
              <w:rPr>
                <w:rFonts w:ascii="Times New Roman" w:hAnsi="Times New Roman" w:cs="Times New Roman"/>
                <w:sz w:val="24"/>
              </w:rPr>
              <w:t>город Москва</w:t>
            </w:r>
          </w:p>
        </w:tc>
      </w:tr>
      <w:tr w:rsidR="00EB4231" w:rsidRPr="005C53F5" w14:paraId="43E9D170" w14:textId="77777777" w:rsidTr="00A61372">
        <w:tc>
          <w:tcPr>
            <w:tcW w:w="2500" w:type="pct"/>
          </w:tcPr>
          <w:p w14:paraId="73534049"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Адрес для направления почтовой корреспонденции</w:t>
            </w:r>
          </w:p>
        </w:tc>
        <w:tc>
          <w:tcPr>
            <w:tcW w:w="2500" w:type="pct"/>
          </w:tcPr>
          <w:p w14:paraId="5BD63631"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105066, г. Москва, ул. Спартаковская, дом 12</w:t>
            </w:r>
          </w:p>
        </w:tc>
      </w:tr>
      <w:tr w:rsidR="00EB4231" w:rsidRPr="005C53F5" w14:paraId="7749EEBE" w14:textId="77777777" w:rsidTr="00A61372">
        <w:tc>
          <w:tcPr>
            <w:tcW w:w="2500" w:type="pct"/>
          </w:tcPr>
          <w:p w14:paraId="7C149525"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Идентификационный номер налогоплательщика (ИНН)</w:t>
            </w:r>
          </w:p>
        </w:tc>
        <w:tc>
          <w:tcPr>
            <w:tcW w:w="2500" w:type="pct"/>
          </w:tcPr>
          <w:p w14:paraId="3CAA9604"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7702165310</w:t>
            </w:r>
          </w:p>
        </w:tc>
      </w:tr>
      <w:tr w:rsidR="00EB4231" w:rsidRPr="005C53F5" w14:paraId="394ADF88" w14:textId="77777777" w:rsidTr="00A61372">
        <w:tc>
          <w:tcPr>
            <w:tcW w:w="2500" w:type="pct"/>
          </w:tcPr>
          <w:p w14:paraId="6A58E050"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Телефон</w:t>
            </w:r>
          </w:p>
          <w:p w14:paraId="6EA24F7A" w14:textId="77777777" w:rsidR="00EB4231" w:rsidRPr="005C53F5" w:rsidRDefault="00EB4231" w:rsidP="00057BE5">
            <w:pPr>
              <w:pStyle w:val="ConsPlusNormal"/>
              <w:ind w:firstLine="709"/>
              <w:rPr>
                <w:rFonts w:ascii="Times New Roman" w:hAnsi="Times New Roman" w:cs="Times New Roman"/>
                <w:sz w:val="24"/>
              </w:rPr>
            </w:pPr>
          </w:p>
        </w:tc>
        <w:tc>
          <w:tcPr>
            <w:tcW w:w="2500" w:type="pct"/>
          </w:tcPr>
          <w:p w14:paraId="63CFE32B"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+7 495 956-27-89, +7 495 956-27-90</w:t>
            </w:r>
          </w:p>
        </w:tc>
      </w:tr>
      <w:tr w:rsidR="00EB4231" w:rsidRPr="005C53F5" w14:paraId="2020F635" w14:textId="77777777" w:rsidTr="00A61372">
        <w:tc>
          <w:tcPr>
            <w:tcW w:w="2500" w:type="pct"/>
          </w:tcPr>
          <w:p w14:paraId="086E485D"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Номер лицензии на осуществление депозитарной деятельности</w:t>
            </w:r>
          </w:p>
        </w:tc>
        <w:tc>
          <w:tcPr>
            <w:tcW w:w="2500" w:type="pct"/>
          </w:tcPr>
          <w:p w14:paraId="09DAD71A"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045-12042-000100</w:t>
            </w:r>
          </w:p>
          <w:p w14:paraId="2B7AC694" w14:textId="77777777" w:rsidR="00EB4231" w:rsidRPr="005C53F5" w:rsidRDefault="00EB4231" w:rsidP="00057BE5">
            <w:pPr>
              <w:pStyle w:val="ConsPlusNormal"/>
              <w:ind w:firstLine="709"/>
              <w:rPr>
                <w:rFonts w:ascii="Times New Roman" w:hAnsi="Times New Roman" w:cs="Times New Roman"/>
                <w:sz w:val="24"/>
              </w:rPr>
            </w:pPr>
          </w:p>
        </w:tc>
      </w:tr>
      <w:tr w:rsidR="00EB4231" w:rsidRPr="005C53F5" w14:paraId="03D6A141" w14:textId="77777777" w:rsidTr="00A61372">
        <w:tc>
          <w:tcPr>
            <w:tcW w:w="2500" w:type="pct"/>
          </w:tcPr>
          <w:p w14:paraId="2B920BF3"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Дата выдачи лицензии на осуществление депозитарной деятельности</w:t>
            </w:r>
          </w:p>
        </w:tc>
        <w:tc>
          <w:tcPr>
            <w:tcW w:w="2500" w:type="pct"/>
          </w:tcPr>
          <w:p w14:paraId="1CE121B3"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19.02.2009</w:t>
            </w:r>
          </w:p>
        </w:tc>
      </w:tr>
      <w:tr w:rsidR="00EB4231" w:rsidRPr="005C53F5" w14:paraId="216C8F82" w14:textId="77777777" w:rsidTr="00A61372">
        <w:tc>
          <w:tcPr>
            <w:tcW w:w="2500" w:type="pct"/>
          </w:tcPr>
          <w:p w14:paraId="5BF4EA31"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Срок действия лицензии на осуществление депозитарной деятельности</w:t>
            </w:r>
          </w:p>
        </w:tc>
        <w:tc>
          <w:tcPr>
            <w:tcW w:w="2500" w:type="pct"/>
          </w:tcPr>
          <w:p w14:paraId="5DC940C0"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без ограничения срока действия</w:t>
            </w:r>
          </w:p>
          <w:p w14:paraId="0CC5F59F" w14:textId="77777777" w:rsidR="00EB4231" w:rsidRPr="005C53F5" w:rsidRDefault="00EB4231" w:rsidP="00057BE5">
            <w:pPr>
              <w:pStyle w:val="ConsPlusNormal"/>
              <w:ind w:firstLine="709"/>
              <w:rPr>
                <w:rFonts w:ascii="Times New Roman" w:hAnsi="Times New Roman" w:cs="Times New Roman"/>
                <w:sz w:val="24"/>
              </w:rPr>
            </w:pPr>
          </w:p>
        </w:tc>
      </w:tr>
      <w:tr w:rsidR="00EB4231" w:rsidRPr="005C53F5" w14:paraId="2DECF076" w14:textId="77777777" w:rsidTr="00A61372">
        <w:tc>
          <w:tcPr>
            <w:tcW w:w="2500" w:type="pct"/>
          </w:tcPr>
          <w:p w14:paraId="5CCA3149"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Лицензирующий орган</w:t>
            </w:r>
          </w:p>
        </w:tc>
        <w:tc>
          <w:tcPr>
            <w:tcW w:w="2500" w:type="pct"/>
          </w:tcPr>
          <w:p w14:paraId="53D1AD29" w14:textId="77777777" w:rsidR="00EB4231" w:rsidRPr="005C53F5" w:rsidRDefault="00EB4231" w:rsidP="00057BE5">
            <w:pPr>
              <w:pStyle w:val="ConsPlusNormal"/>
              <w:rPr>
                <w:rFonts w:ascii="Times New Roman" w:hAnsi="Times New Roman" w:cs="Times New Roman"/>
                <w:sz w:val="24"/>
              </w:rPr>
            </w:pPr>
            <w:r w:rsidRPr="005C53F5">
              <w:rPr>
                <w:rFonts w:ascii="Times New Roman" w:hAnsi="Times New Roman" w:cs="Times New Roman"/>
                <w:sz w:val="24"/>
              </w:rPr>
              <w:t>ФСФР России</w:t>
            </w:r>
          </w:p>
        </w:tc>
      </w:tr>
    </w:tbl>
    <w:p w14:paraId="1EC91E6F" w14:textId="4EF54599" w:rsidR="00C23C1C" w:rsidRPr="005C53F5" w:rsidRDefault="00C23C1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случае прекр</w:t>
      </w:r>
      <w:r w:rsidR="007B1A80" w:rsidRPr="005C53F5">
        <w:rPr>
          <w:rFonts w:ascii="Times New Roman" w:hAnsi="Times New Roman" w:cs="Times New Roman"/>
          <w:sz w:val="24"/>
        </w:rPr>
        <w:t xml:space="preserve">ащения деятельности НРД </w:t>
      </w:r>
      <w:r w:rsidRPr="005C53F5">
        <w:rPr>
          <w:rFonts w:ascii="Times New Roman" w:hAnsi="Times New Roman" w:cs="Times New Roman"/>
          <w:sz w:val="24"/>
        </w:rPr>
        <w:t xml:space="preserve">в связи с его реорганизацией централизованный учет прав на Облигации будет осуществляться его правопреемником. В тех случаях, когда в </w:t>
      </w:r>
      <w:r w:rsidR="00F158E7" w:rsidRPr="005C53F5">
        <w:rPr>
          <w:rFonts w:ascii="Times New Roman" w:hAnsi="Times New Roman" w:cs="Times New Roman"/>
          <w:sz w:val="24"/>
        </w:rPr>
        <w:t>Условиях</w:t>
      </w:r>
      <w:r w:rsidRPr="005C53F5">
        <w:rPr>
          <w:rFonts w:ascii="Times New Roman" w:hAnsi="Times New Roman" w:cs="Times New Roman"/>
          <w:sz w:val="24"/>
        </w:rPr>
        <w:t xml:space="preserve"> о выпуске</w:t>
      </w:r>
      <w:r w:rsidR="00F158E7" w:rsidRPr="005C53F5">
        <w:rPr>
          <w:rFonts w:ascii="Times New Roman" w:hAnsi="Times New Roman" w:cs="Times New Roman"/>
          <w:sz w:val="24"/>
        </w:rPr>
        <w:t xml:space="preserve"> и Проспекте ценных бумаг</w:t>
      </w:r>
      <w:r w:rsidRPr="005C53F5">
        <w:rPr>
          <w:rFonts w:ascii="Times New Roman" w:hAnsi="Times New Roman" w:cs="Times New Roman"/>
          <w:sz w:val="24"/>
        </w:rPr>
        <w:t xml:space="preserve"> упоминается НРД, подразумевается НРД или его правопреемник.</w:t>
      </w:r>
    </w:p>
    <w:p w14:paraId="24A13DD3" w14:textId="34DDEBD3" w:rsidR="00C23C1C" w:rsidRPr="005C53F5" w:rsidRDefault="00C23C1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Учет и удостоверение прав на Облигации, учет и удостоверение передачи Облигаций, включая случаи обременения Облигаций обязательствами, осуществляется в НРД и </w:t>
      </w:r>
      <w:r w:rsidR="007B1A80" w:rsidRPr="005C53F5">
        <w:rPr>
          <w:rFonts w:ascii="Times New Roman" w:hAnsi="Times New Roman" w:cs="Times New Roman"/>
          <w:sz w:val="24"/>
        </w:rPr>
        <w:t>Д</w:t>
      </w:r>
      <w:r w:rsidRPr="005C53F5">
        <w:rPr>
          <w:rFonts w:ascii="Times New Roman" w:hAnsi="Times New Roman" w:cs="Times New Roman"/>
          <w:sz w:val="24"/>
        </w:rPr>
        <w:t>епозитариях, осуществляющих учет прав на Облигации, помимо Н</w:t>
      </w:r>
      <w:r w:rsidR="007B1A80" w:rsidRPr="005C53F5">
        <w:rPr>
          <w:rFonts w:ascii="Times New Roman" w:hAnsi="Times New Roman" w:cs="Times New Roman"/>
          <w:sz w:val="24"/>
        </w:rPr>
        <w:t>РД.</w:t>
      </w:r>
    </w:p>
    <w:p w14:paraId="58CD95A7" w14:textId="77777777" w:rsidR="00C23C1C" w:rsidRPr="005C53F5" w:rsidRDefault="00C23C1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Права на Облигации подтверждаются выписками по счетам депо, выдаваемыми НРД и Депозитариями владельцам Облигаций. Право на Облигацию переходит от одного лица к другому в момент внесения приходной записи по счету депо приобретателя Облигаций в НРД и Депозитариях.</w:t>
      </w:r>
    </w:p>
    <w:p w14:paraId="61F304E1" w14:textId="77777777" w:rsidR="00C23C1C" w:rsidRPr="005C53F5" w:rsidRDefault="00C23C1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Потенциальный приобретатель Облигаций обязан открыть счет депо в НРД или в Депозитарии. Порядок и сроки открытия счетов депо определяются положениями внутренних документов соответствующих депозитариев.</w:t>
      </w:r>
    </w:p>
    <w:p w14:paraId="430F0414" w14:textId="77777777" w:rsidR="00C23C1C" w:rsidRPr="005C53F5" w:rsidRDefault="00C23C1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Приобретатель Облигаций самостоятельно оценивает и несет риск того, что личный закон депозитария, в котором ему открыт счет депо, предназначенный для учета прав на Облигации, или личный закон депозитария, по счету депо которого должна пройти депозитарная операция, либо запрет или иное ограничение, наложенные государственными или иными уполномоченными органами, могут запрещать данному депозитарию содействовать инвестированию в Облигации.</w:t>
      </w:r>
    </w:p>
    <w:p w14:paraId="321C5306" w14:textId="77777777" w:rsidR="00C23C1C" w:rsidRPr="005C53F5" w:rsidRDefault="00C23C1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Приобретатель Облигаций самостоятельно оценивает и несет риск того, что его личный закон, запрет или иное ограничение, наложенные государственными или иными уполномоченными органами, могут запрещать ему инвестировать денежные средства в Облигации.</w:t>
      </w:r>
    </w:p>
    <w:p w14:paraId="03A9EC45" w14:textId="77777777" w:rsidR="00C23C1C" w:rsidRPr="005C53F5" w:rsidRDefault="00C23C1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Списание Облигаций со счетов депо при погашении производится после исполнения Эмитентом всех обязательств перед владельцами Облигаций по выплате номинальной стоимости Облигаций и купонного дохода по Облигациям за все купонные периоды.</w:t>
      </w:r>
    </w:p>
    <w:p w14:paraId="28D9B370" w14:textId="77777777" w:rsidR="00C23C1C" w:rsidRPr="005C53F5" w:rsidRDefault="00C23C1C" w:rsidP="00057BE5">
      <w:pPr>
        <w:pStyle w:val="ConsPlusNormal"/>
        <w:ind w:firstLine="709"/>
        <w:jc w:val="both"/>
        <w:rPr>
          <w:rFonts w:ascii="Times New Roman" w:hAnsi="Times New Roman" w:cs="Times New Roman"/>
          <w:b/>
          <w:sz w:val="24"/>
        </w:rPr>
      </w:pPr>
      <w:r w:rsidRPr="005C53F5">
        <w:rPr>
          <w:rFonts w:ascii="Times New Roman" w:hAnsi="Times New Roman" w:cs="Times New Roman"/>
          <w:sz w:val="24"/>
        </w:rPr>
        <w:t>Снятие Облигаций с централизованного учета производится после списания всех Облигаций со счетов в НРД.</w:t>
      </w:r>
    </w:p>
    <w:p w14:paraId="42C59525" w14:textId="5E9E441C" w:rsidR="00C23C1C" w:rsidRPr="005C53F5" w:rsidRDefault="00C23C1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Порядок учета и перехода прав на бездокументарные эмиссионные ценные бумаги с централизованным учетом прав регулируется Федеральным законом от 22 апреля 1996 года № 39-ФЗ «О рынке ценных бумаг» (далее </w:t>
      </w:r>
      <w:r w:rsidR="003F0AA9" w:rsidRPr="005C53F5">
        <w:rPr>
          <w:rFonts w:ascii="Times New Roman" w:hAnsi="Times New Roman" w:cs="Times New Roman"/>
          <w:sz w:val="24"/>
        </w:rPr>
        <w:t xml:space="preserve">- </w:t>
      </w:r>
      <w:r w:rsidRPr="005C53F5">
        <w:rPr>
          <w:rFonts w:ascii="Times New Roman" w:hAnsi="Times New Roman" w:cs="Times New Roman"/>
          <w:sz w:val="24"/>
        </w:rPr>
        <w:t>«</w:t>
      </w:r>
      <w:r w:rsidRPr="005C53F5">
        <w:rPr>
          <w:rFonts w:ascii="Times New Roman" w:hAnsi="Times New Roman" w:cs="Times New Roman"/>
          <w:b/>
          <w:sz w:val="24"/>
        </w:rPr>
        <w:t>Закон о рынке ценных бумаг</w:t>
      </w:r>
      <w:r w:rsidRPr="005C53F5">
        <w:rPr>
          <w:rFonts w:ascii="Times New Roman" w:hAnsi="Times New Roman" w:cs="Times New Roman"/>
          <w:sz w:val="24"/>
        </w:rPr>
        <w:t>»), а также иными нормативными правовыми актами Российской Федерации и внутренними документами Депозитария.</w:t>
      </w:r>
    </w:p>
    <w:p w14:paraId="30F794E5" w14:textId="77777777" w:rsidR="00C23C1C" w:rsidRPr="005C53F5" w:rsidRDefault="00C23C1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случае изменения законодательства Российской Федерации, в том числе нормативных правовых актов Российской Федерации в сфере финансовых рынков, порядок учета и перехода прав на Облигации, а также осуществление выплат по ним будут регулироваться с учетом изменившихся требований законодательства Российской Федерации, в том числе нормативных правовых актов Российской Федерации в сфере финансовых рынков.</w:t>
      </w:r>
    </w:p>
    <w:p w14:paraId="1D19D9B8" w14:textId="323599DC" w:rsidR="003A1D6B" w:rsidRPr="005C53F5" w:rsidRDefault="00C23C1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случае учета прав на Облигации в Депозитарии, подчиняющемся законодательству иностранной юрисдикции, порядок учета и перехода прав на Облигации регулируется в соответствии с применимым законодательством и внутренними</w:t>
      </w:r>
      <w:r w:rsidR="00D821C4" w:rsidRPr="005C53F5">
        <w:rPr>
          <w:rFonts w:ascii="Times New Roman" w:hAnsi="Times New Roman" w:cs="Times New Roman"/>
          <w:sz w:val="24"/>
        </w:rPr>
        <w:t xml:space="preserve"> правилами данного Депозитария.</w:t>
      </w:r>
    </w:p>
    <w:p w14:paraId="7B595027" w14:textId="0D269B20"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59" w:name="_Toc39616395"/>
      <w:bookmarkStart w:id="460" w:name="_Toc36145634"/>
      <w:r w:rsidRPr="005C53F5">
        <w:rPr>
          <w:rFonts w:ascii="Times New Roman" w:hAnsi="Times New Roman" w:cs="Times New Roman"/>
          <w:b/>
          <w:sz w:val="24"/>
          <w:szCs w:val="24"/>
        </w:rPr>
        <w:t>8.4. Номинальная стоимость каждой ценной бумаги выпуска (дополнительного выпуска)</w:t>
      </w:r>
      <w:bookmarkEnd w:id="459"/>
      <w:bookmarkEnd w:id="460"/>
    </w:p>
    <w:p w14:paraId="2755218A" w14:textId="0FCC36C8" w:rsidR="003A1D6B" w:rsidRPr="005C53F5" w:rsidRDefault="00D7594D" w:rsidP="00057BE5">
      <w:pPr>
        <w:pStyle w:val="ConsPlusNormal"/>
        <w:ind w:firstLine="709"/>
        <w:jc w:val="both"/>
        <w:rPr>
          <w:rFonts w:ascii="Times New Roman" w:hAnsi="Times New Roman" w:cs="Times New Roman"/>
          <w:b/>
          <w:bCs/>
          <w:sz w:val="24"/>
          <w:szCs w:val="22"/>
        </w:rPr>
      </w:pPr>
      <w:r w:rsidRPr="005C53F5">
        <w:rPr>
          <w:rFonts w:ascii="Times New Roman" w:hAnsi="Times New Roman" w:cs="Times New Roman"/>
          <w:b/>
          <w:bCs/>
          <w:sz w:val="24"/>
          <w:szCs w:val="22"/>
        </w:rPr>
        <w:t>ДЛЯ ОБЛИГАЦИЙ СЕРИЙ 01-14:</w:t>
      </w:r>
    </w:p>
    <w:p w14:paraId="285E5C7E" w14:textId="761E6635" w:rsidR="00D7594D" w:rsidRPr="005C53F5" w:rsidRDefault="00D7594D" w:rsidP="00057BE5">
      <w:pPr>
        <w:pStyle w:val="ConsPlusNormal"/>
        <w:ind w:firstLine="709"/>
        <w:jc w:val="both"/>
        <w:rPr>
          <w:rFonts w:ascii="Times New Roman" w:hAnsi="Times New Roman" w:cs="Times New Roman"/>
          <w:bCs/>
          <w:sz w:val="24"/>
        </w:rPr>
      </w:pPr>
      <w:r w:rsidRPr="005C53F5">
        <w:rPr>
          <w:rFonts w:ascii="Times New Roman" w:hAnsi="Times New Roman" w:cs="Times New Roman"/>
          <w:bCs/>
          <w:sz w:val="24"/>
        </w:rPr>
        <w:t>1000 (одна тысяча) российских рублей каждая.</w:t>
      </w:r>
    </w:p>
    <w:p w14:paraId="2C64E3A7" w14:textId="4848AE5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61" w:name="_Toc39616396"/>
      <w:bookmarkStart w:id="462" w:name="_Toc36145635"/>
      <w:r w:rsidRPr="005C53F5">
        <w:rPr>
          <w:rFonts w:ascii="Times New Roman" w:hAnsi="Times New Roman" w:cs="Times New Roman"/>
          <w:b/>
          <w:sz w:val="24"/>
          <w:szCs w:val="24"/>
        </w:rPr>
        <w:t>8.5. Количество ценных бумаг выпуска (дополнительного выпуска)</w:t>
      </w:r>
      <w:bookmarkEnd w:id="461"/>
      <w:bookmarkEnd w:id="462"/>
    </w:p>
    <w:p w14:paraId="6FE16C25" w14:textId="09C5B622" w:rsidR="000A1C39" w:rsidRPr="005C53F5" w:rsidRDefault="000A1C39" w:rsidP="00057BE5">
      <w:pPr>
        <w:pStyle w:val="ConsPlusNormal"/>
        <w:ind w:firstLine="709"/>
        <w:jc w:val="both"/>
        <w:rPr>
          <w:rFonts w:ascii="Times New Roman" w:hAnsi="Times New Roman" w:cs="Times New Roman"/>
          <w:b/>
          <w:bCs/>
          <w:sz w:val="24"/>
          <w:szCs w:val="22"/>
        </w:rPr>
      </w:pPr>
      <w:r w:rsidRPr="005C53F5">
        <w:rPr>
          <w:rFonts w:ascii="Times New Roman" w:hAnsi="Times New Roman" w:cs="Times New Roman"/>
          <w:b/>
          <w:bCs/>
          <w:sz w:val="24"/>
          <w:szCs w:val="22"/>
        </w:rPr>
        <w:t>ДЛЯ ОБЛИГАЦИЙ СЕРИЙ 01, 02:</w:t>
      </w:r>
    </w:p>
    <w:p w14:paraId="35FEB4D6" w14:textId="131AB981" w:rsidR="000A1C39" w:rsidRPr="005C53F5" w:rsidRDefault="000A1C3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20 000 000 (двадцать миллионов) штук</w:t>
      </w:r>
    </w:p>
    <w:p w14:paraId="74DA79FF" w14:textId="00E8ECD4" w:rsidR="000A1C39" w:rsidRPr="005C53F5" w:rsidRDefault="000A1C39"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szCs w:val="22"/>
        </w:rPr>
        <w:t>Размещение Облигаций траншами не предусмотрено.</w:t>
      </w:r>
    </w:p>
    <w:p w14:paraId="4BDFA0BA" w14:textId="02D23685" w:rsidR="003A1D6B" w:rsidRPr="005C53F5" w:rsidRDefault="00D7594D" w:rsidP="00057BE5">
      <w:pPr>
        <w:pStyle w:val="ConsPlusNormal"/>
        <w:ind w:firstLine="709"/>
        <w:jc w:val="both"/>
        <w:rPr>
          <w:rFonts w:ascii="Times New Roman" w:hAnsi="Times New Roman" w:cs="Times New Roman"/>
          <w:b/>
          <w:bCs/>
          <w:sz w:val="24"/>
          <w:szCs w:val="22"/>
        </w:rPr>
      </w:pPr>
      <w:r w:rsidRPr="005C53F5">
        <w:rPr>
          <w:rFonts w:ascii="Times New Roman" w:hAnsi="Times New Roman" w:cs="Times New Roman"/>
          <w:b/>
          <w:bCs/>
          <w:sz w:val="24"/>
          <w:szCs w:val="22"/>
        </w:rPr>
        <w:t>ДЛЯ ОБЛИГАЦИЙ СЕРИЙ 03, 04, 05, 07, 08, 09, 11, 12, 13, 14:</w:t>
      </w:r>
    </w:p>
    <w:p w14:paraId="70CCE8D5" w14:textId="77777777" w:rsidR="00D7594D" w:rsidRPr="005C53F5" w:rsidRDefault="00D7594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10 000 000 (десять миллионов) штук</w:t>
      </w:r>
    </w:p>
    <w:p w14:paraId="3A34CC03" w14:textId="558233F4" w:rsidR="00D7594D" w:rsidRPr="005C53F5" w:rsidRDefault="00D7594D"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szCs w:val="22"/>
        </w:rPr>
        <w:t>Размещение Облигаций траншами не предусмотрено.</w:t>
      </w:r>
    </w:p>
    <w:p w14:paraId="6ADADF98" w14:textId="7F100059" w:rsidR="00D7594D" w:rsidRPr="005C53F5" w:rsidRDefault="00D7594D" w:rsidP="00057BE5">
      <w:pPr>
        <w:pStyle w:val="ConsPlusNormal"/>
        <w:ind w:firstLine="709"/>
        <w:jc w:val="both"/>
        <w:rPr>
          <w:rFonts w:ascii="Times New Roman" w:hAnsi="Times New Roman" w:cs="Times New Roman"/>
          <w:b/>
          <w:bCs/>
          <w:sz w:val="24"/>
          <w:szCs w:val="22"/>
        </w:rPr>
      </w:pPr>
      <w:r w:rsidRPr="005C53F5">
        <w:rPr>
          <w:rFonts w:ascii="Times New Roman" w:hAnsi="Times New Roman" w:cs="Times New Roman"/>
          <w:b/>
          <w:bCs/>
          <w:sz w:val="24"/>
          <w:szCs w:val="22"/>
        </w:rPr>
        <w:t xml:space="preserve">ДЛЯ ОБЛИГАЦИЙ СЕРИЙ </w:t>
      </w:r>
      <w:r w:rsidR="000A1C39" w:rsidRPr="005C53F5">
        <w:rPr>
          <w:rFonts w:ascii="Times New Roman" w:hAnsi="Times New Roman" w:cs="Times New Roman"/>
          <w:b/>
          <w:bCs/>
          <w:sz w:val="24"/>
          <w:szCs w:val="22"/>
        </w:rPr>
        <w:t>06, 10</w:t>
      </w:r>
      <w:r w:rsidRPr="005C53F5">
        <w:rPr>
          <w:rFonts w:ascii="Times New Roman" w:hAnsi="Times New Roman" w:cs="Times New Roman"/>
          <w:b/>
          <w:bCs/>
          <w:sz w:val="24"/>
          <w:szCs w:val="22"/>
        </w:rPr>
        <w:t>:</w:t>
      </w:r>
    </w:p>
    <w:p w14:paraId="69C0BFB4" w14:textId="77F5EA5A" w:rsidR="00D7594D" w:rsidRPr="005C53F5" w:rsidRDefault="000A1C3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15 000 000 (пятнадцать</w:t>
      </w:r>
      <w:r w:rsidR="00D7594D" w:rsidRPr="005C53F5">
        <w:rPr>
          <w:rFonts w:ascii="Times New Roman" w:hAnsi="Times New Roman" w:cs="Times New Roman"/>
          <w:sz w:val="24"/>
        </w:rPr>
        <w:t xml:space="preserve"> миллионов) штук</w:t>
      </w:r>
    </w:p>
    <w:p w14:paraId="3382FD41" w14:textId="23EA4CB9" w:rsidR="00D7594D" w:rsidRPr="005C53F5" w:rsidRDefault="00D7594D"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szCs w:val="22"/>
        </w:rPr>
        <w:t>Размещение Облигаций траншами не предусмотрено.</w:t>
      </w:r>
    </w:p>
    <w:p w14:paraId="357E3E55" w14:textId="47315D93"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63" w:name="_Toc39616397"/>
      <w:bookmarkStart w:id="464" w:name="_Toc36145636"/>
      <w:r w:rsidRPr="005C53F5">
        <w:rPr>
          <w:rFonts w:ascii="Times New Roman" w:hAnsi="Times New Roman" w:cs="Times New Roman"/>
          <w:b/>
          <w:sz w:val="24"/>
          <w:szCs w:val="24"/>
        </w:rPr>
        <w:t>8.6. Общее количество ценных бумаг данного выпуска, размещенных ранее</w:t>
      </w:r>
      <w:bookmarkEnd w:id="463"/>
      <w:bookmarkEnd w:id="464"/>
    </w:p>
    <w:p w14:paraId="23E723E3" w14:textId="6796036D" w:rsidR="0024596B" w:rsidRPr="005C53F5" w:rsidRDefault="0024596B" w:rsidP="00057BE5">
      <w:pPr>
        <w:pStyle w:val="ConsPlusNormal"/>
        <w:ind w:firstLine="708"/>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0E747571" w14:textId="78E09562" w:rsidR="003A1D6B" w:rsidRPr="005C53F5" w:rsidRDefault="000A1C39" w:rsidP="00057BE5">
      <w:pPr>
        <w:pStyle w:val="ConsPlusNormal"/>
        <w:ind w:firstLine="709"/>
        <w:rPr>
          <w:rFonts w:ascii="Times New Roman" w:hAnsi="Times New Roman" w:cs="Times New Roman"/>
          <w:sz w:val="24"/>
        </w:rPr>
      </w:pPr>
      <w:r w:rsidRPr="005C53F5">
        <w:rPr>
          <w:rFonts w:ascii="Times New Roman" w:hAnsi="Times New Roman" w:cs="Times New Roman"/>
          <w:sz w:val="24"/>
        </w:rPr>
        <w:t>Выпуск не является дополнительным выпуском. Облигации ранее не размещались.</w:t>
      </w:r>
    </w:p>
    <w:p w14:paraId="472A135A" w14:textId="5D25CE9E"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65" w:name="_Toc39616398"/>
      <w:bookmarkStart w:id="466" w:name="_Toc36145637"/>
      <w:r w:rsidRPr="005C53F5">
        <w:rPr>
          <w:rFonts w:ascii="Times New Roman" w:hAnsi="Times New Roman" w:cs="Times New Roman"/>
          <w:b/>
          <w:sz w:val="24"/>
          <w:szCs w:val="24"/>
        </w:rPr>
        <w:t>8.7. Права владельца каждой ценной бумаги выпуска (дополнительного выпуска)</w:t>
      </w:r>
      <w:bookmarkEnd w:id="465"/>
      <w:bookmarkEnd w:id="466"/>
    </w:p>
    <w:p w14:paraId="7F066DF9" w14:textId="77777777" w:rsidR="007E0DA5" w:rsidRPr="005C53F5" w:rsidRDefault="007E0DA5" w:rsidP="00057BE5">
      <w:pPr>
        <w:pStyle w:val="ConsPlusNormal"/>
        <w:ind w:firstLine="708"/>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4BDD14E8" w14:textId="77777777" w:rsidR="007E0DA5" w:rsidRPr="005C53F5" w:rsidRDefault="007E0DA5"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Облигации представляют собой прямые безусловные обязательства Эмитента.</w:t>
      </w:r>
    </w:p>
    <w:p w14:paraId="7B77E590" w14:textId="77777777" w:rsidR="007E0DA5" w:rsidRPr="005C53F5" w:rsidRDefault="007E0DA5"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Владельцы Облигаций имеют следующие права:</w:t>
      </w:r>
    </w:p>
    <w:p w14:paraId="41AECAFC" w14:textId="648A6FD8" w:rsidR="007E0DA5" w:rsidRPr="005C53F5" w:rsidRDefault="007E0DA5" w:rsidP="00057BE5">
      <w:pPr>
        <w:pStyle w:val="ConsPlusNormal"/>
        <w:numPr>
          <w:ilvl w:val="0"/>
          <w:numId w:val="4"/>
        </w:numPr>
        <w:jc w:val="both"/>
        <w:rPr>
          <w:rFonts w:ascii="Times New Roman" w:hAnsi="Times New Roman" w:cs="Times New Roman"/>
          <w:sz w:val="24"/>
        </w:rPr>
      </w:pPr>
      <w:r w:rsidRPr="005C53F5">
        <w:rPr>
          <w:rFonts w:ascii="Times New Roman" w:hAnsi="Times New Roman" w:cs="Times New Roman"/>
          <w:sz w:val="24"/>
        </w:rPr>
        <w:t>право на получение номинальной стоимости Облигаций в порядке, установленном Условиями выпуска;</w:t>
      </w:r>
    </w:p>
    <w:p w14:paraId="69AE012F" w14:textId="0C62ABCA" w:rsidR="007E0DA5" w:rsidRPr="005C53F5" w:rsidRDefault="007E0DA5" w:rsidP="00057BE5">
      <w:pPr>
        <w:pStyle w:val="ConsPlusNormal"/>
        <w:numPr>
          <w:ilvl w:val="0"/>
          <w:numId w:val="4"/>
        </w:numPr>
        <w:jc w:val="both"/>
        <w:rPr>
          <w:rFonts w:ascii="Times New Roman" w:hAnsi="Times New Roman" w:cs="Times New Roman"/>
          <w:sz w:val="24"/>
        </w:rPr>
      </w:pPr>
      <w:r w:rsidRPr="005C53F5">
        <w:rPr>
          <w:rFonts w:ascii="Times New Roman" w:hAnsi="Times New Roman" w:cs="Times New Roman"/>
          <w:sz w:val="24"/>
        </w:rPr>
        <w:t xml:space="preserve">право на получение купонного дохода в порядке, установленном Условиями выпуска; </w:t>
      </w:r>
    </w:p>
    <w:p w14:paraId="53704788" w14:textId="77777777" w:rsidR="007E0DA5" w:rsidRPr="005C53F5" w:rsidRDefault="007E0DA5" w:rsidP="00057BE5">
      <w:pPr>
        <w:pStyle w:val="ConsPlusNormal"/>
        <w:numPr>
          <w:ilvl w:val="0"/>
          <w:numId w:val="4"/>
        </w:numPr>
        <w:jc w:val="both"/>
        <w:rPr>
          <w:rFonts w:ascii="Times New Roman" w:hAnsi="Times New Roman" w:cs="Times New Roman"/>
          <w:sz w:val="24"/>
        </w:rPr>
      </w:pPr>
      <w:r w:rsidRPr="005C53F5">
        <w:rPr>
          <w:rFonts w:ascii="Times New Roman" w:hAnsi="Times New Roman" w:cs="Times New Roman"/>
          <w:sz w:val="24"/>
        </w:rPr>
        <w:t xml:space="preserve">право на возврат средств инвестирования в случае признания </w:t>
      </w:r>
      <w:r w:rsidRPr="005C53F5">
        <w:rPr>
          <w:rFonts w:ascii="Times New Roman" w:hAnsi="Times New Roman" w:cs="Times New Roman"/>
          <w:iCs/>
          <w:sz w:val="24"/>
        </w:rPr>
        <w:t>недействительной регистрации проспекта Облигаций и (или) признания</w:t>
      </w:r>
      <w:r w:rsidRPr="005C53F5">
        <w:rPr>
          <w:rFonts w:ascii="Times New Roman" w:hAnsi="Times New Roman" w:cs="Times New Roman"/>
          <w:sz w:val="24"/>
        </w:rPr>
        <w:t xml:space="preserve"> Выпуска несостоявшимся или недействительным, а также в любых иных случаях запрета (запрещения), отзыва, отмены Выпуска;</w:t>
      </w:r>
    </w:p>
    <w:p w14:paraId="157515FC" w14:textId="3FE4AEFA" w:rsidR="007E0DA5" w:rsidRPr="005C53F5" w:rsidRDefault="007E0DA5" w:rsidP="00057BE5">
      <w:pPr>
        <w:pStyle w:val="ConsPlusNormal"/>
        <w:numPr>
          <w:ilvl w:val="0"/>
          <w:numId w:val="4"/>
        </w:numPr>
        <w:jc w:val="both"/>
        <w:rPr>
          <w:rFonts w:ascii="Times New Roman" w:hAnsi="Times New Roman" w:cs="Times New Roman"/>
          <w:sz w:val="24"/>
        </w:rPr>
      </w:pPr>
      <w:r w:rsidRPr="005C53F5">
        <w:rPr>
          <w:rFonts w:ascii="Times New Roman" w:hAnsi="Times New Roman" w:cs="Times New Roman"/>
          <w:sz w:val="24"/>
        </w:rPr>
        <w:t>право свободно продавать и иным образом отчуждать Облигации (с учетом ограничений, предусмотренных законодательством Российской Федерации в отношении ценных бумаг иностранных эмитентов). Облигации допускаются к размещению в Российской Федерации по решению Банка России при условии регистрации Банком России проспекта Облигаций (пункт 3 статьи 51.1 Закона о рынке ценных бумаг). Обращение Облигаций в Российской Федерации допускается после представления в Банк России уведомления о завершении размещения Облигаций и раскрытия информации о завершении размещения Облигаций в Российской Федерации (пункт 12 статьи 51.1 Закона о рынке ценных бумаг)</w:t>
      </w:r>
      <w:r w:rsidR="00BB156C" w:rsidRPr="005C53F5">
        <w:rPr>
          <w:rFonts w:ascii="Times New Roman" w:hAnsi="Times New Roman" w:cs="Times New Roman"/>
          <w:sz w:val="24"/>
        </w:rPr>
        <w:t xml:space="preserve">, </w:t>
      </w:r>
      <w:r w:rsidR="00BB156C" w:rsidRPr="005C53F5">
        <w:rPr>
          <w:rFonts w:ascii="Times New Roman" w:hAnsi="Times New Roman" w:cs="Times New Roman"/>
          <w:bCs/>
          <w:iCs/>
          <w:sz w:val="24"/>
          <w:szCs w:val="24"/>
        </w:rPr>
        <w:t>если иное не будет предусмотрено законодательством Российской Федерации, которое будет действовать в соответствующий момент времени</w:t>
      </w:r>
      <w:r w:rsidR="00BB156C" w:rsidRPr="005C53F5">
        <w:rPr>
          <w:rFonts w:ascii="Times New Roman" w:hAnsi="Times New Roman" w:cs="Times New Roman"/>
          <w:sz w:val="24"/>
        </w:rPr>
        <w:t xml:space="preserve">. </w:t>
      </w:r>
      <w:r w:rsidRPr="005C53F5">
        <w:rPr>
          <w:rFonts w:ascii="Times New Roman" w:hAnsi="Times New Roman" w:cs="Times New Roman"/>
          <w:sz w:val="24"/>
        </w:rPr>
        <w:t>Владелец Облигаций, купивший Облигации при их первичном размещении, не имеет права совершать сделки с Облигациями до их полной оплаты;</w:t>
      </w:r>
    </w:p>
    <w:p w14:paraId="47D91566" w14:textId="77777777" w:rsidR="007E0DA5" w:rsidRPr="005C53F5" w:rsidRDefault="007E0DA5" w:rsidP="00057BE5">
      <w:pPr>
        <w:pStyle w:val="ConsPlusNormal"/>
        <w:numPr>
          <w:ilvl w:val="0"/>
          <w:numId w:val="4"/>
        </w:numPr>
        <w:jc w:val="both"/>
        <w:rPr>
          <w:rFonts w:ascii="Times New Roman" w:hAnsi="Times New Roman" w:cs="Times New Roman"/>
          <w:sz w:val="24"/>
        </w:rPr>
      </w:pPr>
      <w:r w:rsidRPr="005C53F5">
        <w:rPr>
          <w:rFonts w:ascii="Times New Roman" w:hAnsi="Times New Roman" w:cs="Times New Roman"/>
          <w:bCs/>
          <w:iCs/>
          <w:sz w:val="24"/>
        </w:rPr>
        <w:t>право обращаться с требованиями в российский суд в случае неисполнения или ненадлежащего исполнения Эмитентом обязательств по Облигациям;</w:t>
      </w:r>
    </w:p>
    <w:p w14:paraId="6E16D460" w14:textId="4B204E75" w:rsidR="007E0DA5" w:rsidRPr="005C53F5" w:rsidRDefault="007E0DA5" w:rsidP="00057BE5">
      <w:pPr>
        <w:pStyle w:val="ConsPlusNormal"/>
        <w:numPr>
          <w:ilvl w:val="0"/>
          <w:numId w:val="4"/>
        </w:numPr>
        <w:jc w:val="both"/>
        <w:rPr>
          <w:rFonts w:ascii="Times New Roman" w:hAnsi="Times New Roman" w:cs="Times New Roman"/>
          <w:sz w:val="24"/>
        </w:rPr>
      </w:pPr>
      <w:r w:rsidRPr="005C53F5">
        <w:rPr>
          <w:rFonts w:ascii="Times New Roman" w:hAnsi="Times New Roman" w:cs="Times New Roman"/>
          <w:sz w:val="24"/>
        </w:rPr>
        <w:t>иные права, предусмотренные законодательством Российской Федерации и Условиями выпуска.</w:t>
      </w:r>
    </w:p>
    <w:p w14:paraId="7CDE5D68" w14:textId="77777777" w:rsidR="007E0DA5" w:rsidRPr="005C53F5" w:rsidRDefault="007E0DA5"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Каждая Облигация предоставляет ее владельцу одинаковый объем прав.</w:t>
      </w:r>
    </w:p>
    <w:p w14:paraId="79B26CC4" w14:textId="77777777" w:rsidR="007E0DA5" w:rsidRPr="005C53F5" w:rsidRDefault="007E0DA5"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Все обязательства Эмитента по Облигациям между собой юридически равны и обязательны к исполнению в равной степени.</w:t>
      </w:r>
    </w:p>
    <w:p w14:paraId="4D03A37F" w14:textId="77777777" w:rsidR="007E0DA5" w:rsidRPr="005C53F5" w:rsidRDefault="007E0DA5"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Эмитент обязуется обеспечить права владельцев Облигаций при соблюдении ими установленного законодательством Российской Федерации порядка осуществления этих прав.</w:t>
      </w:r>
    </w:p>
    <w:p w14:paraId="1FA42890" w14:textId="77777777" w:rsidR="007E0DA5" w:rsidRPr="005C53F5" w:rsidRDefault="007E0DA5"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случае возникновения обязанности Эмитента совершить платеж по Облигациям перед несколькими владельцами Облигаций ни один из владельцев Облигаций не будет иметь какого-либо преимущества в получении платежа по Облигациям от Эмитента.</w:t>
      </w:r>
    </w:p>
    <w:p w14:paraId="77B4E597" w14:textId="77777777" w:rsidR="007E0DA5" w:rsidRPr="005C53F5" w:rsidRDefault="007E0DA5"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Предоставление обеспечения по Облигациям не предусмотрено.</w:t>
      </w:r>
    </w:p>
    <w:p w14:paraId="71D8C46B" w14:textId="77777777" w:rsidR="007E0DA5" w:rsidRPr="005C53F5" w:rsidRDefault="007E0DA5"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Размещаемые Облигации не являются структурными облигациями.</w:t>
      </w:r>
    </w:p>
    <w:p w14:paraId="23F432BC" w14:textId="77777777" w:rsidR="007E0DA5" w:rsidRPr="005C53F5" w:rsidRDefault="007E0DA5"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Размещаемые Облигации не являются облигациями без срока погашения.</w:t>
      </w:r>
    </w:p>
    <w:p w14:paraId="6A4B257E" w14:textId="77777777" w:rsidR="007E0DA5" w:rsidRPr="005C53F5" w:rsidRDefault="007E0DA5"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Размещаемые Облигации не являются ипотечными облигациями.</w:t>
      </w:r>
    </w:p>
    <w:p w14:paraId="5FEA52C0" w14:textId="77777777" w:rsidR="007E0DA5" w:rsidRPr="005C53F5" w:rsidRDefault="007E0DA5"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Размещаемые Облигации не являются конвертируемыми ценными бумагами.</w:t>
      </w:r>
    </w:p>
    <w:p w14:paraId="19E7B4C3" w14:textId="635A1C03" w:rsidR="003A1D6B" w:rsidRPr="005C53F5" w:rsidRDefault="007E0DA5"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szCs w:val="22"/>
        </w:rPr>
        <w:t>Размещаемые Облигации не являются ценными бумагами, предназначенными для квалифицированных инвесторов.</w:t>
      </w:r>
    </w:p>
    <w:p w14:paraId="343540AF" w14:textId="65DAE748"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67" w:name="_Toc39616399"/>
      <w:bookmarkStart w:id="468" w:name="_Toc36145638"/>
      <w:r w:rsidRPr="005C53F5">
        <w:rPr>
          <w:rFonts w:ascii="Times New Roman" w:hAnsi="Times New Roman" w:cs="Times New Roman"/>
          <w:b/>
          <w:sz w:val="24"/>
          <w:szCs w:val="24"/>
        </w:rPr>
        <w:t>8.8. Условия и порядок размещения ценных бумаг выпуска (дополнительного выпуска)</w:t>
      </w:r>
      <w:bookmarkEnd w:id="467"/>
      <w:bookmarkEnd w:id="468"/>
    </w:p>
    <w:p w14:paraId="1F57EA71" w14:textId="77777777" w:rsidR="00AD70D7" w:rsidRPr="005C53F5" w:rsidRDefault="00AD70D7"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Размещение Облигаций предполагается осуществлять как на территории Российской Федерации, так и за пределами Российской Федерации. </w:t>
      </w:r>
    </w:p>
    <w:p w14:paraId="0AC9AE0C" w14:textId="70AA4FCA" w:rsidR="00AD70D7" w:rsidRPr="005C53F5" w:rsidRDefault="00AD70D7"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Условия и порядок размещения Облигаций на территории Российской Федерации определяются в настоящем Проспекте ценных бумаг.</w:t>
      </w:r>
    </w:p>
    <w:p w14:paraId="7626B04A" w14:textId="411ED2A9" w:rsidR="00AD70D7" w:rsidRPr="005C53F5" w:rsidRDefault="00AD70D7"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Размещение Облигаций за пределами Российской Федерации предполагается осуществить на </w:t>
      </w:r>
      <w:r w:rsidR="00875BEC" w:rsidRPr="005C53F5">
        <w:rPr>
          <w:rFonts w:ascii="Times New Roman" w:hAnsi="Times New Roman" w:cs="Times New Roman"/>
          <w:bCs/>
          <w:iCs/>
          <w:sz w:val="24"/>
          <w:lang w:val="en-US"/>
        </w:rPr>
        <w:t>AIX</w:t>
      </w:r>
      <w:r w:rsidRPr="005C53F5">
        <w:rPr>
          <w:rFonts w:ascii="Times New Roman" w:hAnsi="Times New Roman" w:cs="Times New Roman"/>
          <w:bCs/>
          <w:iCs/>
          <w:sz w:val="24"/>
        </w:rPr>
        <w:t>.</w:t>
      </w:r>
    </w:p>
    <w:p w14:paraId="4545EDFC" w14:textId="568479A1" w:rsidR="00AD70D7" w:rsidRPr="005C53F5" w:rsidRDefault="00D77515"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Условия и порядок размещения Облигаций на AIX определяются в соответствии с отдельным документом (Offer Document), который должен быть представлен Эмитентом на AIX, правилами AIX (AIX Business Rules) и применимыми требованиями законодательства Республики Казахстан, включая действующее право Международного финансового центра «Астана».</w:t>
      </w:r>
    </w:p>
    <w:p w14:paraId="79FF3D02" w14:textId="77777777"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469" w:name="_Toc39616400"/>
      <w:bookmarkStart w:id="470" w:name="_Toc36145639"/>
      <w:r w:rsidRPr="005C53F5">
        <w:rPr>
          <w:rFonts w:ascii="Times New Roman" w:hAnsi="Times New Roman" w:cs="Times New Roman"/>
          <w:b/>
          <w:sz w:val="24"/>
          <w:szCs w:val="24"/>
        </w:rPr>
        <w:t>8.8.1. Способ размещения ценных бумаг</w:t>
      </w:r>
      <w:bookmarkEnd w:id="469"/>
      <w:bookmarkEnd w:id="470"/>
    </w:p>
    <w:p w14:paraId="0DD524C7" w14:textId="49D0E8B6" w:rsidR="003A1D6B" w:rsidRPr="005C53F5" w:rsidRDefault="0024596B" w:rsidP="00057BE5">
      <w:pPr>
        <w:pStyle w:val="ConsPlusNormal"/>
        <w:ind w:firstLine="709"/>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6E7C5DD7" w14:textId="5D04680C" w:rsidR="0024596B" w:rsidRPr="005C53F5" w:rsidRDefault="0024596B" w:rsidP="00057BE5">
      <w:pPr>
        <w:pStyle w:val="ConsPlusNormal"/>
        <w:ind w:firstLine="708"/>
        <w:rPr>
          <w:rFonts w:ascii="Times New Roman" w:hAnsi="Times New Roman" w:cs="Times New Roman"/>
          <w:bCs/>
          <w:sz w:val="24"/>
        </w:rPr>
      </w:pPr>
      <w:r w:rsidRPr="005C53F5">
        <w:rPr>
          <w:rFonts w:ascii="Times New Roman" w:hAnsi="Times New Roman" w:cs="Times New Roman"/>
          <w:bCs/>
          <w:sz w:val="24"/>
        </w:rPr>
        <w:t>Открытая подписка</w:t>
      </w:r>
    </w:p>
    <w:p w14:paraId="4FD461D9" w14:textId="67178EFB"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471" w:name="_Toc39616401"/>
      <w:bookmarkStart w:id="472" w:name="_Toc36145640"/>
      <w:r w:rsidRPr="005C53F5">
        <w:rPr>
          <w:rFonts w:ascii="Times New Roman" w:hAnsi="Times New Roman" w:cs="Times New Roman"/>
          <w:b/>
          <w:sz w:val="24"/>
          <w:szCs w:val="24"/>
        </w:rPr>
        <w:t>8.8.2. Срок размещения ценных бумаг</w:t>
      </w:r>
      <w:bookmarkEnd w:id="471"/>
      <w:bookmarkEnd w:id="472"/>
    </w:p>
    <w:p w14:paraId="4613EC1D" w14:textId="3DB36064" w:rsidR="00A924F1" w:rsidRPr="005C53F5" w:rsidRDefault="00A924F1" w:rsidP="00057BE5">
      <w:pPr>
        <w:pStyle w:val="ConsPlusNormal"/>
        <w:ind w:firstLine="709"/>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798FD762" w14:textId="77777777" w:rsidR="0024596B" w:rsidRPr="005C53F5" w:rsidRDefault="0024596B"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Дата начала размещения ценных бумаг:</w:t>
      </w:r>
    </w:p>
    <w:p w14:paraId="1E46C0EA" w14:textId="77777777" w:rsidR="0024596B" w:rsidRPr="005C53F5" w:rsidRDefault="0024596B"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Дата начала размещения Облигаций определяется уполномоченным органом Эмитента.</w:t>
      </w:r>
    </w:p>
    <w:p w14:paraId="1B63A3A8" w14:textId="1F72E0C0" w:rsidR="0024596B" w:rsidRPr="005C53F5" w:rsidRDefault="0024596B"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о дате начала размещения Облигаций публикуется Эмитентом в соответствии с порядком раскрытия и</w:t>
      </w:r>
      <w:r w:rsidR="009D0117" w:rsidRPr="005C53F5">
        <w:rPr>
          <w:rFonts w:ascii="Times New Roman" w:hAnsi="Times New Roman" w:cs="Times New Roman"/>
          <w:bCs/>
          <w:iCs/>
          <w:sz w:val="24"/>
        </w:rPr>
        <w:t xml:space="preserve">нформации, указанным в </w:t>
      </w:r>
      <w:r w:rsidR="00E22FB6" w:rsidRPr="005C53F5">
        <w:rPr>
          <w:rFonts w:ascii="Times New Roman" w:hAnsi="Times New Roman" w:cs="Times New Roman"/>
          <w:bCs/>
          <w:iCs/>
          <w:sz w:val="24"/>
        </w:rPr>
        <w:t>пункте 8.11 Проспекта ценных бумаг</w:t>
      </w:r>
      <w:r w:rsidRPr="005C53F5">
        <w:rPr>
          <w:rFonts w:ascii="Times New Roman" w:hAnsi="Times New Roman" w:cs="Times New Roman"/>
          <w:bCs/>
          <w:iCs/>
          <w:sz w:val="24"/>
        </w:rPr>
        <w:t xml:space="preserve">, после публикации сообщения о принятии Банком России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Об определенной дате начала размещения Эмитент уведомляет </w:t>
      </w:r>
      <w:r w:rsidR="00E22FB6" w:rsidRPr="005C53F5">
        <w:rPr>
          <w:rFonts w:ascii="Times New Roman" w:hAnsi="Times New Roman" w:cs="Times New Roman"/>
          <w:bCs/>
          <w:iCs/>
          <w:sz w:val="24"/>
        </w:rPr>
        <w:t>Биржу</w:t>
      </w:r>
      <w:r w:rsidRPr="005C53F5">
        <w:rPr>
          <w:rFonts w:ascii="Times New Roman" w:hAnsi="Times New Roman" w:cs="Times New Roman"/>
          <w:bCs/>
          <w:iCs/>
          <w:sz w:val="24"/>
        </w:rPr>
        <w:t xml:space="preserve"> и НРД в порядке, установленном </w:t>
      </w:r>
      <w:r w:rsidR="00E22FB6"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bCs/>
          <w:iCs/>
          <w:sz w:val="24"/>
        </w:rPr>
        <w:t>.</w:t>
      </w:r>
    </w:p>
    <w:p w14:paraId="588A24EB" w14:textId="08432E3E" w:rsidR="0024596B" w:rsidRPr="005C53F5" w:rsidRDefault="0024596B"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Дата начала размещения Облигаций, определенная уполномоченным органом Эмитента, может быть изменена (перенесена) решением того же уполномоченного органа Эмитента, при условии соблюдения требований к порядку раскрытия информации об изменении (переносе) даты начала размещения Облигаций, определенному </w:t>
      </w:r>
      <w:r w:rsidR="00C4028C" w:rsidRPr="005C53F5">
        <w:rPr>
          <w:rFonts w:ascii="Times New Roman" w:hAnsi="Times New Roman" w:cs="Times New Roman"/>
          <w:bCs/>
          <w:iCs/>
          <w:sz w:val="24"/>
        </w:rPr>
        <w:t>Проспектом ценных бумаг</w:t>
      </w:r>
      <w:r w:rsidRPr="005C53F5">
        <w:rPr>
          <w:rFonts w:ascii="Times New Roman" w:hAnsi="Times New Roman" w:cs="Times New Roman"/>
          <w:bCs/>
          <w:iCs/>
          <w:sz w:val="24"/>
        </w:rPr>
        <w:t xml:space="preserve">. Об изменении (переносе) даты начала размещения Облигаций Эмитент уведомляет Биржу и НРД в порядке, установленном </w:t>
      </w:r>
      <w:r w:rsidR="00E22FB6"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bCs/>
          <w:iCs/>
          <w:sz w:val="24"/>
        </w:rPr>
        <w:t>.</w:t>
      </w:r>
    </w:p>
    <w:p w14:paraId="46B730C0" w14:textId="77777777" w:rsidR="0024596B" w:rsidRPr="005C53F5" w:rsidRDefault="0024596B" w:rsidP="00057BE5">
      <w:pPr>
        <w:pStyle w:val="ConsPlusNormal"/>
        <w:ind w:firstLine="709"/>
        <w:jc w:val="both"/>
        <w:rPr>
          <w:rFonts w:ascii="Times New Roman" w:hAnsi="Times New Roman" w:cs="Times New Roman"/>
          <w:bCs/>
          <w:i/>
          <w:iCs/>
          <w:sz w:val="24"/>
        </w:rPr>
      </w:pPr>
      <w:r w:rsidRPr="005C53F5">
        <w:rPr>
          <w:rFonts w:ascii="Times New Roman" w:hAnsi="Times New Roman" w:cs="Times New Roman"/>
          <w:bCs/>
          <w:i/>
          <w:iCs/>
          <w:sz w:val="24"/>
        </w:rPr>
        <w:t>Дата окончания размещения ценных бумаг:</w:t>
      </w:r>
    </w:p>
    <w:p w14:paraId="7CD6065F" w14:textId="77777777" w:rsidR="0024596B" w:rsidRPr="005C53F5" w:rsidRDefault="0024596B"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Датой окончания размещения Облигаций является наиболее ранняя из следующих дат: </w:t>
      </w:r>
    </w:p>
    <w:p w14:paraId="39BF556F" w14:textId="7A6EB37B" w:rsidR="0024596B" w:rsidRPr="005C53F5" w:rsidRDefault="0024596B" w:rsidP="00057BE5">
      <w:pPr>
        <w:pStyle w:val="ConsPlusNormal"/>
        <w:numPr>
          <w:ilvl w:val="0"/>
          <w:numId w:val="28"/>
        </w:numPr>
        <w:jc w:val="both"/>
        <w:rPr>
          <w:rFonts w:ascii="Times New Roman" w:hAnsi="Times New Roman" w:cs="Times New Roman"/>
          <w:bCs/>
          <w:iCs/>
          <w:sz w:val="24"/>
        </w:rPr>
      </w:pPr>
      <w:r w:rsidRPr="005C53F5">
        <w:rPr>
          <w:rFonts w:ascii="Times New Roman" w:hAnsi="Times New Roman" w:cs="Times New Roman"/>
          <w:bCs/>
          <w:iCs/>
          <w:sz w:val="24"/>
        </w:rPr>
        <w:t xml:space="preserve">3-й (третий) рабочий день с даты начала размещения Облигаций; </w:t>
      </w:r>
    </w:p>
    <w:p w14:paraId="7C3D64F4" w14:textId="77777777" w:rsidR="0024596B" w:rsidRPr="005C53F5" w:rsidRDefault="0024596B" w:rsidP="00057BE5">
      <w:pPr>
        <w:pStyle w:val="ConsPlusNormal"/>
        <w:numPr>
          <w:ilvl w:val="0"/>
          <w:numId w:val="28"/>
        </w:numPr>
        <w:jc w:val="both"/>
        <w:rPr>
          <w:rFonts w:ascii="Times New Roman" w:hAnsi="Times New Roman" w:cs="Times New Roman"/>
          <w:bCs/>
          <w:iCs/>
          <w:sz w:val="24"/>
        </w:rPr>
      </w:pPr>
      <w:r w:rsidRPr="005C53F5">
        <w:rPr>
          <w:rFonts w:ascii="Times New Roman" w:hAnsi="Times New Roman" w:cs="Times New Roman"/>
          <w:bCs/>
          <w:iCs/>
          <w:sz w:val="24"/>
        </w:rPr>
        <w:t>дата размещения последней Облигации.</w:t>
      </w:r>
    </w:p>
    <w:p w14:paraId="26F47CFF" w14:textId="3480773C" w:rsidR="003A1D6B" w:rsidRPr="005C53F5" w:rsidRDefault="0024596B"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Выпуск не предполагается размещать траншами.</w:t>
      </w:r>
    </w:p>
    <w:p w14:paraId="60E6BC96" w14:textId="77777777" w:rsidR="00DE7186" w:rsidRDefault="00DE7186" w:rsidP="00057BE5">
      <w:pPr>
        <w:pStyle w:val="ConsPlusNormal"/>
        <w:ind w:firstLine="709"/>
        <w:jc w:val="both"/>
        <w:outlineLvl w:val="2"/>
        <w:rPr>
          <w:rFonts w:ascii="Times New Roman" w:hAnsi="Times New Roman" w:cs="Times New Roman"/>
          <w:b/>
          <w:sz w:val="24"/>
          <w:szCs w:val="24"/>
        </w:rPr>
      </w:pPr>
      <w:bookmarkStart w:id="473" w:name="_Toc39616402"/>
      <w:bookmarkStart w:id="474" w:name="_Toc36145641"/>
    </w:p>
    <w:p w14:paraId="21BA9FDF" w14:textId="490BB334" w:rsidR="00BF5F06" w:rsidRPr="005C53F5" w:rsidRDefault="00BF5F06" w:rsidP="00057BE5">
      <w:pPr>
        <w:pStyle w:val="ConsPlusNormal"/>
        <w:ind w:firstLine="709"/>
        <w:jc w:val="both"/>
        <w:outlineLvl w:val="2"/>
        <w:rPr>
          <w:rFonts w:ascii="Times New Roman" w:hAnsi="Times New Roman" w:cs="Times New Roman"/>
          <w:b/>
          <w:sz w:val="24"/>
          <w:szCs w:val="24"/>
        </w:rPr>
      </w:pPr>
      <w:r w:rsidRPr="005C53F5">
        <w:rPr>
          <w:rFonts w:ascii="Times New Roman" w:hAnsi="Times New Roman" w:cs="Times New Roman"/>
          <w:b/>
          <w:sz w:val="24"/>
          <w:szCs w:val="24"/>
        </w:rPr>
        <w:t>8.8.3. Порядок размещения ценных бумаг</w:t>
      </w:r>
      <w:bookmarkEnd w:id="473"/>
      <w:bookmarkEnd w:id="474"/>
    </w:p>
    <w:p w14:paraId="2585B173" w14:textId="210F4487" w:rsidR="00A924F1" w:rsidRPr="005C53F5" w:rsidRDefault="00A924F1" w:rsidP="00057BE5">
      <w:pPr>
        <w:pStyle w:val="ConsPlusNormal"/>
        <w:ind w:firstLine="709"/>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167E1BC2"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Порядок и условия заключения договоров, направленных на отчуждение ценных бумаг первым владельцам в ходе их размещения (форма и способ заключения договоров, место и момент их заключения, а если заключение договоров осуществляется посредством подачи и удовлетворения заявок - порядок и способ подачи (направления) заявок, требования к содержанию заявок и срок их рассмотрения, способ и срок направления уведомлений (сообщений) об удовлетворении (об отказе в удовлетворении) заявок):</w:t>
      </w:r>
    </w:p>
    <w:p w14:paraId="7EFBA5A8" w14:textId="3B05F0EC"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Сделки, заключаемые при размещении Облигаций на Бирже, подчиняются праву Российской Федерации.</w:t>
      </w:r>
    </w:p>
    <w:p w14:paraId="170F297A" w14:textId="2F67DAB1"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Размещение Облигаций проводится путем заключения сделок купли - продажи по </w:t>
      </w:r>
      <w:r w:rsidR="00E97436">
        <w:rPr>
          <w:rFonts w:ascii="Times New Roman" w:hAnsi="Times New Roman" w:cs="Times New Roman"/>
          <w:sz w:val="24"/>
        </w:rPr>
        <w:t>Ц</w:t>
      </w:r>
      <w:r w:rsidR="00E97436" w:rsidRPr="005C53F5">
        <w:rPr>
          <w:rFonts w:ascii="Times New Roman" w:hAnsi="Times New Roman" w:cs="Times New Roman"/>
          <w:sz w:val="24"/>
        </w:rPr>
        <w:t xml:space="preserve">ене </w:t>
      </w:r>
      <w:r w:rsidRPr="005C53F5">
        <w:rPr>
          <w:rFonts w:ascii="Times New Roman" w:hAnsi="Times New Roman" w:cs="Times New Roman"/>
          <w:sz w:val="24"/>
        </w:rPr>
        <w:t>размещения</w:t>
      </w:r>
      <w:bookmarkStart w:id="475" w:name="_Toc36145642"/>
      <w:r w:rsidRPr="005C53F5">
        <w:rPr>
          <w:rFonts w:ascii="Times New Roman" w:hAnsi="Times New Roman" w:cs="Times New Roman"/>
          <w:sz w:val="24"/>
        </w:rPr>
        <w:t>.</w:t>
      </w:r>
    </w:p>
    <w:p w14:paraId="3BB6E225" w14:textId="7FA6DA1E"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Сделки при размещении Облигаций заключаются на Бирже путем удовлетворения адресных заявок на покупку Облигаций, поданных с использованием </w:t>
      </w:r>
      <w:r w:rsidR="00E97436">
        <w:rPr>
          <w:rFonts w:ascii="Times New Roman" w:hAnsi="Times New Roman" w:cs="Times New Roman"/>
          <w:sz w:val="24"/>
        </w:rPr>
        <w:t>С</w:t>
      </w:r>
      <w:r w:rsidR="00E97436" w:rsidRPr="005C53F5">
        <w:rPr>
          <w:rFonts w:ascii="Times New Roman" w:hAnsi="Times New Roman" w:cs="Times New Roman"/>
          <w:sz w:val="24"/>
        </w:rPr>
        <w:t xml:space="preserve">истемы </w:t>
      </w:r>
      <w:r w:rsidRPr="005C53F5">
        <w:rPr>
          <w:rFonts w:ascii="Times New Roman" w:hAnsi="Times New Roman" w:cs="Times New Roman"/>
          <w:sz w:val="24"/>
        </w:rPr>
        <w:t>торгов в соответствии с Правилами проведения торгов.</w:t>
      </w:r>
    </w:p>
    <w:p w14:paraId="720E8173"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Адресные заявки на покупку Облигаций и встречные адресные заявки на продажу Облигаций подаются с использованием Системы торгов в электронном виде, при этом простая письменная форма договора считается соблюденной.</w:t>
      </w:r>
    </w:p>
    <w:p w14:paraId="31891B14"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Моментом заключения сделки по размещению Облигаций считается момент ее регистрации в Системе торгов.</w:t>
      </w:r>
    </w:p>
    <w:p w14:paraId="73E0A34E" w14:textId="620F8DFA"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Отдельные письменные уведомления (сообщения) об удовлетворении (об отказе в удовлетворении) заявок </w:t>
      </w:r>
      <w:r w:rsidR="00E97436">
        <w:rPr>
          <w:rFonts w:ascii="Times New Roman" w:hAnsi="Times New Roman" w:cs="Times New Roman"/>
          <w:sz w:val="24"/>
        </w:rPr>
        <w:t>У</w:t>
      </w:r>
      <w:r w:rsidR="00E97436" w:rsidRPr="005C53F5">
        <w:rPr>
          <w:rFonts w:ascii="Times New Roman" w:hAnsi="Times New Roman" w:cs="Times New Roman"/>
          <w:sz w:val="24"/>
        </w:rPr>
        <w:t xml:space="preserve">частникам </w:t>
      </w:r>
      <w:r w:rsidRPr="005C53F5">
        <w:rPr>
          <w:rFonts w:ascii="Times New Roman" w:hAnsi="Times New Roman" w:cs="Times New Roman"/>
          <w:sz w:val="24"/>
        </w:rPr>
        <w:t>торгов не направляются.</w:t>
      </w:r>
    </w:p>
    <w:p w14:paraId="0BE5EDC3"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случае если потенциальный покупатель не является Участником торгов, он должен заключить соответствующий договор с любым Участником торгов и дать ему поручение на приобретение Облигаций.</w:t>
      </w:r>
    </w:p>
    <w:p w14:paraId="0EDF0039"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Потенциальный покупатель Облигаций, являющийся Участником торгов, действует самостоятельно.</w:t>
      </w:r>
    </w:p>
    <w:p w14:paraId="311E51B3" w14:textId="77777777" w:rsidR="00DE7186" w:rsidRDefault="00DE7186" w:rsidP="00057BE5">
      <w:pPr>
        <w:pStyle w:val="ConsPlusNormal"/>
        <w:ind w:firstLine="709"/>
        <w:jc w:val="both"/>
        <w:rPr>
          <w:rFonts w:ascii="Times New Roman" w:hAnsi="Times New Roman" w:cs="Times New Roman"/>
          <w:sz w:val="24"/>
        </w:rPr>
      </w:pPr>
    </w:p>
    <w:p w14:paraId="5B4A88D2" w14:textId="77777777" w:rsidR="00DE7186" w:rsidRDefault="00DE7186" w:rsidP="00057BE5">
      <w:pPr>
        <w:pStyle w:val="ConsPlusNormal"/>
        <w:ind w:firstLine="709"/>
        <w:jc w:val="both"/>
        <w:rPr>
          <w:rFonts w:ascii="Times New Roman" w:hAnsi="Times New Roman" w:cs="Times New Roman"/>
          <w:sz w:val="24"/>
        </w:rPr>
      </w:pPr>
    </w:p>
    <w:p w14:paraId="1C184EE5" w14:textId="28AEF71B"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Для совершения сделки купли - продажи Облигаций при их размещении потенциальный покупатель обязан заранее (до даты начала размещения Облигаций) открыть соответствующий счет депо в НРД, осуществляющей централизованный учет прав </w:t>
      </w:r>
      <w:r w:rsidR="00BC22EE" w:rsidRPr="005C53F5">
        <w:rPr>
          <w:rFonts w:ascii="Times New Roman" w:hAnsi="Times New Roman" w:cs="Times New Roman"/>
          <w:sz w:val="24"/>
        </w:rPr>
        <w:t>на Облигации</w:t>
      </w:r>
      <w:r w:rsidRPr="005C53F5">
        <w:rPr>
          <w:rFonts w:ascii="Times New Roman" w:hAnsi="Times New Roman" w:cs="Times New Roman"/>
          <w:sz w:val="24"/>
        </w:rPr>
        <w:t>,</w:t>
      </w:r>
      <w:r w:rsidRPr="005C53F5">
        <w:rPr>
          <w:rFonts w:ascii="Times New Roman" w:hAnsi="Times New Roman"/>
          <w:sz w:val="24"/>
        </w:rPr>
        <w:t xml:space="preserve"> или </w:t>
      </w:r>
      <w:r w:rsidRPr="005C53F5">
        <w:rPr>
          <w:rFonts w:ascii="Times New Roman" w:hAnsi="Times New Roman" w:cs="Times New Roman"/>
          <w:sz w:val="24"/>
        </w:rPr>
        <w:t>в ином Депозитарии. Порядок и сроки открытия счетов депо определяются положениями регламентов соответствующих депозитариев.</w:t>
      </w:r>
    </w:p>
    <w:p w14:paraId="6B9765E7"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Изменение и/или расторжение договоров, заключенных при размещении Облигаций, осуществляется по основаниям и в порядке, предусмотренном главой 29 Гражданского кодекса Российской Федерации.</w:t>
      </w:r>
    </w:p>
    <w:p w14:paraId="2A2D5065"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Торги проводятся в соответствии с Правилами проведения торгов, зарегистрированными в установленном порядке и действующими на дату проведения торгов.</w:t>
      </w:r>
    </w:p>
    <w:p w14:paraId="277207BD" w14:textId="18173369"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При этом размещение Облигаций может происходить в форме </w:t>
      </w:r>
      <w:r w:rsidR="00E97436">
        <w:rPr>
          <w:rFonts w:ascii="Times New Roman" w:hAnsi="Times New Roman" w:cs="Times New Roman"/>
          <w:sz w:val="24"/>
        </w:rPr>
        <w:t>К</w:t>
      </w:r>
      <w:r w:rsidR="00E97436" w:rsidRPr="005C53F5">
        <w:rPr>
          <w:rFonts w:ascii="Times New Roman" w:hAnsi="Times New Roman" w:cs="Times New Roman"/>
          <w:sz w:val="24"/>
        </w:rPr>
        <w:t xml:space="preserve">онкурса </w:t>
      </w:r>
      <w:r w:rsidRPr="005C53F5">
        <w:rPr>
          <w:rFonts w:ascii="Times New Roman" w:hAnsi="Times New Roman" w:cs="Times New Roman"/>
          <w:sz w:val="24"/>
        </w:rPr>
        <w:t xml:space="preserve">либо путем </w:t>
      </w:r>
      <w:r w:rsidR="00E97436">
        <w:rPr>
          <w:rFonts w:ascii="Times New Roman" w:hAnsi="Times New Roman" w:cs="Times New Roman"/>
          <w:sz w:val="24"/>
        </w:rPr>
        <w:t>Формирования книги заявок</w:t>
      </w:r>
      <w:r w:rsidRPr="005C53F5">
        <w:rPr>
          <w:rFonts w:ascii="Times New Roman" w:hAnsi="Times New Roman" w:cs="Times New Roman"/>
          <w:sz w:val="24"/>
        </w:rPr>
        <w:t>.</w:t>
      </w:r>
    </w:p>
    <w:p w14:paraId="5C9F975B"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Решение о форме размещения Облигаций принимается уполномоченным органом Эмитента.</w:t>
      </w:r>
    </w:p>
    <w:p w14:paraId="717E52A6" w14:textId="0766DD9B"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Информация о выбранной форме размещения Облигаций будет раскрыта Эмитентом в порядке, предусмотренном </w:t>
      </w:r>
      <w:r w:rsidR="003D198D"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sz w:val="24"/>
        </w:rPr>
        <w:t>.</w:t>
      </w:r>
    </w:p>
    <w:p w14:paraId="1635AD48" w14:textId="68E6BD8B"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Эмитент информирует Биржу и НРД о принятом решении не позднее 1 (одного) </w:t>
      </w:r>
      <w:r w:rsidR="00BC22EE" w:rsidRPr="005C53F5">
        <w:rPr>
          <w:rFonts w:ascii="Times New Roman" w:hAnsi="Times New Roman" w:cs="Times New Roman"/>
          <w:sz w:val="24"/>
        </w:rPr>
        <w:t xml:space="preserve">рабочего </w:t>
      </w:r>
      <w:r w:rsidRPr="005C53F5">
        <w:rPr>
          <w:rFonts w:ascii="Times New Roman" w:hAnsi="Times New Roman" w:cs="Times New Roman"/>
          <w:sz w:val="24"/>
        </w:rPr>
        <w:t xml:space="preserve">дня с даты принятия уполномоченным органом Эмитента решения о форме размещения Облигаций и </w:t>
      </w:r>
      <w:r w:rsidRPr="005C53F5">
        <w:rPr>
          <w:rFonts w:ascii="Times New Roman" w:hAnsi="Times New Roman" w:cs="Times New Roman"/>
          <w:bCs/>
          <w:iCs/>
          <w:sz w:val="24"/>
        </w:rPr>
        <w:t>не позднее чем за 1 (один) рабочий день</w:t>
      </w:r>
      <w:r w:rsidRPr="005C53F5">
        <w:rPr>
          <w:rFonts w:ascii="Times New Roman" w:hAnsi="Times New Roman" w:cs="Times New Roman"/>
          <w:sz w:val="24"/>
        </w:rPr>
        <w:t xml:space="preserve"> до даты начала размещения Облигаций.</w:t>
      </w:r>
    </w:p>
    <w:p w14:paraId="24456A1E" w14:textId="77777777" w:rsidR="0003725D" w:rsidRPr="005C53F5" w:rsidRDefault="0003725D" w:rsidP="00057BE5">
      <w:pPr>
        <w:pStyle w:val="ConsPlusNormal"/>
        <w:ind w:firstLine="709"/>
        <w:jc w:val="both"/>
        <w:rPr>
          <w:rFonts w:ascii="Times New Roman" w:hAnsi="Times New Roman" w:cs="Times New Roman"/>
          <w:b/>
          <w:i/>
          <w:sz w:val="24"/>
        </w:rPr>
      </w:pPr>
      <w:r w:rsidRPr="005C53F5">
        <w:rPr>
          <w:rFonts w:ascii="Times New Roman" w:hAnsi="Times New Roman" w:cs="Times New Roman"/>
          <w:b/>
          <w:i/>
          <w:sz w:val="24"/>
        </w:rPr>
        <w:t>1) Размещение Облигаций в форме Конкурса</w:t>
      </w:r>
    </w:p>
    <w:p w14:paraId="1604B4E7"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Заключение сделок по размещению Облигаций начинается в дату начала размещения Облигаций после подведения итогов Конкурса и заканчивается в дату окончания размещения Облигаций. Конкурс начинается и заканчивается в дату начала размещения Облигаций.</w:t>
      </w:r>
    </w:p>
    <w:p w14:paraId="4D9CB7A4"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Процентная ставка купона на первый купонный период Облигаций определяется Эмитентом по итогам проведения Конкурса на Бирже среди потенциальных покупателей Облигаций в дату начала размещения Облигаций.</w:t>
      </w:r>
    </w:p>
    <w:p w14:paraId="103DF17D" w14:textId="02578B36"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день проведения Конкурса Участники торгов подают адресные заявки на покупку Облигаций на Конкурс с использованием Системы торгов как за свой счет, так и за счет и по поручению потенциальных покупателей. Время и порядок подачи заявок на Конкурс устанавливается Биржей.</w:t>
      </w:r>
    </w:p>
    <w:p w14:paraId="3365F2E5"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Заявки на приобретение Облигаций направляются Участниками торгов в адрес Агента по размещению.</w:t>
      </w:r>
    </w:p>
    <w:p w14:paraId="692414A7"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Заявка на приобретение должна содержать следующие значимые условия:</w:t>
      </w:r>
    </w:p>
    <w:p w14:paraId="2839463A" w14:textId="77777777" w:rsidR="0003725D" w:rsidRPr="005C53F5" w:rsidRDefault="0003725D"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цена приобретения;</w:t>
      </w:r>
    </w:p>
    <w:p w14:paraId="3847E6B4" w14:textId="77777777" w:rsidR="0003725D" w:rsidRPr="005C53F5" w:rsidRDefault="0003725D"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количество Облигаций;</w:t>
      </w:r>
    </w:p>
    <w:p w14:paraId="396A53BE" w14:textId="77777777" w:rsidR="0003725D" w:rsidRPr="005C53F5" w:rsidRDefault="0003725D"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величина процентной ставки купона на первый купонный период;</w:t>
      </w:r>
    </w:p>
    <w:p w14:paraId="3F1B7D62" w14:textId="77777777" w:rsidR="0003725D" w:rsidRPr="005C53F5" w:rsidRDefault="0003725D"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14:paraId="1CA5FEE2" w14:textId="77777777" w:rsidR="0003725D" w:rsidRPr="005C53F5" w:rsidRDefault="0003725D"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прочие параметры в соответствии с Правилами проведения торгов.</w:t>
      </w:r>
    </w:p>
    <w:p w14:paraId="272FD542" w14:textId="68F22B1E"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В качестве цены приобретения должна быть указана Цена размещения Облигаций, установленная </w:t>
      </w:r>
      <w:r w:rsidR="001E6B3D" w:rsidRPr="005C53F5">
        <w:rPr>
          <w:rFonts w:ascii="Times New Roman" w:hAnsi="Times New Roman" w:cs="Times New Roman"/>
          <w:sz w:val="24"/>
        </w:rPr>
        <w:t>Проспектом ценных бумаг</w:t>
      </w:r>
      <w:r w:rsidRPr="005C53F5">
        <w:rPr>
          <w:rFonts w:ascii="Times New Roman" w:hAnsi="Times New Roman" w:cs="Times New Roman"/>
          <w:sz w:val="24"/>
        </w:rPr>
        <w:t xml:space="preserve"> (в процентах от номинальной стоимости Облигаций с точностью до сотой доли процента).</w:t>
      </w:r>
    </w:p>
    <w:p w14:paraId="7114FE72"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качестве количества Облигаций должно быть указано то количество Облигаций, которое потенциальный покупатель хотел бы приобрести, в случае, если уполномоченный орган Эмитента назначит процентную ставку купона на первый купонный период большую или равную указанной в заявке величине процентной ставки купона на первый купонный период.</w:t>
      </w:r>
    </w:p>
    <w:p w14:paraId="4D724177" w14:textId="502BD801"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В качестве величины процентной ставки купона на первый купонный период указывается та величина (в числовом выражении с точностью до двух знаков после запятой) процентной ставки купона на первый купонный период, при объявлении которой Эмитентом потенциальный покупатель был бы готов купить количество Облигаций, указанное в заявке по Цене размещения, установленной </w:t>
      </w:r>
      <w:r w:rsidR="001E6B3D" w:rsidRPr="005C53F5">
        <w:rPr>
          <w:rFonts w:ascii="Times New Roman" w:hAnsi="Times New Roman" w:cs="Times New Roman"/>
          <w:sz w:val="24"/>
        </w:rPr>
        <w:t>Проспектом ценных бумаг</w:t>
      </w:r>
      <w:r w:rsidRPr="005C53F5">
        <w:rPr>
          <w:rFonts w:ascii="Times New Roman" w:hAnsi="Times New Roman" w:cs="Times New Roman"/>
          <w:sz w:val="24"/>
        </w:rPr>
        <w:t>.</w:t>
      </w:r>
    </w:p>
    <w:p w14:paraId="33465B5B"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 этом денежные средства должны быть зарезервированы на торговых счетах Участников торгов в сумме, достаточной для полной оплаты Облигаций, указанных в заявках на приобретение Облигаций, с учетом всех необходимых комиссионных сборов.</w:t>
      </w:r>
    </w:p>
    <w:p w14:paraId="2D2B85D4"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Заявки, не соответствующие изложенным выше требованиям, к участию в Конкурсе не допускаются.</w:t>
      </w:r>
    </w:p>
    <w:p w14:paraId="79B9F2B3" w14:textId="0DB7B7B1"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По окончании периода подачи заявок на Конкурс Биржа составляет </w:t>
      </w:r>
      <w:r w:rsidR="00E97436">
        <w:rPr>
          <w:rFonts w:ascii="Times New Roman" w:hAnsi="Times New Roman" w:cs="Times New Roman"/>
          <w:sz w:val="24"/>
        </w:rPr>
        <w:t>С</w:t>
      </w:r>
      <w:r w:rsidR="00E97436" w:rsidRPr="005C53F5">
        <w:rPr>
          <w:rFonts w:ascii="Times New Roman" w:hAnsi="Times New Roman" w:cs="Times New Roman"/>
          <w:sz w:val="24"/>
        </w:rPr>
        <w:t xml:space="preserve">водный </w:t>
      </w:r>
      <w:r w:rsidRPr="005C53F5">
        <w:rPr>
          <w:rFonts w:ascii="Times New Roman" w:hAnsi="Times New Roman" w:cs="Times New Roman"/>
          <w:sz w:val="24"/>
        </w:rPr>
        <w:t>реестр заявок и передает его Агенту по размещению.</w:t>
      </w:r>
    </w:p>
    <w:p w14:paraId="6DA0B150"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величину приемлемой процентной ставки купона на первый купонный период, а также иные реквизиты в соответствии с Правилами проведения торгов.</w:t>
      </w:r>
    </w:p>
    <w:p w14:paraId="48BF46AB" w14:textId="20B7065F"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На основании анализа Сводного реестра заявок уполномоченный орган Эмитента принимает решение о величине процентной ставки купона на первый купонный период и сообщает о принятом решении Бирже одновременно с опубликованием такой информации в </w:t>
      </w:r>
      <w:r w:rsidR="00E97436">
        <w:rPr>
          <w:rFonts w:ascii="Times New Roman" w:hAnsi="Times New Roman" w:cs="Times New Roman"/>
          <w:sz w:val="24"/>
        </w:rPr>
        <w:t>Ленте новостей</w:t>
      </w:r>
      <w:r w:rsidRPr="005C53F5">
        <w:rPr>
          <w:rFonts w:ascii="Times New Roman" w:hAnsi="Times New Roman" w:cs="Times New Roman"/>
          <w:sz w:val="24"/>
        </w:rPr>
        <w:t>.</w:t>
      </w:r>
    </w:p>
    <w:p w14:paraId="6D06EAA8" w14:textId="10504001"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Информация о величине процентной ставки купона на первый купонный период раскрывается Эмитентом в соответствии с </w:t>
      </w:r>
      <w:r w:rsidR="001E6B3D"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sz w:val="24"/>
        </w:rPr>
        <w:t>.</w:t>
      </w:r>
    </w:p>
    <w:p w14:paraId="3D651562" w14:textId="71B41EC8"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После опубликования в Ленте новостей сообщения о величине процентной ставки купона на первый купонный период Эмитент информирует Агента по размещению, Биржу и НРД о величине процентной ставки купона на первый купонный период в порядке, установленном </w:t>
      </w:r>
      <w:r w:rsidR="001E6B3D"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sz w:val="24"/>
        </w:rPr>
        <w:t>.</w:t>
      </w:r>
    </w:p>
    <w:p w14:paraId="69F22F3C" w14:textId="1EDEF2A3"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Агент по размещению</w:t>
      </w:r>
      <w:r w:rsidR="001E6B3D" w:rsidRPr="005C53F5">
        <w:rPr>
          <w:rFonts w:ascii="Times New Roman" w:hAnsi="Times New Roman" w:cs="Times New Roman"/>
          <w:sz w:val="24"/>
        </w:rPr>
        <w:t xml:space="preserve"> </w:t>
      </w:r>
      <w:r w:rsidRPr="005C53F5">
        <w:rPr>
          <w:rFonts w:ascii="Times New Roman" w:hAnsi="Times New Roman" w:cs="Times New Roman"/>
          <w:sz w:val="24"/>
        </w:rPr>
        <w:t>заключает в соответствии с Правилами проведения торгов сделки путем удовлетворения заявок, при этом удовлетворяются только те заявки, в которых величина процентной ставки меньше либо равна величине установленной процентной ставки купона на первый купонный период.</w:t>
      </w:r>
    </w:p>
    <w:p w14:paraId="0B0AFA73"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Приоритет в удовлетворении заявок на покупку Облигаций, поданных в ходе проводимого Конкурса, имеют заявки с минимальной величиной процентной ставки по купону.</w:t>
      </w:r>
    </w:p>
    <w:p w14:paraId="3F36C599"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случае наличия заявок с одинаковой процентной ставкой купона на первый купонный период приоритет в удовлетворении имеют заявки, поданные ранее по времени. Неудовлетворенные заявки Участников торгов снимаются.</w:t>
      </w:r>
    </w:p>
    <w:p w14:paraId="334764C9"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После </w:t>
      </w:r>
      <w:r w:rsidRPr="005C53F5">
        <w:rPr>
          <w:rFonts w:ascii="Times New Roman" w:hAnsi="Times New Roman"/>
          <w:sz w:val="24"/>
        </w:rPr>
        <w:t xml:space="preserve">определения </w:t>
      </w:r>
      <w:r w:rsidRPr="005C53F5">
        <w:rPr>
          <w:rFonts w:ascii="Times New Roman" w:hAnsi="Times New Roman" w:cs="Times New Roman"/>
          <w:sz w:val="24"/>
        </w:rPr>
        <w:t>ставки купона на первый купонный период и удовлетворения заявок, поданных в ходе Конкурса, в случае неполного размещения Облигаций по итогам проведенного Конкурса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Облигаций по Цене размещения в адрес Агента по размещению.</w:t>
      </w:r>
    </w:p>
    <w:p w14:paraId="54F24391" w14:textId="030A1011"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Поданные заявки на покупку Облигаций удовлетворяются Агентом по размещению</w:t>
      </w:r>
      <w:r w:rsidR="009A2C41" w:rsidRPr="005C53F5">
        <w:rPr>
          <w:rFonts w:ascii="Times New Roman" w:hAnsi="Times New Roman" w:cs="Times New Roman"/>
          <w:sz w:val="24"/>
        </w:rPr>
        <w:t xml:space="preserve"> </w:t>
      </w:r>
      <w:r w:rsidRPr="005C53F5">
        <w:rPr>
          <w:rFonts w:ascii="Times New Roman" w:hAnsi="Times New Roman" w:cs="Times New Roman"/>
          <w:sz w:val="24"/>
        </w:rPr>
        <w:t>в полном объеме в случае, если количество Облигаций в заявке на покупку Облигаций не превосходит количества недоразмещенных Облигаций (в пределах общего количества предлагаемых к размещению Облигаций). В случае если объем заявки на покупку Облигаций превышает количество Облигаций, оставшихся неразмещенными, то данная заявка на покупку Облигаций удовлетворяется в размере неразмещенного остатка. В случае размещения всего объема предлагаемых к размещению Облигаций, удовлетворение последующих заявок на приобретение Облигаций не производится.</w:t>
      </w:r>
    </w:p>
    <w:p w14:paraId="6D16F5A1"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Приобретение Облигаций Эмитента в ходе их размещения не может быть осуществлено за счет Эмитента.</w:t>
      </w:r>
    </w:p>
    <w:p w14:paraId="3ECCCC2C" w14:textId="77777777" w:rsidR="00DE7186" w:rsidRDefault="00DE7186" w:rsidP="00057BE5">
      <w:pPr>
        <w:pStyle w:val="ConsPlusNormal"/>
        <w:ind w:firstLine="709"/>
        <w:jc w:val="both"/>
        <w:rPr>
          <w:rFonts w:ascii="Times New Roman" w:hAnsi="Times New Roman" w:cs="Times New Roman"/>
          <w:b/>
          <w:i/>
          <w:sz w:val="24"/>
        </w:rPr>
      </w:pPr>
    </w:p>
    <w:p w14:paraId="24DA072B" w14:textId="79514B90" w:rsidR="0003725D" w:rsidRPr="005C53F5" w:rsidRDefault="0003725D" w:rsidP="00057BE5">
      <w:pPr>
        <w:pStyle w:val="ConsPlusNormal"/>
        <w:ind w:firstLine="709"/>
        <w:jc w:val="both"/>
        <w:rPr>
          <w:rFonts w:ascii="Times New Roman" w:hAnsi="Times New Roman" w:cs="Times New Roman"/>
          <w:b/>
          <w:i/>
          <w:sz w:val="24"/>
        </w:rPr>
      </w:pPr>
      <w:r w:rsidRPr="005C53F5">
        <w:rPr>
          <w:rFonts w:ascii="Times New Roman" w:hAnsi="Times New Roman" w:cs="Times New Roman"/>
          <w:b/>
          <w:i/>
          <w:sz w:val="24"/>
        </w:rPr>
        <w:t>2) Размещение Облигаций путем Формирования книги заявок</w:t>
      </w:r>
    </w:p>
    <w:p w14:paraId="5B51C2D4"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случае размещения Облигаций путем Формирования книги заявок уполномоченный орган Эмитента принимает решение о величине процентной ставки купона на первый купонный период до даты начала размещения Облигаций.</w:t>
      </w:r>
    </w:p>
    <w:p w14:paraId="6AAC206C" w14:textId="260DD63E"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Информация о величине процентной ставки купона на первый купонный период раскрывается Эмитентом в соответствии с </w:t>
      </w:r>
      <w:r w:rsidR="009A2C41"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sz w:val="24"/>
        </w:rPr>
        <w:t>.</w:t>
      </w:r>
    </w:p>
    <w:p w14:paraId="6864AE2B" w14:textId="73A3D5EE" w:rsidR="0003725D" w:rsidRPr="005C53F5" w:rsidRDefault="00BE53CF"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Эмитент информирует Биржу и НРД о ставке купона на первый купонный период </w:t>
      </w:r>
      <w:r w:rsidRPr="005C53F5">
        <w:rPr>
          <w:rFonts w:ascii="Times New Roman" w:hAnsi="Times New Roman" w:cs="Times New Roman"/>
          <w:bCs/>
          <w:iCs/>
          <w:sz w:val="24"/>
        </w:rPr>
        <w:t>не позднее чем за 1 (один) рабочий день до даты</w:t>
      </w:r>
      <w:r w:rsidRPr="005C53F5">
        <w:rPr>
          <w:rFonts w:ascii="Times New Roman" w:hAnsi="Times New Roman" w:cs="Times New Roman"/>
          <w:sz w:val="24"/>
        </w:rPr>
        <w:t xml:space="preserve"> начала размещения Облигаций</w:t>
      </w:r>
      <w:r w:rsidR="0003725D" w:rsidRPr="005C53F5">
        <w:rPr>
          <w:rFonts w:ascii="Times New Roman" w:hAnsi="Times New Roman" w:cs="Times New Roman"/>
          <w:sz w:val="24"/>
        </w:rPr>
        <w:t>.</w:t>
      </w:r>
    </w:p>
    <w:p w14:paraId="797A86C7"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Размещение Облигаций путем Формирования книги заявок предусматривает адресованное неопределенному кругу лиц приглашение делать предложения (оферты) о приобретении размещаемых ценных бумаг. Адресные заявки со стороны Участников торгов являются офертами Участников торгов на приобретение размещаемых Облигаций.</w:t>
      </w:r>
    </w:p>
    <w:p w14:paraId="6C91745B"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Ответ о принятии предложений (оферт) о приобретении размещаемых Облигаций направляется Участникам торгов, определяемым по усмотрению Эмитента из числа Участников торгов, сделавших такие предложения (оферты), путем выставления встречных адресных заявок. При этом Участник торгов соглашается с тем, что его заявка может быть отклонена, акцептована полностью или в части.</w:t>
      </w:r>
    </w:p>
    <w:p w14:paraId="2329AED6"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дату начала размещения Облигаций Участники торгов в течение периода подачи заявок на приобретение Облигаций по фиксированной цене и ставке купона на первый купонный период подают адресные заявки на покупку Облигаций с использованием Системы торгов как за свой счет, так и за счет и по поручению потенциальных покупателей.</w:t>
      </w:r>
    </w:p>
    <w:p w14:paraId="11251140" w14:textId="6F53018C"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Время и порядок подачи адресных заявок в течение периода подачи заявок по фиксированной цене и ставке купона на первый купонный период устанавливается Биржей.</w:t>
      </w:r>
    </w:p>
    <w:p w14:paraId="56137EFE"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По окончании периода подачи заявок на приобретение Облигаций по фиксированной цене и ставке купона на первый купонный период, Биржа составляет Сводный реестр заявок и передает его Агенту по размещению.</w:t>
      </w:r>
    </w:p>
    <w:p w14:paraId="44FBBFB3"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а также иные реквизиты в соответствии с Правилами проведения торгов.</w:t>
      </w:r>
    </w:p>
    <w:p w14:paraId="08F5FF50" w14:textId="287C3EBC"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 основании анализа Сводного реестра заявок Эмитент определяет приобретателей, которым он намеревается продать Облигации, а также количество Облигаций, которые он намеревается продать данным приобретателям и передает данную информацию Агенту по размещению.</w:t>
      </w:r>
      <w:r w:rsidR="009A2C41" w:rsidRPr="005C53F5">
        <w:rPr>
          <w:rFonts w:ascii="Times New Roman" w:hAnsi="Times New Roman" w:cs="Times New Roman"/>
          <w:sz w:val="24"/>
        </w:rPr>
        <w:t xml:space="preserve"> </w:t>
      </w:r>
      <w:r w:rsidRPr="005C53F5">
        <w:rPr>
          <w:rFonts w:ascii="Times New Roman" w:hAnsi="Times New Roman" w:cs="Times New Roman"/>
          <w:sz w:val="24"/>
        </w:rPr>
        <w:t>При этом первоочередному удовлетворению в дату начала размещения Облигаций подлежат заявки тех Участников торгов, с которыми либо с клиентами которых (при условии, что Участник торгов действует в ходе размещения в качестве агента по приобретению Облигаций за счет потенциального приобретателя, не являющегося Участником торгов) Агент по размещению заключил Предварительные договоры, при условии, что такие заявки поданы указанными Участниками торгов во исполнение заключенных Предварительных договоров. После этого Агент по размещению заключает сделки с приобретателями путем выставления встречных адресных заявок. Факт невыставления встречной адресной заявки Агентом по размещению будет означать, что Эмитентом было принято решение об отклонении заявки. Письменные уведомления (сообщения) об удовлетворении (об отказе в удовлетворении) заявок Участникам торгов не направляются.</w:t>
      </w:r>
    </w:p>
    <w:p w14:paraId="605045E6" w14:textId="20959854"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Агент по размещению</w:t>
      </w:r>
      <w:r w:rsidR="009A2C41" w:rsidRPr="005C53F5">
        <w:rPr>
          <w:rFonts w:ascii="Times New Roman" w:hAnsi="Times New Roman" w:cs="Times New Roman"/>
          <w:sz w:val="24"/>
        </w:rPr>
        <w:t xml:space="preserve"> </w:t>
      </w:r>
      <w:r w:rsidRPr="005C53F5">
        <w:rPr>
          <w:rFonts w:ascii="Times New Roman" w:hAnsi="Times New Roman" w:cs="Times New Roman"/>
          <w:sz w:val="24"/>
        </w:rPr>
        <w:t>заключает сделки с приобретателями, которым Эмитент желает продать Облигации, путем выставления встречных адресных заявок в соответствии с Правилами проведения торгов с указанием количества бумаг, которое Эмитент желает продать данному приобретателю.</w:t>
      </w:r>
    </w:p>
    <w:p w14:paraId="02967E59" w14:textId="0EECF13C"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После удовлетворения заявок, поданных в течение периода подачи заявок, в случае неполного размещения Выпуска по его итогам Участники торгов, действующие как за свой счет, так и за счет и по поручению потенциальных приобретателей, могут в течение срока размещения подавать адресные заявки на покупку Облигаций по Цене размещения в адрес Агента по размещению.</w:t>
      </w:r>
      <w:r w:rsidR="009A2C41" w:rsidRPr="005C53F5">
        <w:rPr>
          <w:rFonts w:ascii="Times New Roman" w:hAnsi="Times New Roman" w:cs="Times New Roman"/>
          <w:sz w:val="24"/>
        </w:rPr>
        <w:t xml:space="preserve"> </w:t>
      </w:r>
      <w:r w:rsidRPr="005C53F5">
        <w:rPr>
          <w:rFonts w:ascii="Times New Roman" w:hAnsi="Times New Roman" w:cs="Times New Roman"/>
          <w:sz w:val="24"/>
        </w:rPr>
        <w:t>Эмитент рассматривает такие заявки и определяет приобретателей, которым он намеревается продать Облигации, а также количество Облигаций, которые он намеревается продать данным приобретателям, и передает данную информацию Агенту по размещению.</w:t>
      </w:r>
      <w:r w:rsidR="009A2C41" w:rsidRPr="005C53F5">
        <w:rPr>
          <w:rFonts w:ascii="Times New Roman" w:hAnsi="Times New Roman" w:cs="Times New Roman"/>
          <w:sz w:val="24"/>
        </w:rPr>
        <w:t xml:space="preserve"> </w:t>
      </w:r>
      <w:r w:rsidRPr="005C53F5">
        <w:rPr>
          <w:rFonts w:ascii="Times New Roman" w:hAnsi="Times New Roman" w:cs="Times New Roman"/>
          <w:sz w:val="24"/>
        </w:rPr>
        <w:t>При этом первоочередному удовлетворению в течение срока размещения Облигаций</w:t>
      </w:r>
      <w:r w:rsidR="009A2C41" w:rsidRPr="005C53F5">
        <w:rPr>
          <w:rFonts w:ascii="Times New Roman" w:hAnsi="Times New Roman" w:cs="Times New Roman"/>
          <w:sz w:val="24"/>
        </w:rPr>
        <w:t xml:space="preserve"> </w:t>
      </w:r>
      <w:r w:rsidRPr="005C53F5">
        <w:rPr>
          <w:rFonts w:ascii="Times New Roman" w:hAnsi="Times New Roman" w:cs="Times New Roman"/>
          <w:sz w:val="24"/>
        </w:rPr>
        <w:t>подлежат заявки тех Участников торгов, с которыми либо с клиентами которых (при условии, что Участник торгов действует в ходе размещения в качестве агента по приобретению Облигаций за счет потенциального приобретателя, не являющегося Участником торгов) Агент по размещению заключил Предварительные договоры, при условии, что такие заявки поданы указанными Участниками торгов во исполнение заключенных Предварительных договоров. После этого Агент по размещению заключает сделки с приобретателями путем выставления встречных адресных заявок. Факт невыставления встречной адресной заявки Агентом по размещению будет означать, что Эмитентом было принято решение об отклонении заявки. Письменные уведомления (сообщения) об удовлетворении (об отказе в удовлетворении) заявок Участникам торгов не направляются.</w:t>
      </w:r>
    </w:p>
    <w:p w14:paraId="6279BE1F" w14:textId="32EF435E"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Агент по размещению</w:t>
      </w:r>
      <w:r w:rsidR="009A2C41" w:rsidRPr="005C53F5">
        <w:rPr>
          <w:rFonts w:ascii="Times New Roman" w:hAnsi="Times New Roman" w:cs="Times New Roman"/>
          <w:sz w:val="24"/>
        </w:rPr>
        <w:t xml:space="preserve"> </w:t>
      </w:r>
      <w:r w:rsidRPr="005C53F5">
        <w:rPr>
          <w:rFonts w:ascii="Times New Roman" w:hAnsi="Times New Roman" w:cs="Times New Roman"/>
          <w:sz w:val="24"/>
        </w:rPr>
        <w:t xml:space="preserve">заключает сделки с приобретателями, которым Эмитент желает продать Облигации, путем выставления встречных адресных заявок в соответствии с Правилами проведения торгов с указанием количества бумаг, которое Эмитент желает продать данному приобретателю. </w:t>
      </w:r>
    </w:p>
    <w:p w14:paraId="737FA864"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Заявки на приобретение Облигаций направляются Участниками торгов в адрес Агента по размещению.</w:t>
      </w:r>
    </w:p>
    <w:p w14:paraId="036C0236"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Заявка на приобретение должна содержать следующие значимые условия:</w:t>
      </w:r>
    </w:p>
    <w:p w14:paraId="619D8B16" w14:textId="77777777" w:rsidR="0003725D" w:rsidRPr="005C53F5" w:rsidRDefault="0003725D"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цена приобретения;</w:t>
      </w:r>
    </w:p>
    <w:p w14:paraId="73EDB10B" w14:textId="77777777" w:rsidR="0003725D" w:rsidRPr="005C53F5" w:rsidRDefault="0003725D"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количество Облигаций;</w:t>
      </w:r>
    </w:p>
    <w:p w14:paraId="00ADDBFA" w14:textId="77777777" w:rsidR="0003725D" w:rsidRPr="005C53F5" w:rsidRDefault="0003725D"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14:paraId="28DCA55E" w14:textId="77777777" w:rsidR="0003725D" w:rsidRPr="005C53F5" w:rsidRDefault="0003725D" w:rsidP="00057BE5">
      <w:pPr>
        <w:pStyle w:val="ConsPlusNormal"/>
        <w:numPr>
          <w:ilvl w:val="0"/>
          <w:numId w:val="17"/>
        </w:numPr>
        <w:jc w:val="both"/>
        <w:rPr>
          <w:rFonts w:ascii="Times New Roman" w:hAnsi="Times New Roman" w:cs="Times New Roman"/>
          <w:sz w:val="24"/>
        </w:rPr>
      </w:pPr>
      <w:r w:rsidRPr="005C53F5">
        <w:rPr>
          <w:rFonts w:ascii="Times New Roman" w:hAnsi="Times New Roman" w:cs="Times New Roman"/>
          <w:sz w:val="24"/>
        </w:rPr>
        <w:t>прочие параметры в соответствии с Правилами проведения торгов.</w:t>
      </w:r>
    </w:p>
    <w:p w14:paraId="33C0CCAF" w14:textId="34FE52E9" w:rsidR="0003725D" w:rsidRPr="005C53F5" w:rsidRDefault="0003725D" w:rsidP="00057BE5">
      <w:pPr>
        <w:pStyle w:val="ConsPlusNormal"/>
        <w:ind w:firstLine="709"/>
        <w:jc w:val="both"/>
        <w:rPr>
          <w:rFonts w:ascii="Times New Roman" w:hAnsi="Times New Roman"/>
          <w:sz w:val="24"/>
        </w:rPr>
      </w:pPr>
      <w:r w:rsidRPr="005C53F5">
        <w:rPr>
          <w:rFonts w:ascii="Times New Roman" w:hAnsi="Times New Roman" w:cs="Times New Roman"/>
          <w:sz w:val="24"/>
        </w:rPr>
        <w:t xml:space="preserve">В качестве </w:t>
      </w:r>
      <w:r w:rsidRPr="005C53F5">
        <w:rPr>
          <w:rFonts w:ascii="Times New Roman" w:hAnsi="Times New Roman"/>
          <w:sz w:val="24"/>
        </w:rPr>
        <w:t xml:space="preserve">цены </w:t>
      </w:r>
      <w:bookmarkEnd w:id="475"/>
      <w:r w:rsidRPr="005C53F5">
        <w:rPr>
          <w:rFonts w:ascii="Times New Roman" w:hAnsi="Times New Roman" w:cs="Times New Roman"/>
          <w:sz w:val="24"/>
        </w:rPr>
        <w:t xml:space="preserve">приобретения должна быть указана Цена размещения, установленная </w:t>
      </w:r>
      <w:r w:rsidR="00C4028C" w:rsidRPr="005C53F5">
        <w:rPr>
          <w:rFonts w:ascii="Times New Roman" w:hAnsi="Times New Roman" w:cs="Times New Roman"/>
          <w:sz w:val="24"/>
        </w:rPr>
        <w:t>Проспектом ценных бумаг</w:t>
      </w:r>
      <w:r w:rsidRPr="005C53F5">
        <w:rPr>
          <w:rFonts w:ascii="Times New Roman" w:hAnsi="Times New Roman" w:cs="Times New Roman"/>
          <w:sz w:val="24"/>
        </w:rPr>
        <w:t xml:space="preserve"> (в процентах от номинальной стоимости Облигаций с точностью до сотой доли процента).</w:t>
      </w:r>
    </w:p>
    <w:p w14:paraId="06792A22"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качестве количества Облигаций должно быть указано то количество Облигаций, которое потенциальный покупатель хотел бы приобрести по определенной до даты начала размещения ставке купона на первый купонный период.</w:t>
      </w:r>
    </w:p>
    <w:p w14:paraId="7152204B"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 этом денежные средства должны быть зарезервированы на торговых счетах Участников торгов в сумме, достаточной для полной оплаты Облигаций, указанных в заявках на приобретение Облигаций, с учетом всех необходимых комиссионных сборов.</w:t>
      </w:r>
    </w:p>
    <w:p w14:paraId="76ADDFCE"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Заявки, не соответствующие изложенным выше требованиям, не принимаются.</w:t>
      </w:r>
    </w:p>
    <w:p w14:paraId="076FE27E"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Приобретение Облигаций в ходе их размещения не может быть осуществлено за счет Эмитента.</w:t>
      </w:r>
    </w:p>
    <w:p w14:paraId="05354FEC" w14:textId="77777777" w:rsidR="00DE7186" w:rsidRDefault="00DE7186" w:rsidP="00057BE5">
      <w:pPr>
        <w:pStyle w:val="ConsPlusNormal"/>
        <w:ind w:firstLine="709"/>
        <w:jc w:val="both"/>
        <w:rPr>
          <w:rFonts w:ascii="Times New Roman" w:hAnsi="Times New Roman" w:cs="Times New Roman"/>
          <w:i/>
          <w:sz w:val="24"/>
        </w:rPr>
      </w:pPr>
    </w:p>
    <w:p w14:paraId="23574FAB" w14:textId="77777777" w:rsidR="00DE7186" w:rsidRDefault="00DE7186" w:rsidP="00057BE5">
      <w:pPr>
        <w:pStyle w:val="ConsPlusNormal"/>
        <w:ind w:firstLine="709"/>
        <w:jc w:val="both"/>
        <w:rPr>
          <w:rFonts w:ascii="Times New Roman" w:hAnsi="Times New Roman" w:cs="Times New Roman"/>
          <w:i/>
          <w:sz w:val="24"/>
        </w:rPr>
      </w:pPr>
    </w:p>
    <w:p w14:paraId="6A50AA9A" w14:textId="391630B5"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Возможность преимущественного приобретения размещаемых ценных бумаг:</w:t>
      </w:r>
    </w:p>
    <w:p w14:paraId="33ADC3F1"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Возможность преимущественного приобретения размещаемых Облигаций не предусмотрена.</w:t>
      </w:r>
    </w:p>
    <w:p w14:paraId="2C42C0E7"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Для именных ценных бумаг, ведение реестра владельцев которых осуществляется регистратором, - лицо, которому эмитент выдает (направляет) передаточное распоряжение, являющееся основанием для внесения приходных записей по лицевым счетам первых владельцев и (или) номинальных держателей, срок и иные условия выдачи передаточного распоряжения:</w:t>
      </w:r>
    </w:p>
    <w:p w14:paraId="17EF3B48" w14:textId="30C3D5C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Облигации</w:t>
      </w:r>
      <w:r w:rsidR="00FC1820" w:rsidRPr="005C53F5">
        <w:rPr>
          <w:rFonts w:ascii="Times New Roman" w:hAnsi="Times New Roman" w:cs="Times New Roman"/>
          <w:sz w:val="24"/>
        </w:rPr>
        <w:t xml:space="preserve"> </w:t>
      </w:r>
      <w:r w:rsidRPr="005C53F5">
        <w:rPr>
          <w:rFonts w:ascii="Times New Roman" w:hAnsi="Times New Roman" w:cs="Times New Roman"/>
          <w:sz w:val="24"/>
        </w:rPr>
        <w:t>не являются именными ценными бумагами.</w:t>
      </w:r>
    </w:p>
    <w:p w14:paraId="4FC1F912" w14:textId="63ED1034"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Для бездокументарных ценных бумаг с централизованным учетом прав</w:t>
      </w:r>
      <w:r w:rsidR="00FC1820" w:rsidRPr="005C53F5">
        <w:rPr>
          <w:rFonts w:ascii="Times New Roman" w:hAnsi="Times New Roman" w:cs="Times New Roman"/>
          <w:i/>
          <w:sz w:val="24"/>
        </w:rPr>
        <w:t xml:space="preserve"> </w:t>
      </w:r>
      <w:r w:rsidRPr="005C53F5">
        <w:rPr>
          <w:rFonts w:ascii="Times New Roman" w:hAnsi="Times New Roman" w:cs="Times New Roman"/>
          <w:i/>
          <w:sz w:val="24"/>
        </w:rPr>
        <w:t>- порядок, в том числе срок, внесения приходной записи по счету депо первого владельца в депозитарии, осуществляющем учет прав на указанные ценные бумаги:</w:t>
      </w:r>
    </w:p>
    <w:p w14:paraId="5F7CFF0E"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Предусмотрен централизованный учет прав на Облигации.</w:t>
      </w:r>
    </w:p>
    <w:p w14:paraId="59519BEB"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Размещенные через Биржу Облигации зачисляются НРД или Депозитариями на счета депо покупателей Облигаций в дату совершения операции купли - продажи Облигаций.</w:t>
      </w:r>
    </w:p>
    <w:p w14:paraId="2AD76C6D" w14:textId="3DB0918C"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Приходная запись по счетам депо депонентов, открытых в НРД, вносится на основании информации, полученной от </w:t>
      </w:r>
      <w:r w:rsidR="00E97436">
        <w:rPr>
          <w:rFonts w:ascii="Times New Roman" w:hAnsi="Times New Roman" w:cs="Times New Roman"/>
          <w:sz w:val="24"/>
        </w:rPr>
        <w:t>К</w:t>
      </w:r>
      <w:r w:rsidR="00E97436" w:rsidRPr="005C53F5">
        <w:rPr>
          <w:rFonts w:ascii="Times New Roman" w:hAnsi="Times New Roman" w:cs="Times New Roman"/>
          <w:sz w:val="24"/>
        </w:rPr>
        <w:t xml:space="preserve">лиринговой </w:t>
      </w:r>
      <w:r w:rsidRPr="005C53F5">
        <w:rPr>
          <w:rFonts w:ascii="Times New Roman" w:hAnsi="Times New Roman" w:cs="Times New Roman"/>
          <w:sz w:val="24"/>
        </w:rPr>
        <w:t>организации</w:t>
      </w:r>
      <w:r w:rsidR="00BC22EE" w:rsidRPr="005C53F5">
        <w:rPr>
          <w:rFonts w:ascii="Times New Roman" w:hAnsi="Times New Roman" w:cs="Times New Roman"/>
          <w:sz w:val="24"/>
        </w:rPr>
        <w:t>, и (или) на основании поручений Эмитента</w:t>
      </w:r>
      <w:r w:rsidRPr="005C53F5">
        <w:rPr>
          <w:rFonts w:ascii="Times New Roman" w:hAnsi="Times New Roman" w:cs="Times New Roman"/>
          <w:sz w:val="24"/>
        </w:rPr>
        <w:t>.</w:t>
      </w:r>
    </w:p>
    <w:p w14:paraId="25675436" w14:textId="0D8DA863"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Проданные при размещении Облигации зачисляются НРД или Депозитариями на счета депо покупателей Облигаций в соответствии с Условиями осуществления депозитарной деятельности НРД и условиями осуществления депозитарной деятельности Депозитариев.</w:t>
      </w:r>
    </w:p>
    <w:p w14:paraId="08166174"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Расходы, связанные с внесением приходных записей о зачислении размещаемых Облигаций на счета депо их первых владельцев (приобретателей), несут первые владельцы Облигаций.</w:t>
      </w:r>
    </w:p>
    <w:p w14:paraId="5DA55DB4"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Для документарных ценных бумаг без обязательного централизованного хранения - порядок, в том числе срок, выдачи первым владельцам сертификатов ценных бумаг:</w:t>
      </w:r>
    </w:p>
    <w:p w14:paraId="2C08B5EE"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Облигации являются бездокументарными ценными бумагами с централизованным учетом прав.</w:t>
      </w:r>
    </w:p>
    <w:p w14:paraId="653848BF"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размещения акционерным обществом акций, ценных бумаг, конвертируемых в акции, и опционов эмитента путем закрытой подписки только среди всех акционеров с предоставлением указанным акционерам возможности приобретения целого числа размещаемых ценных бумаг, пропорционального количеству принадлежащих им акций соответствующей категории (типа):</w:t>
      </w:r>
    </w:p>
    <w:p w14:paraId="3B4BA6B2"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Эмитент не является акционерным обществом.</w:t>
      </w:r>
    </w:p>
    <w:p w14:paraId="6046D64D"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ценные бумаги размещаются посредством закрытой подписки в несколько этапов, условия размещения по каждому из которых не совпадают (различаются), раскрываются сроки (порядок определения сроков) размещения ценных бумаг по каждому этапу и не совпадающие условия размещения:</w:t>
      </w:r>
    </w:p>
    <w:p w14:paraId="1898276F"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Облигации не размещаются посредством закрытой подписки. Облигации размещаются посредством открытой подписки. </w:t>
      </w:r>
    </w:p>
    <w:p w14:paraId="202D908A" w14:textId="5B6DEC51" w:rsidR="0003725D"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ценные бумаги размещаются посредством подписки путем проведения торгов, указывается наименование лица, организующего проведение торгов (эмитент, специализированная организация). Если организация торгов осуществляется специализированной организацией, указываются ее полное и сокращенное фирменные наименования, место нахождения, а если организованные торги проводятся биржей или иным организатором торговли, - также номер, дата выдачи, срок действия лицензии, на основании которой биржа или иной организатор торговли вправе осуществлять деятельность по организации торговли на рынке ценных бумаг, орган, выдавший указанную лицензию:</w:t>
      </w:r>
    </w:p>
    <w:p w14:paraId="230FB645" w14:textId="477828D6" w:rsidR="00DE7186" w:rsidRDefault="00DE7186" w:rsidP="00057BE5">
      <w:pPr>
        <w:pStyle w:val="ConsPlusNormal"/>
        <w:ind w:firstLine="709"/>
        <w:jc w:val="both"/>
        <w:rPr>
          <w:rFonts w:ascii="Times New Roman" w:hAnsi="Times New Roman" w:cs="Times New Roman"/>
          <w:i/>
          <w:sz w:val="24"/>
        </w:rPr>
      </w:pPr>
    </w:p>
    <w:p w14:paraId="67C38616" w14:textId="77777777" w:rsidR="00DE7186" w:rsidRPr="005C53F5" w:rsidRDefault="00DE7186" w:rsidP="00057BE5">
      <w:pPr>
        <w:pStyle w:val="ConsPlusNormal"/>
        <w:ind w:firstLine="709"/>
        <w:jc w:val="both"/>
        <w:rPr>
          <w:rFonts w:ascii="Times New Roman" w:hAnsi="Times New Roman" w:cs="Times New Roman"/>
          <w:i/>
          <w:sz w:val="24"/>
        </w:rPr>
      </w:pPr>
    </w:p>
    <w:p w14:paraId="78A9E1DD" w14:textId="77777777" w:rsidR="00DE7186" w:rsidRDefault="00DE7186" w:rsidP="00057BE5">
      <w:pPr>
        <w:pStyle w:val="ConsPlusNormal"/>
        <w:ind w:firstLine="709"/>
        <w:jc w:val="both"/>
        <w:rPr>
          <w:rFonts w:ascii="Times New Roman" w:hAnsi="Times New Roman" w:cs="Times New Roman"/>
          <w:sz w:val="24"/>
        </w:rPr>
      </w:pPr>
    </w:p>
    <w:p w14:paraId="0F0EAEFD" w14:textId="12699C9D"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Облигации размещаются посредством открытой подписки путем проведения торгов на Бирже, организующей проведение торгов:</w:t>
      </w:r>
    </w:p>
    <w:p w14:paraId="415BE3DF"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Полное фирменное наименование: </w:t>
      </w:r>
      <w:r w:rsidRPr="005C53F5">
        <w:rPr>
          <w:rFonts w:ascii="Times New Roman" w:hAnsi="Times New Roman" w:cs="Times New Roman"/>
          <w:sz w:val="24"/>
        </w:rPr>
        <w:t>Публичное акционерное общество «Московская Биржа ММВБ-РТС»</w:t>
      </w:r>
    </w:p>
    <w:p w14:paraId="7D41B22E"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Сокращенное фирменное наименование: </w:t>
      </w:r>
      <w:r w:rsidRPr="005C53F5">
        <w:rPr>
          <w:rFonts w:ascii="Times New Roman" w:hAnsi="Times New Roman" w:cs="Times New Roman"/>
          <w:sz w:val="24"/>
        </w:rPr>
        <w:t>ПАО Московская Биржа</w:t>
      </w:r>
    </w:p>
    <w:p w14:paraId="5C5D9C8C"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Место нахождения: </w:t>
      </w:r>
      <w:r w:rsidRPr="005C53F5">
        <w:rPr>
          <w:rFonts w:ascii="Times New Roman" w:hAnsi="Times New Roman" w:cs="Times New Roman"/>
          <w:sz w:val="24"/>
        </w:rPr>
        <w:t>Российская Федерация, г. Москва</w:t>
      </w:r>
    </w:p>
    <w:p w14:paraId="0E4BA138"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Почтовый адрес: </w:t>
      </w:r>
      <w:r w:rsidRPr="005C53F5">
        <w:rPr>
          <w:rFonts w:ascii="Times New Roman" w:hAnsi="Times New Roman" w:cs="Times New Roman"/>
          <w:sz w:val="24"/>
        </w:rPr>
        <w:t>Российская Федерация, 125009, г. Москва, Большой Кисловский переулок, дом 13</w:t>
      </w:r>
    </w:p>
    <w:p w14:paraId="0674AC93"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Номер лицензии биржи: </w:t>
      </w:r>
      <w:r w:rsidRPr="005C53F5">
        <w:rPr>
          <w:rFonts w:ascii="Times New Roman" w:hAnsi="Times New Roman" w:cs="Times New Roman"/>
          <w:sz w:val="24"/>
        </w:rPr>
        <w:t>077-001</w:t>
      </w:r>
    </w:p>
    <w:p w14:paraId="450D44F7" w14:textId="57B64855"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Дата выдачи</w:t>
      </w:r>
      <w:r w:rsidR="00DA1F23" w:rsidRPr="005C53F5">
        <w:rPr>
          <w:rFonts w:ascii="Times New Roman" w:hAnsi="Times New Roman" w:cs="Times New Roman"/>
          <w:i/>
          <w:sz w:val="24"/>
        </w:rPr>
        <w:t xml:space="preserve"> лицензии биржи</w:t>
      </w:r>
      <w:r w:rsidRPr="005C53F5">
        <w:rPr>
          <w:rFonts w:ascii="Times New Roman" w:hAnsi="Times New Roman" w:cs="Times New Roman"/>
          <w:i/>
          <w:sz w:val="24"/>
        </w:rPr>
        <w:t xml:space="preserve">: </w:t>
      </w:r>
      <w:r w:rsidRPr="005C53F5">
        <w:rPr>
          <w:rFonts w:ascii="Times New Roman" w:hAnsi="Times New Roman" w:cs="Times New Roman"/>
          <w:sz w:val="24"/>
        </w:rPr>
        <w:t>29.08.2013</w:t>
      </w:r>
    </w:p>
    <w:p w14:paraId="291B8F19" w14:textId="7F1E9C34"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Срок действия</w:t>
      </w:r>
      <w:r w:rsidR="00DA1F23" w:rsidRPr="005C53F5">
        <w:rPr>
          <w:rFonts w:ascii="Times New Roman" w:hAnsi="Times New Roman" w:cs="Times New Roman"/>
          <w:i/>
          <w:sz w:val="24"/>
        </w:rPr>
        <w:t xml:space="preserve"> лицензии биржи</w:t>
      </w:r>
      <w:r w:rsidRPr="005C53F5">
        <w:rPr>
          <w:rFonts w:ascii="Times New Roman" w:hAnsi="Times New Roman" w:cs="Times New Roman"/>
          <w:i/>
          <w:sz w:val="24"/>
        </w:rPr>
        <w:t xml:space="preserve">: </w:t>
      </w:r>
      <w:r w:rsidRPr="005C53F5">
        <w:rPr>
          <w:rFonts w:ascii="Times New Roman" w:hAnsi="Times New Roman" w:cs="Times New Roman"/>
          <w:sz w:val="24"/>
        </w:rPr>
        <w:t>без ограничения срока действия</w:t>
      </w:r>
    </w:p>
    <w:p w14:paraId="214D83FB" w14:textId="228CAA5B" w:rsidR="0003725D" w:rsidRPr="005C53F5" w:rsidRDefault="00DA1F23"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Орган, выдавший лицензию биржи</w:t>
      </w:r>
      <w:r w:rsidR="0003725D" w:rsidRPr="005C53F5">
        <w:rPr>
          <w:rFonts w:ascii="Times New Roman" w:hAnsi="Times New Roman" w:cs="Times New Roman"/>
          <w:i/>
          <w:sz w:val="24"/>
        </w:rPr>
        <w:t xml:space="preserve">: </w:t>
      </w:r>
      <w:r w:rsidR="0003725D" w:rsidRPr="005C53F5">
        <w:rPr>
          <w:rFonts w:ascii="Times New Roman" w:hAnsi="Times New Roman" w:cs="Times New Roman"/>
          <w:sz w:val="24"/>
        </w:rPr>
        <w:t>ФСФР России</w:t>
      </w:r>
    </w:p>
    <w:p w14:paraId="35CCFC1E" w14:textId="09702F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В случае реорганизации ПАО Московская Биржа размещение Облигаций будет осуществляться на организованных торгах организатора торговли, являющегося его правопреемником, в соответствии с законодательством Российской Федерации и внутренними документами, регулирующими деятельность такого организатора торговли. В тех случаях, когда в </w:t>
      </w:r>
      <w:r w:rsidR="0038079C" w:rsidRPr="005C53F5">
        <w:rPr>
          <w:rFonts w:ascii="Times New Roman" w:hAnsi="Times New Roman" w:cs="Times New Roman"/>
          <w:sz w:val="24"/>
        </w:rPr>
        <w:t>Проспекте ценных бумаг</w:t>
      </w:r>
      <w:r w:rsidRPr="005C53F5">
        <w:rPr>
          <w:rFonts w:ascii="Times New Roman" w:hAnsi="Times New Roman" w:cs="Times New Roman"/>
          <w:sz w:val="24"/>
        </w:rPr>
        <w:t xml:space="preserve"> упоминается ПАО Московская Биржа или «Биржа» подразумевается ПАО Московская Биржа или его правопреемник. </w:t>
      </w:r>
    </w:p>
    <w:p w14:paraId="13F0CCC3"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эмитент и (или) уполномоченное им лицо намереваются заключать предварительные договоры, содержащие обязанность заключить в будущем основной договор, направленный на отчуждение размещаемых ценных бумаг первому владельцу, или собирать предварительные заявки на приобретение размещаемых ценных бумаг, указываются порядок заключения таких предварительных договоров или порядок подачи таких предварительных заявок:</w:t>
      </w:r>
    </w:p>
    <w:p w14:paraId="17EC21B8" w14:textId="24813AEE"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 размещении Облигаций путем Формирования книги заявок Агент по размещению, действующий в интересах Эмитента,</w:t>
      </w:r>
      <w:r w:rsidR="00FC1820" w:rsidRPr="005C53F5">
        <w:rPr>
          <w:rFonts w:ascii="Times New Roman" w:hAnsi="Times New Roman" w:cs="Times New Roman"/>
          <w:sz w:val="24"/>
        </w:rPr>
        <w:t xml:space="preserve"> </w:t>
      </w:r>
      <w:r w:rsidRPr="005C53F5">
        <w:rPr>
          <w:rFonts w:ascii="Times New Roman" w:hAnsi="Times New Roman" w:cs="Times New Roman"/>
          <w:sz w:val="24"/>
        </w:rPr>
        <w:t xml:space="preserve">может заключать </w:t>
      </w:r>
      <w:r w:rsidR="00E97436">
        <w:rPr>
          <w:rFonts w:ascii="Times New Roman" w:hAnsi="Times New Roman" w:cs="Times New Roman"/>
          <w:sz w:val="24"/>
        </w:rPr>
        <w:t>П</w:t>
      </w:r>
      <w:r w:rsidR="00E97436" w:rsidRPr="005C53F5">
        <w:rPr>
          <w:rFonts w:ascii="Times New Roman" w:hAnsi="Times New Roman" w:cs="Times New Roman"/>
          <w:sz w:val="24"/>
        </w:rPr>
        <w:t xml:space="preserve">редварительные </w:t>
      </w:r>
      <w:r w:rsidRPr="005C53F5">
        <w:rPr>
          <w:rFonts w:ascii="Times New Roman" w:hAnsi="Times New Roman" w:cs="Times New Roman"/>
          <w:sz w:val="24"/>
        </w:rPr>
        <w:t>договоры.</w:t>
      </w:r>
    </w:p>
    <w:p w14:paraId="58D65141" w14:textId="4B83344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Заключение Предварительных договоров осуществляется путем акцепта Агентом по размещению оферт от потенциальных приобретателей на заключение Предварительных договоров, в соответствии с которыми потенциальные приобретатели и Агент по размещению, действующий в интересах Эмитента, в </w:t>
      </w:r>
      <w:r w:rsidR="00BE53CF" w:rsidRPr="005C53F5">
        <w:rPr>
          <w:rFonts w:ascii="Times New Roman" w:hAnsi="Times New Roman" w:cs="Times New Roman"/>
          <w:sz w:val="24"/>
        </w:rPr>
        <w:t xml:space="preserve">дату </w:t>
      </w:r>
      <w:r w:rsidRPr="005C53F5">
        <w:rPr>
          <w:rFonts w:ascii="Times New Roman" w:hAnsi="Times New Roman" w:cs="Times New Roman"/>
          <w:sz w:val="24"/>
        </w:rPr>
        <w:t>начала размещения обязаны заключить основные договоры купли-продажи Облигаций. При этом любая оферта с предложением заключить Предварительный договор по усмотрению Агента по размещению, действующего в интересах Эмитента, может быть отклонена, акцептована полностью или в части.</w:t>
      </w:r>
    </w:p>
    <w:p w14:paraId="30F81A68"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Сбор предложений (оферт) от потенциальных приобретателей о заключении Предварительных договоров допускается не ранее даты опубликования в Ленте новостей информации о сроке направления предложений (оферт) от потенциальных приобретателей с предложением заключить Предварительные договоры и подлежит окончанию не позднее чем за 1 (один) рабочий день до Даты начала размещения. </w:t>
      </w:r>
    </w:p>
    <w:p w14:paraId="3919E1EC" w14:textId="22ABC656" w:rsidR="0003725D" w:rsidRPr="005C53F5" w:rsidRDefault="007A658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Акцепт оферт от п</w:t>
      </w:r>
      <w:r w:rsidR="0003725D" w:rsidRPr="005C53F5">
        <w:rPr>
          <w:rFonts w:ascii="Times New Roman" w:hAnsi="Times New Roman" w:cs="Times New Roman"/>
          <w:sz w:val="24"/>
        </w:rPr>
        <w:t>отенциальных приобретателей на заключение Предварительных договоров направляется Агентом по размещению, действующим в интересах Эмитента, лицам, определяемым по усмотрению Эмитента из числа потенциальных приобретателей, направивших оферты на заключение Предварительных договоров, не позднее даты, предшествующей дате начала размещения Облигаций, способом, указанным в сообщении Эмитента «О сведениях, оказывающих, по мнению эмитента, существенное влияние на стоимость его эмиссионных ценных бумаг» (или аналогичном сообщении, предусмотренном нормативным актом Банка России, принятым взамен Положения Банка России от 30.12.2014 № 454-П «О раскрытии информации эмитентами эмиссионных ценных бумаг»), раскрываемом Эмитентом при опубликовании информации о сроке напр</w:t>
      </w:r>
      <w:r w:rsidRPr="005C53F5">
        <w:rPr>
          <w:rFonts w:ascii="Times New Roman" w:hAnsi="Times New Roman" w:cs="Times New Roman"/>
          <w:sz w:val="24"/>
        </w:rPr>
        <w:t>авления предложений (оферт) от п</w:t>
      </w:r>
      <w:r w:rsidR="0003725D" w:rsidRPr="005C53F5">
        <w:rPr>
          <w:rFonts w:ascii="Times New Roman" w:hAnsi="Times New Roman" w:cs="Times New Roman"/>
          <w:sz w:val="24"/>
        </w:rPr>
        <w:t>отенциальных приобретателей с предложением заключить Предварительные договоры.</w:t>
      </w:r>
    </w:p>
    <w:p w14:paraId="30FCE1EB" w14:textId="003F412A" w:rsidR="0003725D" w:rsidRPr="005C53F5" w:rsidRDefault="0003725D" w:rsidP="00057BE5">
      <w:pPr>
        <w:pStyle w:val="ConsPlusNormal"/>
        <w:ind w:firstLine="709"/>
        <w:jc w:val="both"/>
        <w:rPr>
          <w:rFonts w:ascii="Times New Roman" w:hAnsi="Times New Roman" w:cs="Times New Roman"/>
          <w:i/>
          <w:iCs/>
          <w:sz w:val="24"/>
        </w:rPr>
      </w:pPr>
      <w:r w:rsidRPr="005C53F5">
        <w:rPr>
          <w:rFonts w:ascii="Times New Roman" w:hAnsi="Times New Roman" w:cs="Times New Roman"/>
          <w:i/>
          <w:iCs/>
          <w:sz w:val="24"/>
        </w:rPr>
        <w:t xml:space="preserve">Порядок раскрытия информации о </w:t>
      </w:r>
      <w:r w:rsidR="007A658C" w:rsidRPr="005C53F5">
        <w:rPr>
          <w:rFonts w:ascii="Times New Roman" w:hAnsi="Times New Roman" w:cs="Times New Roman"/>
          <w:i/>
          <w:iCs/>
          <w:sz w:val="24"/>
        </w:rPr>
        <w:t>сроке для направления оферт от п</w:t>
      </w:r>
      <w:r w:rsidRPr="005C53F5">
        <w:rPr>
          <w:rFonts w:ascii="Times New Roman" w:hAnsi="Times New Roman" w:cs="Times New Roman"/>
          <w:i/>
          <w:iCs/>
          <w:sz w:val="24"/>
        </w:rPr>
        <w:t>отенциальных приобретателей с предложением заключить Предварительные договоры</w:t>
      </w:r>
    </w:p>
    <w:p w14:paraId="7073BD46" w14:textId="648FF492"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Даты начала и окончания </w:t>
      </w:r>
      <w:r w:rsidR="007A658C" w:rsidRPr="005C53F5">
        <w:rPr>
          <w:rFonts w:ascii="Times New Roman" w:hAnsi="Times New Roman" w:cs="Times New Roman"/>
          <w:sz w:val="24"/>
        </w:rPr>
        <w:t>срока для направления оферт от п</w:t>
      </w:r>
      <w:r w:rsidRPr="005C53F5">
        <w:rPr>
          <w:rFonts w:ascii="Times New Roman" w:hAnsi="Times New Roman" w:cs="Times New Roman"/>
          <w:sz w:val="24"/>
        </w:rPr>
        <w:t>отенциальных приобретателей с предложением заключить Предварительные договоры определяются решением уполномоченного органа Эмитента после принятия Банком России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w:t>
      </w:r>
      <w:r w:rsidR="00EA2D84" w:rsidRPr="005C53F5">
        <w:rPr>
          <w:rFonts w:ascii="Times New Roman" w:hAnsi="Times New Roman" w:cs="Times New Roman"/>
          <w:sz w:val="24"/>
        </w:rPr>
        <w:t xml:space="preserve"> </w:t>
      </w:r>
      <w:r w:rsidRPr="005C53F5">
        <w:rPr>
          <w:rFonts w:ascii="Times New Roman" w:hAnsi="Times New Roman" w:cs="Times New Roman"/>
          <w:sz w:val="24"/>
        </w:rPr>
        <w:t xml:space="preserve">и доводятся до сведения всех заинтересованных лиц путем публикации Эмитентом в Ленте новостей не позднее дня, следующего за днем принятия решения уполномоченного органа Эмитента об установлении даты начала и окончания срока для направления оферт, а также на </w:t>
      </w:r>
      <w:r w:rsidR="00E97436">
        <w:rPr>
          <w:rFonts w:ascii="Times New Roman" w:hAnsi="Times New Roman" w:cs="Times New Roman"/>
          <w:sz w:val="24"/>
        </w:rPr>
        <w:t>С</w:t>
      </w:r>
      <w:r w:rsidR="00E97436" w:rsidRPr="005C53F5">
        <w:rPr>
          <w:rFonts w:ascii="Times New Roman" w:hAnsi="Times New Roman" w:cs="Times New Roman"/>
          <w:sz w:val="24"/>
        </w:rPr>
        <w:t xml:space="preserve">транице </w:t>
      </w:r>
      <w:r w:rsidRPr="005C53F5">
        <w:rPr>
          <w:rFonts w:ascii="Times New Roman" w:hAnsi="Times New Roman" w:cs="Times New Roman"/>
          <w:sz w:val="24"/>
        </w:rPr>
        <w:t>в сети «Интернет» – не позднее 2 (двух) дней с даты принятия такого решения уполномоченным органом Эмитента. При этом публикация на Странице в сети Интернет осуществляется после публикации в Ленте новостей.</w:t>
      </w:r>
    </w:p>
    <w:p w14:paraId="23311C85" w14:textId="1AF4D015"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Указанная в предыдущем абзаце информация должна со</w:t>
      </w:r>
      <w:r w:rsidR="007A658C" w:rsidRPr="005C53F5">
        <w:rPr>
          <w:rFonts w:ascii="Times New Roman" w:hAnsi="Times New Roman" w:cs="Times New Roman"/>
          <w:sz w:val="24"/>
        </w:rPr>
        <w:t>держать в себе форму оферты от п</w:t>
      </w:r>
      <w:r w:rsidRPr="005C53F5">
        <w:rPr>
          <w:rFonts w:ascii="Times New Roman" w:hAnsi="Times New Roman" w:cs="Times New Roman"/>
          <w:sz w:val="24"/>
        </w:rPr>
        <w:t>отенциального приобретателя с предложением заключить Предварительный договор, а также порядок и срок направления оферты. В направляемых офертах с предложением зак</w:t>
      </w:r>
      <w:r w:rsidR="007A658C" w:rsidRPr="005C53F5">
        <w:rPr>
          <w:rFonts w:ascii="Times New Roman" w:hAnsi="Times New Roman" w:cs="Times New Roman"/>
          <w:sz w:val="24"/>
        </w:rPr>
        <w:t>лючить Предварительный договор п</w:t>
      </w:r>
      <w:r w:rsidRPr="005C53F5">
        <w:rPr>
          <w:rFonts w:ascii="Times New Roman" w:hAnsi="Times New Roman" w:cs="Times New Roman"/>
          <w:sz w:val="24"/>
        </w:rPr>
        <w:t>отенциальный приобретатель указывает максимальную сумму, на которую он готов купить Облигации, и минимальную ставку первого купона по Облигациям, при которой он готов приобрести Облигации на указанную максимальную сумму.</w:t>
      </w:r>
    </w:p>
    <w:p w14:paraId="2E1FD7FC" w14:textId="19060249"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Направляя оферту с предложением заклю</w:t>
      </w:r>
      <w:r w:rsidR="007A658C" w:rsidRPr="005C53F5">
        <w:rPr>
          <w:rFonts w:ascii="Times New Roman" w:hAnsi="Times New Roman" w:cs="Times New Roman"/>
          <w:sz w:val="24"/>
        </w:rPr>
        <w:t>чить Предварительный договор, п</w:t>
      </w:r>
      <w:r w:rsidRPr="005C53F5">
        <w:rPr>
          <w:rFonts w:ascii="Times New Roman" w:hAnsi="Times New Roman" w:cs="Times New Roman"/>
          <w:sz w:val="24"/>
        </w:rPr>
        <w:t>отенциальный приобретатель соглашается с тем, что она может быть отклонена, акцептована полность</w:t>
      </w:r>
      <w:r w:rsidR="007A658C" w:rsidRPr="005C53F5">
        <w:rPr>
          <w:rFonts w:ascii="Times New Roman" w:hAnsi="Times New Roman" w:cs="Times New Roman"/>
          <w:sz w:val="24"/>
        </w:rPr>
        <w:t>ю или частично. Прием оферт от п</w:t>
      </w:r>
      <w:r w:rsidRPr="005C53F5">
        <w:rPr>
          <w:rFonts w:ascii="Times New Roman" w:hAnsi="Times New Roman" w:cs="Times New Roman"/>
          <w:sz w:val="24"/>
        </w:rPr>
        <w:t xml:space="preserve">отенциальных приобретателей с предложением заключить Предварительный договор допускается только с даты раскрытия информации о </w:t>
      </w:r>
      <w:r w:rsidR="007A658C" w:rsidRPr="005C53F5">
        <w:rPr>
          <w:rFonts w:ascii="Times New Roman" w:hAnsi="Times New Roman" w:cs="Times New Roman"/>
          <w:sz w:val="24"/>
        </w:rPr>
        <w:t>сроке для направления оферт от п</w:t>
      </w:r>
      <w:r w:rsidRPr="005C53F5">
        <w:rPr>
          <w:rFonts w:ascii="Times New Roman" w:hAnsi="Times New Roman" w:cs="Times New Roman"/>
          <w:sz w:val="24"/>
        </w:rPr>
        <w:t>отенциальных приобретателей с предложением заключить Предварительные договоры в Ленте новостей.</w:t>
      </w:r>
    </w:p>
    <w:p w14:paraId="16ADA4D5" w14:textId="4EC8EDAD"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Первоначально установленная решением уполномоченного органа Эмитента дата окончания срока для напра</w:t>
      </w:r>
      <w:r w:rsidR="007A658C" w:rsidRPr="005C53F5">
        <w:rPr>
          <w:rFonts w:ascii="Times New Roman" w:hAnsi="Times New Roman" w:cs="Times New Roman"/>
          <w:sz w:val="24"/>
        </w:rPr>
        <w:t>вления оферт от п</w:t>
      </w:r>
      <w:r w:rsidRPr="005C53F5">
        <w:rPr>
          <w:rFonts w:ascii="Times New Roman" w:hAnsi="Times New Roman" w:cs="Times New Roman"/>
          <w:sz w:val="24"/>
        </w:rPr>
        <w:t xml:space="preserve">отенциальных приобретателей на заключение Предварительных договоров может быть изменена решением уполномоченного органа Эмитента. Информация об этом раскрывается в Ленте новостей не позднее дня, следующего за днем принятия решения уполномоченного органа Эмитента об изменении </w:t>
      </w:r>
      <w:r w:rsidR="007A658C" w:rsidRPr="005C53F5">
        <w:rPr>
          <w:rFonts w:ascii="Times New Roman" w:hAnsi="Times New Roman" w:cs="Times New Roman"/>
          <w:sz w:val="24"/>
        </w:rPr>
        <w:t>срока для направления оферт от п</w:t>
      </w:r>
      <w:r w:rsidRPr="005C53F5">
        <w:rPr>
          <w:rFonts w:ascii="Times New Roman" w:hAnsi="Times New Roman" w:cs="Times New Roman"/>
          <w:sz w:val="24"/>
        </w:rPr>
        <w:t xml:space="preserve">отенциальных приобретателей на заключение Предварительных договоров. Кроме того, указанная информация раскрывается на Странице в сети Интернет в течение двух дней с даты принятия решения уполномоченного органа Эмитента об изменении даты окончания </w:t>
      </w:r>
      <w:r w:rsidR="007A658C" w:rsidRPr="005C53F5">
        <w:rPr>
          <w:rFonts w:ascii="Times New Roman" w:hAnsi="Times New Roman" w:cs="Times New Roman"/>
          <w:sz w:val="24"/>
        </w:rPr>
        <w:t>срока для направления оферт от п</w:t>
      </w:r>
      <w:r w:rsidRPr="005C53F5">
        <w:rPr>
          <w:rFonts w:ascii="Times New Roman" w:hAnsi="Times New Roman" w:cs="Times New Roman"/>
          <w:sz w:val="24"/>
        </w:rPr>
        <w:t xml:space="preserve">отенциальных приобретателей с предложением заключить Предварительные договоры. При этом публикация на Странице в сети Интернет осуществляется после публикации в Ленте новостей. </w:t>
      </w:r>
    </w:p>
    <w:p w14:paraId="1E994165" w14:textId="2678AC53" w:rsidR="0003725D" w:rsidRPr="005C53F5" w:rsidRDefault="0003725D" w:rsidP="00057BE5">
      <w:pPr>
        <w:pStyle w:val="ConsPlusNormal"/>
        <w:ind w:firstLine="709"/>
        <w:jc w:val="both"/>
        <w:rPr>
          <w:rFonts w:ascii="Times New Roman" w:hAnsi="Times New Roman" w:cs="Times New Roman"/>
          <w:i/>
          <w:iCs/>
          <w:sz w:val="24"/>
        </w:rPr>
      </w:pPr>
      <w:r w:rsidRPr="005C53F5">
        <w:rPr>
          <w:rFonts w:ascii="Times New Roman" w:hAnsi="Times New Roman" w:cs="Times New Roman"/>
          <w:i/>
          <w:iCs/>
          <w:sz w:val="24"/>
        </w:rPr>
        <w:t>Порядок раскрытия информации о фактическом истечен</w:t>
      </w:r>
      <w:r w:rsidR="007A658C" w:rsidRPr="005C53F5">
        <w:rPr>
          <w:rFonts w:ascii="Times New Roman" w:hAnsi="Times New Roman" w:cs="Times New Roman"/>
          <w:i/>
          <w:iCs/>
          <w:sz w:val="24"/>
        </w:rPr>
        <w:t>ии срока для направления оферт п</w:t>
      </w:r>
      <w:r w:rsidRPr="005C53F5">
        <w:rPr>
          <w:rFonts w:ascii="Times New Roman" w:hAnsi="Times New Roman" w:cs="Times New Roman"/>
          <w:i/>
          <w:iCs/>
          <w:sz w:val="24"/>
        </w:rPr>
        <w:t>отенциальных приобретателей с предложением заключить Предварительный договор</w:t>
      </w:r>
    </w:p>
    <w:p w14:paraId="786E7423" w14:textId="52F2E681"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Информация о фактическом истечен</w:t>
      </w:r>
      <w:r w:rsidR="007A658C" w:rsidRPr="005C53F5">
        <w:rPr>
          <w:rFonts w:ascii="Times New Roman" w:hAnsi="Times New Roman" w:cs="Times New Roman"/>
          <w:sz w:val="24"/>
        </w:rPr>
        <w:t>ии срока для направления оферт п</w:t>
      </w:r>
      <w:r w:rsidRPr="005C53F5">
        <w:rPr>
          <w:rFonts w:ascii="Times New Roman" w:hAnsi="Times New Roman" w:cs="Times New Roman"/>
          <w:sz w:val="24"/>
        </w:rPr>
        <w:t>отенциальных приобретателей с предложением заключить Предварительный договор раскрывается не позднее чем за 1 (один) день до даты начала размещения Облигаций, с учетом следующих сроков: в Ленте новостей– не позднее дня, следующего за днем, в котором истекает срок для направления оферт с предложением заключить Предварительный договор, а на Странице в сети Интернет – не позднее 2 (двух) дней с даты, в которую истекает срок для направления оферт с предложением заключить Предварительный договор. При этом публикация на Странице в сети Интернет осуществляется после публикации в Ленте новостей.</w:t>
      </w:r>
    </w:p>
    <w:p w14:paraId="29C6ACBE" w14:textId="77777777" w:rsidR="00DE7186" w:rsidRDefault="00DE7186" w:rsidP="00057BE5">
      <w:pPr>
        <w:pStyle w:val="ConsPlusNormal"/>
        <w:ind w:firstLine="709"/>
        <w:jc w:val="both"/>
        <w:rPr>
          <w:rFonts w:ascii="Times New Roman" w:hAnsi="Times New Roman" w:cs="Times New Roman"/>
          <w:i/>
          <w:sz w:val="24"/>
        </w:rPr>
      </w:pPr>
    </w:p>
    <w:p w14:paraId="406A689D" w14:textId="16C8882F"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размещение ценных бумаг осуществляется эмитентом с привлечением брокеров, оказывающих эмитенту услуги по размещению и (или) по организации размещения ценных бумаг:</w:t>
      </w:r>
    </w:p>
    <w:p w14:paraId="4D3C194A" w14:textId="7FEFDECA"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Размещение Облигаций на территории Российской Федерации осуществляется Эмитентом с привлечением брокеров, оказывающих</w:t>
      </w:r>
      <w:r w:rsidR="006A17A0" w:rsidRPr="005C53F5">
        <w:rPr>
          <w:rFonts w:ascii="Times New Roman" w:hAnsi="Times New Roman" w:cs="Times New Roman"/>
          <w:sz w:val="24"/>
        </w:rPr>
        <w:t xml:space="preserve"> </w:t>
      </w:r>
      <w:r w:rsidRPr="005C53F5">
        <w:rPr>
          <w:rFonts w:ascii="Times New Roman" w:hAnsi="Times New Roman" w:cs="Times New Roman"/>
          <w:sz w:val="24"/>
        </w:rPr>
        <w:t>Эмитенту услуги по размещению и (или) по организации размещения Облигаций.</w:t>
      </w:r>
    </w:p>
    <w:p w14:paraId="122D7988" w14:textId="77777777" w:rsidR="00DE7186" w:rsidRDefault="00DE7186" w:rsidP="00057BE5">
      <w:pPr>
        <w:pStyle w:val="ConsPlusNormal"/>
        <w:ind w:firstLine="709"/>
        <w:jc w:val="both"/>
        <w:rPr>
          <w:rFonts w:ascii="Times New Roman" w:hAnsi="Times New Roman" w:cs="Times New Roman"/>
          <w:sz w:val="24"/>
        </w:rPr>
      </w:pPr>
    </w:p>
    <w:p w14:paraId="09835136" w14:textId="3010DE50"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В качестве </w:t>
      </w:r>
      <w:r w:rsidR="00E97436">
        <w:rPr>
          <w:rFonts w:ascii="Times New Roman" w:hAnsi="Times New Roman" w:cs="Times New Roman"/>
          <w:sz w:val="24"/>
        </w:rPr>
        <w:t>Организаторов</w:t>
      </w:r>
      <w:r w:rsidRPr="005C53F5">
        <w:rPr>
          <w:rFonts w:ascii="Times New Roman" w:hAnsi="Times New Roman" w:cs="Times New Roman"/>
          <w:sz w:val="24"/>
        </w:rPr>
        <w:t xml:space="preserve"> Эмитент привлекает следующих лиц:</w:t>
      </w:r>
    </w:p>
    <w:p w14:paraId="0DCF3CC5" w14:textId="77777777" w:rsidR="006941E6" w:rsidRPr="005C53F5" w:rsidRDefault="006941E6" w:rsidP="00057BE5">
      <w:pPr>
        <w:pStyle w:val="ConsPlusNormal"/>
        <w:ind w:firstLine="709"/>
        <w:jc w:val="both"/>
        <w:rPr>
          <w:rFonts w:ascii="Times New Roman" w:hAnsi="Times New Roman" w:cs="Times New Roman"/>
          <w:b/>
          <w:i/>
          <w:sz w:val="24"/>
        </w:rPr>
      </w:pPr>
      <w:r w:rsidRPr="005C53F5">
        <w:rPr>
          <w:rFonts w:ascii="Times New Roman" w:hAnsi="Times New Roman" w:cs="Times New Roman"/>
          <w:b/>
          <w:i/>
          <w:sz w:val="24"/>
        </w:rPr>
        <w:t>1. На территории Российской Федерации:</w:t>
      </w:r>
    </w:p>
    <w:p w14:paraId="625B0E52" w14:textId="77777777" w:rsidR="006941E6" w:rsidRPr="005C53F5" w:rsidRDefault="006941E6"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1) Полное фирменное наименование: </w:t>
      </w:r>
      <w:r w:rsidRPr="005C53F5">
        <w:rPr>
          <w:rFonts w:ascii="Times New Roman" w:hAnsi="Times New Roman" w:cs="Times New Roman"/>
          <w:sz w:val="24"/>
        </w:rPr>
        <w:t>Публичное акционерное общество РОСБАНК</w:t>
      </w:r>
    </w:p>
    <w:p w14:paraId="5A415CA8"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Сокращенное фирменное наименование:</w:t>
      </w:r>
      <w:r w:rsidRPr="005C53F5">
        <w:rPr>
          <w:rFonts w:ascii="Times New Roman" w:hAnsi="Times New Roman" w:cs="Times New Roman"/>
          <w:sz w:val="24"/>
        </w:rPr>
        <w:t xml:space="preserve"> ПАО РОСБАНК</w:t>
      </w:r>
    </w:p>
    <w:p w14:paraId="188C7ABE" w14:textId="77777777" w:rsidR="006941E6" w:rsidRPr="005C53F5" w:rsidRDefault="006941E6"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Идентификационный номер налогоплательщика: </w:t>
      </w:r>
      <w:r w:rsidRPr="005C53F5">
        <w:rPr>
          <w:rFonts w:ascii="Times New Roman" w:hAnsi="Times New Roman" w:cs="Times New Roman"/>
          <w:sz w:val="24"/>
        </w:rPr>
        <w:t>7730060164</w:t>
      </w:r>
    </w:p>
    <w:p w14:paraId="604D791A"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Основной государственный регистрационный номер (ОГРН): </w:t>
      </w:r>
      <w:r w:rsidRPr="005C53F5">
        <w:rPr>
          <w:rFonts w:ascii="Times New Roman" w:hAnsi="Times New Roman" w:cs="Times New Roman"/>
          <w:sz w:val="24"/>
        </w:rPr>
        <w:t>1027739460737</w:t>
      </w:r>
    </w:p>
    <w:p w14:paraId="172BCF7C"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Место нахождения: </w:t>
      </w:r>
      <w:r w:rsidRPr="005C53F5">
        <w:rPr>
          <w:rFonts w:ascii="Times New Roman" w:hAnsi="Times New Roman" w:cs="Times New Roman"/>
          <w:sz w:val="24"/>
        </w:rPr>
        <w:t>Российская Федерация, 107078, Москва, ул. Маши Порываевой, д. 34</w:t>
      </w:r>
    </w:p>
    <w:p w14:paraId="06C39740"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Адрес:</w:t>
      </w:r>
      <w:r w:rsidRPr="005C53F5">
        <w:rPr>
          <w:rFonts w:ascii="Times New Roman" w:hAnsi="Times New Roman" w:cs="Times New Roman"/>
          <w:sz w:val="24"/>
        </w:rPr>
        <w:t xml:space="preserve"> Российская Федерация, 107078, Москва, ул. Маши Порываевой, д. 34</w:t>
      </w:r>
    </w:p>
    <w:p w14:paraId="188E2581"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Номер лицензии на осуществление брокерской деятельности:</w:t>
      </w:r>
      <w:r w:rsidRPr="005C53F5">
        <w:rPr>
          <w:rFonts w:ascii="Times New Roman" w:hAnsi="Times New Roman" w:cs="Times New Roman"/>
          <w:sz w:val="24"/>
        </w:rPr>
        <w:t xml:space="preserve"> 177-05721-100000</w:t>
      </w:r>
    </w:p>
    <w:p w14:paraId="204182A2"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Дата выдачи лицензии на осуществление брокерской деятельности:</w:t>
      </w:r>
      <w:r w:rsidRPr="005C53F5">
        <w:rPr>
          <w:rFonts w:ascii="Times New Roman" w:hAnsi="Times New Roman" w:cs="Times New Roman"/>
          <w:sz w:val="24"/>
        </w:rPr>
        <w:t xml:space="preserve"> 06.11.2001</w:t>
      </w:r>
    </w:p>
    <w:p w14:paraId="0C3D403F" w14:textId="77777777" w:rsidR="006941E6" w:rsidRPr="005C53F5" w:rsidRDefault="006941E6"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Срок действия лицензии на осуществление брокерской деятельности:</w:t>
      </w:r>
      <w:r w:rsidRPr="005C53F5">
        <w:rPr>
          <w:rFonts w:ascii="Times New Roman" w:hAnsi="Times New Roman" w:cs="Times New Roman"/>
          <w:sz w:val="24"/>
        </w:rPr>
        <w:t xml:space="preserve"> без ограничения срока действия </w:t>
      </w:r>
    </w:p>
    <w:p w14:paraId="24D657A0"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Орган, выдавший лицензию на осуществление брокерской деятельности:</w:t>
      </w:r>
      <w:r w:rsidRPr="005C53F5">
        <w:rPr>
          <w:rFonts w:ascii="Times New Roman" w:hAnsi="Times New Roman" w:cs="Times New Roman"/>
          <w:sz w:val="24"/>
        </w:rPr>
        <w:t xml:space="preserve"> ФКЦБ России</w:t>
      </w:r>
    </w:p>
    <w:p w14:paraId="4DEC6B71" w14:textId="77777777" w:rsidR="006941E6" w:rsidRPr="005C53F5" w:rsidRDefault="006941E6" w:rsidP="00057BE5">
      <w:pPr>
        <w:pStyle w:val="ConsPlusNormal"/>
        <w:ind w:firstLine="709"/>
        <w:jc w:val="both"/>
        <w:rPr>
          <w:rFonts w:ascii="Times New Roman" w:hAnsi="Times New Roman" w:cs="Times New Roman"/>
          <w:i/>
          <w:sz w:val="24"/>
        </w:rPr>
      </w:pPr>
    </w:p>
    <w:p w14:paraId="01E2B17C" w14:textId="77777777" w:rsidR="006941E6" w:rsidRPr="005C53F5" w:rsidRDefault="006941E6"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2) Полное фирменное наименование: </w:t>
      </w:r>
      <w:r w:rsidRPr="005C53F5">
        <w:rPr>
          <w:rFonts w:ascii="Times New Roman" w:hAnsi="Times New Roman" w:cs="Times New Roman"/>
          <w:sz w:val="24"/>
        </w:rPr>
        <w:t>«Газпромбанк» (Акционерное общество)</w:t>
      </w:r>
    </w:p>
    <w:p w14:paraId="70BF96F2"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Сокращенное фирменное наименование:</w:t>
      </w:r>
      <w:r w:rsidRPr="005C53F5">
        <w:rPr>
          <w:rFonts w:ascii="Times New Roman" w:hAnsi="Times New Roman" w:cs="Times New Roman"/>
          <w:sz w:val="24"/>
        </w:rPr>
        <w:t xml:space="preserve"> Банк ГПБ (АО)</w:t>
      </w:r>
    </w:p>
    <w:p w14:paraId="010EA4E7" w14:textId="77777777" w:rsidR="006941E6" w:rsidRPr="005C53F5" w:rsidRDefault="006941E6"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Идентификационный номер налогоплательщика: </w:t>
      </w:r>
      <w:r w:rsidRPr="005C53F5">
        <w:rPr>
          <w:rFonts w:ascii="Times New Roman" w:hAnsi="Times New Roman" w:cs="Times New Roman"/>
          <w:sz w:val="24"/>
        </w:rPr>
        <w:t>7744001497</w:t>
      </w:r>
    </w:p>
    <w:p w14:paraId="29D8D403"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Основной государственный регистрационный номер (ОГРН): </w:t>
      </w:r>
      <w:r w:rsidRPr="005C53F5">
        <w:rPr>
          <w:rFonts w:ascii="Times New Roman" w:hAnsi="Times New Roman" w:cs="Times New Roman"/>
          <w:sz w:val="24"/>
        </w:rPr>
        <w:t>1027700167110</w:t>
      </w:r>
    </w:p>
    <w:p w14:paraId="7E4A435D"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Место нахождения:</w:t>
      </w:r>
      <w:r w:rsidRPr="005C53F5">
        <w:rPr>
          <w:rFonts w:ascii="Times New Roman" w:hAnsi="Times New Roman" w:cs="Times New Roman"/>
          <w:sz w:val="24"/>
        </w:rPr>
        <w:t xml:space="preserve"> г. Москва</w:t>
      </w:r>
    </w:p>
    <w:p w14:paraId="02074F0C"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Адрес:</w:t>
      </w:r>
      <w:r w:rsidRPr="005C53F5">
        <w:rPr>
          <w:rFonts w:ascii="Times New Roman" w:hAnsi="Times New Roman" w:cs="Times New Roman"/>
          <w:sz w:val="24"/>
        </w:rPr>
        <w:t xml:space="preserve"> Российская Федерация, 117420, г. Москва, ул. Наметкина, дом 16, корпус 1</w:t>
      </w:r>
    </w:p>
    <w:p w14:paraId="6D702BCA"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Номер лицензии на осуществление брокерской деятельности:</w:t>
      </w:r>
      <w:r w:rsidRPr="005C53F5">
        <w:rPr>
          <w:rFonts w:ascii="Times New Roman" w:hAnsi="Times New Roman" w:cs="Times New Roman"/>
          <w:sz w:val="24"/>
        </w:rPr>
        <w:t xml:space="preserve"> 177-04229-100000 </w:t>
      </w:r>
    </w:p>
    <w:p w14:paraId="034CD994"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Дата выдачи лицензии на осуществление брокерской деятельности:</w:t>
      </w:r>
      <w:r w:rsidRPr="005C53F5">
        <w:rPr>
          <w:rFonts w:ascii="Times New Roman" w:hAnsi="Times New Roman" w:cs="Times New Roman"/>
          <w:sz w:val="24"/>
        </w:rPr>
        <w:t xml:space="preserve"> 27.12.2000 </w:t>
      </w:r>
    </w:p>
    <w:p w14:paraId="3643AA41" w14:textId="77777777" w:rsidR="006941E6" w:rsidRPr="005C53F5" w:rsidRDefault="006941E6"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Срок действия лицензии на осуществление брокерской деятельности:</w:t>
      </w:r>
      <w:r w:rsidRPr="005C53F5">
        <w:rPr>
          <w:rFonts w:ascii="Times New Roman" w:hAnsi="Times New Roman" w:cs="Times New Roman"/>
          <w:sz w:val="24"/>
        </w:rPr>
        <w:t xml:space="preserve"> без ограничения срока действия </w:t>
      </w:r>
    </w:p>
    <w:p w14:paraId="5CE74EE3"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Орган, выдавший лицензию на осуществление брокерской деятельности:</w:t>
      </w:r>
      <w:r w:rsidRPr="005C53F5">
        <w:rPr>
          <w:rFonts w:ascii="Times New Roman" w:hAnsi="Times New Roman" w:cs="Times New Roman"/>
          <w:sz w:val="24"/>
        </w:rPr>
        <w:t xml:space="preserve"> ФКЦБ России</w:t>
      </w:r>
    </w:p>
    <w:p w14:paraId="30CA520D" w14:textId="77777777" w:rsidR="006941E6" w:rsidRPr="005C53F5" w:rsidRDefault="006941E6" w:rsidP="00057BE5">
      <w:pPr>
        <w:pStyle w:val="ConsPlusNormal"/>
        <w:jc w:val="both"/>
        <w:rPr>
          <w:rFonts w:ascii="Times New Roman" w:hAnsi="Times New Roman" w:cs="Times New Roman"/>
          <w:sz w:val="24"/>
        </w:rPr>
      </w:pPr>
    </w:p>
    <w:p w14:paraId="5CBA92AA" w14:textId="77777777" w:rsidR="006941E6" w:rsidRPr="005C53F5" w:rsidRDefault="006941E6"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3) Полное фирменное наименование: </w:t>
      </w:r>
      <w:r w:rsidRPr="005C53F5">
        <w:rPr>
          <w:rFonts w:ascii="Times New Roman" w:hAnsi="Times New Roman" w:cs="Times New Roman"/>
          <w:sz w:val="24"/>
        </w:rPr>
        <w:t>«МОСКОВСКИЙ КРЕДИТНЫЙ БАНК» (публичное акционерное общество)</w:t>
      </w:r>
    </w:p>
    <w:p w14:paraId="7C996AB5"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Сокращенное фирменное наименование: </w:t>
      </w:r>
      <w:r w:rsidRPr="005C53F5">
        <w:rPr>
          <w:rFonts w:ascii="Times New Roman" w:hAnsi="Times New Roman" w:cs="Times New Roman"/>
          <w:sz w:val="24"/>
        </w:rPr>
        <w:t>ПАО «МОСКОВСКИЙ КРЕДИТНЫЙ БАНК»</w:t>
      </w:r>
    </w:p>
    <w:p w14:paraId="249F91A0" w14:textId="77777777" w:rsidR="006941E6" w:rsidRPr="005C53F5" w:rsidRDefault="006941E6"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Идентификационный номер налогоплательщика: </w:t>
      </w:r>
      <w:r w:rsidRPr="005C53F5">
        <w:rPr>
          <w:rFonts w:ascii="Times New Roman" w:hAnsi="Times New Roman" w:cs="Times New Roman"/>
          <w:sz w:val="24"/>
        </w:rPr>
        <w:t>7734202860</w:t>
      </w:r>
    </w:p>
    <w:p w14:paraId="18A261F2"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Основной государственный регистрационный номер (ОГРН): </w:t>
      </w:r>
      <w:r w:rsidRPr="005C53F5">
        <w:rPr>
          <w:rFonts w:ascii="Times New Roman" w:hAnsi="Times New Roman" w:cs="Times New Roman"/>
          <w:sz w:val="24"/>
        </w:rPr>
        <w:t>1027739555282</w:t>
      </w:r>
    </w:p>
    <w:p w14:paraId="28944AF2"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Место нахождения:</w:t>
      </w:r>
      <w:r w:rsidRPr="005C53F5">
        <w:rPr>
          <w:rFonts w:ascii="Times New Roman" w:hAnsi="Times New Roman" w:cs="Times New Roman"/>
          <w:sz w:val="24"/>
        </w:rPr>
        <w:t xml:space="preserve"> г. Москва</w:t>
      </w:r>
    </w:p>
    <w:p w14:paraId="5C0BEB12"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Адрес:</w:t>
      </w:r>
      <w:r w:rsidRPr="005C53F5">
        <w:rPr>
          <w:rFonts w:ascii="Times New Roman" w:hAnsi="Times New Roman" w:cs="Times New Roman"/>
          <w:sz w:val="24"/>
        </w:rPr>
        <w:t xml:space="preserve"> Российская Федерация, 107045, г. Москва, Луков переулок, д. 2, стр. 1</w:t>
      </w:r>
    </w:p>
    <w:p w14:paraId="5046047A"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Номер лицензии на осуществление брокерской деятельности: </w:t>
      </w:r>
      <w:r w:rsidRPr="005C53F5">
        <w:rPr>
          <w:rFonts w:ascii="Times New Roman" w:hAnsi="Times New Roman" w:cs="Times New Roman"/>
          <w:sz w:val="24"/>
        </w:rPr>
        <w:t>045-03476-100000</w:t>
      </w:r>
    </w:p>
    <w:p w14:paraId="2926AE96"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Дата выдачи лицензии на осуществление брокерской деятельности: </w:t>
      </w:r>
      <w:r w:rsidRPr="005C53F5">
        <w:rPr>
          <w:rFonts w:ascii="Times New Roman" w:hAnsi="Times New Roman" w:cs="Times New Roman"/>
          <w:sz w:val="24"/>
        </w:rPr>
        <w:t>07.12.2000</w:t>
      </w:r>
    </w:p>
    <w:p w14:paraId="4C048A68" w14:textId="77777777" w:rsidR="006941E6" w:rsidRPr="005C53F5" w:rsidRDefault="006941E6"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Срок действия лицензии на осуществление брокерской деятельности:</w:t>
      </w:r>
      <w:r w:rsidRPr="005C53F5">
        <w:rPr>
          <w:rFonts w:ascii="Times New Roman" w:hAnsi="Times New Roman" w:cs="Times New Roman"/>
          <w:sz w:val="24"/>
        </w:rPr>
        <w:t xml:space="preserve"> без ограничения срока действия </w:t>
      </w:r>
    </w:p>
    <w:p w14:paraId="653E906B"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Орган, выдавший лицензию на осуществление брокерской деятельности:</w:t>
      </w:r>
      <w:r w:rsidRPr="005C53F5">
        <w:rPr>
          <w:rFonts w:ascii="Times New Roman" w:hAnsi="Times New Roman" w:cs="Times New Roman"/>
          <w:sz w:val="24"/>
        </w:rPr>
        <w:t xml:space="preserve"> ФКЦБ России</w:t>
      </w:r>
    </w:p>
    <w:p w14:paraId="2C375481" w14:textId="77777777" w:rsidR="006941E6" w:rsidRPr="005C53F5" w:rsidRDefault="006941E6" w:rsidP="00057BE5">
      <w:pPr>
        <w:pStyle w:val="ConsPlusNormal"/>
        <w:ind w:firstLine="709"/>
        <w:jc w:val="both"/>
        <w:rPr>
          <w:rFonts w:ascii="Times New Roman" w:hAnsi="Times New Roman" w:cs="Times New Roman"/>
          <w:i/>
          <w:sz w:val="24"/>
        </w:rPr>
      </w:pPr>
    </w:p>
    <w:p w14:paraId="03124DC9" w14:textId="77777777" w:rsidR="00DE7186" w:rsidRDefault="00DE7186" w:rsidP="00057BE5">
      <w:pPr>
        <w:pStyle w:val="ConsPlusNormal"/>
        <w:ind w:firstLine="709"/>
        <w:jc w:val="both"/>
        <w:rPr>
          <w:rFonts w:ascii="Times New Roman" w:hAnsi="Times New Roman" w:cs="Times New Roman"/>
          <w:b/>
          <w:i/>
          <w:sz w:val="24"/>
        </w:rPr>
      </w:pPr>
    </w:p>
    <w:p w14:paraId="003CAE5F" w14:textId="6839B777" w:rsidR="00DE7186" w:rsidRDefault="00DE7186" w:rsidP="00057BE5">
      <w:pPr>
        <w:pStyle w:val="ConsPlusNormal"/>
        <w:ind w:firstLine="709"/>
        <w:jc w:val="both"/>
        <w:rPr>
          <w:rFonts w:ascii="Times New Roman" w:hAnsi="Times New Roman" w:cs="Times New Roman"/>
          <w:b/>
          <w:i/>
          <w:sz w:val="24"/>
        </w:rPr>
      </w:pPr>
    </w:p>
    <w:p w14:paraId="094051EF" w14:textId="4AF6F89C" w:rsidR="00DE7186" w:rsidRDefault="00DE7186" w:rsidP="00057BE5">
      <w:pPr>
        <w:pStyle w:val="ConsPlusNormal"/>
        <w:ind w:firstLine="709"/>
        <w:jc w:val="both"/>
        <w:rPr>
          <w:rFonts w:ascii="Times New Roman" w:hAnsi="Times New Roman" w:cs="Times New Roman"/>
          <w:b/>
          <w:i/>
          <w:sz w:val="24"/>
        </w:rPr>
      </w:pPr>
    </w:p>
    <w:p w14:paraId="7FAC5D12" w14:textId="77777777" w:rsidR="00DE7186" w:rsidRDefault="00DE7186" w:rsidP="00057BE5">
      <w:pPr>
        <w:pStyle w:val="ConsPlusNormal"/>
        <w:ind w:firstLine="709"/>
        <w:jc w:val="both"/>
        <w:rPr>
          <w:rFonts w:ascii="Times New Roman" w:hAnsi="Times New Roman" w:cs="Times New Roman"/>
          <w:b/>
          <w:i/>
          <w:sz w:val="24"/>
        </w:rPr>
      </w:pPr>
    </w:p>
    <w:p w14:paraId="61B1A776" w14:textId="5B1CF054" w:rsidR="006941E6" w:rsidRPr="005C53F5" w:rsidRDefault="006941E6" w:rsidP="00057BE5">
      <w:pPr>
        <w:pStyle w:val="ConsPlusNormal"/>
        <w:ind w:firstLine="709"/>
        <w:jc w:val="both"/>
        <w:rPr>
          <w:rFonts w:ascii="Times New Roman" w:hAnsi="Times New Roman" w:cs="Times New Roman"/>
          <w:b/>
          <w:i/>
          <w:sz w:val="24"/>
        </w:rPr>
      </w:pPr>
      <w:r w:rsidRPr="005C53F5">
        <w:rPr>
          <w:rFonts w:ascii="Times New Roman" w:hAnsi="Times New Roman" w:cs="Times New Roman"/>
          <w:b/>
          <w:i/>
          <w:sz w:val="24"/>
        </w:rPr>
        <w:t>2. На территории Республики Казахстан:</w:t>
      </w:r>
    </w:p>
    <w:p w14:paraId="77724875" w14:textId="77777777" w:rsidR="006941E6" w:rsidRPr="005C53F5" w:rsidRDefault="006941E6"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Полное фирменное наименование: </w:t>
      </w:r>
      <w:r w:rsidRPr="005C53F5">
        <w:rPr>
          <w:rFonts w:ascii="Times New Roman" w:hAnsi="Times New Roman" w:cs="Times New Roman"/>
          <w:sz w:val="24"/>
        </w:rPr>
        <w:t>Акционерное общество «First Heartland Securities»</w:t>
      </w:r>
    </w:p>
    <w:p w14:paraId="7652B499"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Сокращенное фирменное наименование:</w:t>
      </w:r>
      <w:r w:rsidRPr="005C53F5">
        <w:rPr>
          <w:rFonts w:ascii="Times New Roman" w:hAnsi="Times New Roman" w:cs="Times New Roman"/>
          <w:sz w:val="24"/>
        </w:rPr>
        <w:t xml:space="preserve"> АО «First Heartland Securities»</w:t>
      </w:r>
    </w:p>
    <w:p w14:paraId="5DE75AC6" w14:textId="77777777" w:rsidR="006941E6" w:rsidRPr="005C53F5" w:rsidRDefault="006941E6"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Бизнес-идентификационный номер: </w:t>
      </w:r>
      <w:r w:rsidRPr="005C53F5">
        <w:rPr>
          <w:rFonts w:ascii="Times New Roman" w:hAnsi="Times New Roman" w:cs="Times New Roman"/>
          <w:sz w:val="24"/>
        </w:rPr>
        <w:t>080 340 017 099</w:t>
      </w:r>
    </w:p>
    <w:p w14:paraId="0F924E40"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Адрес:</w:t>
      </w:r>
      <w:r w:rsidRPr="005C53F5">
        <w:rPr>
          <w:rFonts w:ascii="Times New Roman" w:hAnsi="Times New Roman" w:cs="Times New Roman"/>
          <w:sz w:val="24"/>
        </w:rPr>
        <w:t xml:space="preserve"> Республика Казахстан, 050059, г. Алматы, пр. Назарбаева, 242</w:t>
      </w:r>
    </w:p>
    <w:p w14:paraId="7AD0AB70"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Номер лицензии на осуществление деятельности на рынке ценных бумаг:</w:t>
      </w:r>
      <w:r w:rsidRPr="005C53F5">
        <w:rPr>
          <w:rFonts w:ascii="Times New Roman" w:hAnsi="Times New Roman" w:cs="Times New Roman"/>
          <w:sz w:val="24"/>
        </w:rPr>
        <w:t xml:space="preserve"> 3.1.1.224</w:t>
      </w:r>
    </w:p>
    <w:p w14:paraId="324DDEC0" w14:textId="77777777" w:rsidR="006941E6"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Дата выдачи лицензии на осуществление брокерской деятельности:</w:t>
      </w:r>
      <w:r w:rsidRPr="005C53F5">
        <w:rPr>
          <w:rFonts w:ascii="Times New Roman" w:hAnsi="Times New Roman" w:cs="Times New Roman"/>
          <w:sz w:val="24"/>
        </w:rPr>
        <w:t xml:space="preserve"> 27.03.2018 </w:t>
      </w:r>
    </w:p>
    <w:p w14:paraId="68112CE4" w14:textId="5F5D1BAF" w:rsidR="00130294" w:rsidRPr="005C53F5" w:rsidRDefault="006941E6"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Орган, выдавший лицензию на осуществление брокерской деятельности:</w:t>
      </w:r>
      <w:r w:rsidRPr="005C53F5">
        <w:rPr>
          <w:rFonts w:ascii="Times New Roman" w:hAnsi="Times New Roman" w:cs="Times New Roman"/>
          <w:sz w:val="24"/>
        </w:rPr>
        <w:t xml:space="preserve"> Национальный Банк Республики Казахстан</w:t>
      </w:r>
    </w:p>
    <w:p w14:paraId="436C4299" w14:textId="77777777" w:rsidR="0003725D" w:rsidRPr="005C53F5" w:rsidRDefault="0003725D" w:rsidP="00057BE5">
      <w:pPr>
        <w:pStyle w:val="ConsPlusNormal"/>
        <w:jc w:val="both"/>
        <w:rPr>
          <w:rFonts w:ascii="Times New Roman" w:hAnsi="Times New Roman" w:cs="Times New Roman"/>
          <w:i/>
          <w:sz w:val="24"/>
        </w:rPr>
      </w:pPr>
    </w:p>
    <w:p w14:paraId="2B43B848"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Основные функции </w:t>
      </w:r>
      <w:r w:rsidRPr="005C53F5">
        <w:rPr>
          <w:rFonts w:ascii="Times New Roman" w:hAnsi="Times New Roman" w:cs="Times New Roman"/>
          <w:i/>
          <w:iCs/>
          <w:sz w:val="24"/>
        </w:rPr>
        <w:t>Организаторов</w:t>
      </w:r>
      <w:r w:rsidRPr="005C53F5">
        <w:rPr>
          <w:rFonts w:ascii="Times New Roman" w:hAnsi="Times New Roman" w:cs="Times New Roman"/>
          <w:i/>
          <w:sz w:val="24"/>
        </w:rPr>
        <w:t>:</w:t>
      </w:r>
    </w:p>
    <w:p w14:paraId="60016DAF"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Организаторы действуют на основании заключенного с Эмитентом договора. К основным функциям Организаторов относятся:</w:t>
      </w:r>
    </w:p>
    <w:p w14:paraId="31D9B003" w14:textId="77777777" w:rsidR="0003725D" w:rsidRPr="005C53F5" w:rsidRDefault="0003725D" w:rsidP="00057BE5">
      <w:pPr>
        <w:pStyle w:val="ConsPlusNormal"/>
        <w:numPr>
          <w:ilvl w:val="0"/>
          <w:numId w:val="29"/>
        </w:numPr>
        <w:jc w:val="both"/>
        <w:rPr>
          <w:rFonts w:ascii="Times New Roman" w:hAnsi="Times New Roman" w:cs="Times New Roman"/>
          <w:bCs/>
          <w:iCs/>
          <w:sz w:val="24"/>
        </w:rPr>
      </w:pPr>
      <w:r w:rsidRPr="005C53F5">
        <w:rPr>
          <w:rFonts w:ascii="Times New Roman" w:hAnsi="Times New Roman" w:cs="Times New Roman"/>
          <w:bCs/>
          <w:iCs/>
          <w:sz w:val="24"/>
        </w:rPr>
        <w:t>рекомендации по структуре и параметрам Выпуска, процедуре подготовки Выпуска и размещения Облигаций;</w:t>
      </w:r>
    </w:p>
    <w:p w14:paraId="074229FA" w14:textId="77777777" w:rsidR="0003725D" w:rsidRPr="005C53F5" w:rsidRDefault="0003725D" w:rsidP="00057BE5">
      <w:pPr>
        <w:pStyle w:val="ConsPlusNormal"/>
        <w:numPr>
          <w:ilvl w:val="0"/>
          <w:numId w:val="29"/>
        </w:numPr>
        <w:jc w:val="both"/>
        <w:rPr>
          <w:rFonts w:ascii="Times New Roman" w:hAnsi="Times New Roman" w:cs="Times New Roman"/>
          <w:bCs/>
          <w:iCs/>
          <w:sz w:val="24"/>
        </w:rPr>
      </w:pPr>
      <w:r w:rsidRPr="005C53F5">
        <w:rPr>
          <w:rFonts w:ascii="Times New Roman" w:hAnsi="Times New Roman" w:cs="Times New Roman"/>
          <w:bCs/>
          <w:iCs/>
          <w:sz w:val="24"/>
        </w:rPr>
        <w:t>подготовка проектов документации, необходимой для размещения и обращения Облигаций;</w:t>
      </w:r>
    </w:p>
    <w:p w14:paraId="105108DB" w14:textId="77777777" w:rsidR="0003725D" w:rsidRPr="005C53F5" w:rsidRDefault="0003725D" w:rsidP="00057BE5">
      <w:pPr>
        <w:pStyle w:val="ConsPlusNormal"/>
        <w:numPr>
          <w:ilvl w:val="0"/>
          <w:numId w:val="29"/>
        </w:numPr>
        <w:jc w:val="both"/>
        <w:rPr>
          <w:rFonts w:ascii="Times New Roman" w:hAnsi="Times New Roman" w:cs="Times New Roman"/>
          <w:bCs/>
          <w:iCs/>
          <w:sz w:val="24"/>
        </w:rPr>
      </w:pPr>
      <w:r w:rsidRPr="005C53F5">
        <w:rPr>
          <w:rFonts w:ascii="Times New Roman" w:hAnsi="Times New Roman" w:cs="Times New Roman"/>
          <w:bCs/>
          <w:iCs/>
          <w:sz w:val="24"/>
        </w:rPr>
        <w:t>подготовка, организация и проведение маркетинговых и презентационных мероприятий перед размещением Облигаций;</w:t>
      </w:r>
    </w:p>
    <w:p w14:paraId="0FCD7368" w14:textId="68E63424" w:rsidR="0003725D" w:rsidRPr="005C53F5" w:rsidRDefault="0003725D" w:rsidP="00057BE5">
      <w:pPr>
        <w:pStyle w:val="ConsPlusNormal"/>
        <w:numPr>
          <w:ilvl w:val="0"/>
          <w:numId w:val="29"/>
        </w:numPr>
        <w:jc w:val="both"/>
        <w:rPr>
          <w:rFonts w:ascii="Times New Roman" w:hAnsi="Times New Roman" w:cs="Times New Roman"/>
          <w:bCs/>
          <w:iCs/>
          <w:sz w:val="24"/>
        </w:rPr>
      </w:pPr>
      <w:r w:rsidRPr="005C53F5">
        <w:rPr>
          <w:rFonts w:ascii="Times New Roman" w:hAnsi="Times New Roman" w:cs="Times New Roman"/>
          <w:bCs/>
          <w:iCs/>
          <w:sz w:val="24"/>
        </w:rPr>
        <w:t>предоставление консультаций по вопросам, связанным с требованиями применимого законодательства, предъявляемыми к процедуре выпуска Облигаций, их размещения, обращения и погашения, в том числе предоставление консультаций при раскрытии информации на этапах процедуры эмиссии ценных бумаг и помощь в подготовке соответствующих информационных сообщений</w:t>
      </w:r>
      <w:r w:rsidR="00FB3EDA" w:rsidRPr="005C53F5">
        <w:rPr>
          <w:rFonts w:ascii="Times New Roman" w:hAnsi="Times New Roman" w:cs="Times New Roman"/>
          <w:bCs/>
          <w:iCs/>
          <w:sz w:val="24"/>
        </w:rPr>
        <w:t>.</w:t>
      </w:r>
    </w:p>
    <w:p w14:paraId="57D118F3"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Наличие у </w:t>
      </w:r>
      <w:r w:rsidRPr="005C53F5">
        <w:rPr>
          <w:rFonts w:ascii="Times New Roman" w:hAnsi="Times New Roman" w:cs="Times New Roman"/>
          <w:i/>
          <w:iCs/>
          <w:sz w:val="24"/>
        </w:rPr>
        <w:t>Организаторов</w:t>
      </w:r>
      <w:r w:rsidRPr="005C53F5">
        <w:rPr>
          <w:rFonts w:ascii="Times New Roman" w:hAnsi="Times New Roman" w:cs="Times New Roman"/>
          <w:i/>
          <w:sz w:val="24"/>
        </w:rPr>
        <w:t xml:space="preserve"> обязанностей по приобретению не размещенных в срок ценных бумаг, а при наличии такой обязанности - также количество (порядок определения количества) не размещенных в срок ценных бумаг, которое обязано приобрести указанное лицо, и срок (порядок определения срока), по истечении которого указанное лицо обязано приобрести такое количество ценных бумаг:</w:t>
      </w:r>
    </w:p>
    <w:p w14:paraId="0BB6F6A6"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Наличие у Организаторов обязанностей по приобретению не размещенных в срок ценных бумаг не предусмотрено.</w:t>
      </w:r>
    </w:p>
    <w:p w14:paraId="05210604"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Наличие у </w:t>
      </w:r>
      <w:r w:rsidRPr="005C53F5">
        <w:rPr>
          <w:rFonts w:ascii="Times New Roman" w:hAnsi="Times New Roman" w:cs="Times New Roman"/>
          <w:i/>
          <w:iCs/>
          <w:sz w:val="24"/>
        </w:rPr>
        <w:t>Организаторов</w:t>
      </w:r>
      <w:r w:rsidRPr="005C53F5">
        <w:rPr>
          <w:rFonts w:ascii="Times New Roman" w:hAnsi="Times New Roman" w:cs="Times New Roman"/>
          <w:i/>
          <w:sz w:val="24"/>
        </w:rPr>
        <w:t xml:space="preserve">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а при наличии такой обязанности - также срок (порядок определения срока), в течение которого указанное лицо обязано осуществлять стабилизацию или оказывать услуги маркет-мейкера:</w:t>
      </w:r>
    </w:p>
    <w:p w14:paraId="5EF07469"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Наличие у Организаторов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не предусмотрено.</w:t>
      </w:r>
    </w:p>
    <w:p w14:paraId="49AEB962"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Наличие у </w:t>
      </w:r>
      <w:r w:rsidRPr="005C53F5">
        <w:rPr>
          <w:rFonts w:ascii="Times New Roman" w:hAnsi="Times New Roman" w:cs="Times New Roman"/>
          <w:i/>
          <w:iCs/>
          <w:sz w:val="24"/>
        </w:rPr>
        <w:t>Организаторов</w:t>
      </w:r>
      <w:r w:rsidRPr="005C53F5">
        <w:rPr>
          <w:rFonts w:ascii="Times New Roman" w:hAnsi="Times New Roman" w:cs="Times New Roman"/>
          <w:i/>
          <w:sz w:val="24"/>
        </w:rPr>
        <w:t xml:space="preserve">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а при наличии такого права - дополнительное количество (порядок определения количества) ценных бумаг, которое может быть приобретено указанным лицом, и срок (порядок определения срока), в течение которого указанным лицом может быть реализовано право на приобретение дополнительного количества ценных бумаг:</w:t>
      </w:r>
    </w:p>
    <w:p w14:paraId="4F0ACB41"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Наличие у Организаторов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Облигации, которое может быть реализовано или не реализовано в зависимости от результатов размещения Облигаций, не предусмотрено.</w:t>
      </w:r>
    </w:p>
    <w:p w14:paraId="6C24509B"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Размер вознаграждения </w:t>
      </w:r>
      <w:r w:rsidRPr="005C53F5">
        <w:rPr>
          <w:rFonts w:ascii="Times New Roman" w:hAnsi="Times New Roman" w:cs="Times New Roman"/>
          <w:i/>
          <w:iCs/>
          <w:sz w:val="24"/>
        </w:rPr>
        <w:t>Организаторов</w:t>
      </w:r>
      <w:r w:rsidRPr="005C53F5">
        <w:rPr>
          <w:rFonts w:ascii="Times New Roman" w:hAnsi="Times New Roman" w:cs="Times New Roman"/>
          <w:i/>
          <w:sz w:val="24"/>
        </w:rPr>
        <w:t>, а если указанное вознаграждение (часть вознаграждения) выплачивается такому лицу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 также размер указанного вознаграждения:</w:t>
      </w:r>
    </w:p>
    <w:p w14:paraId="48353BE6"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Размер вознаграждения Организаторов в совокупности не превысит 1% (один процент) от номинальной стоимости Выпуска. Вознаграждение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не предусмотрено.</w:t>
      </w:r>
    </w:p>
    <w:p w14:paraId="3D47CE7B" w14:textId="77777777" w:rsidR="0003725D" w:rsidRPr="005C53F5" w:rsidRDefault="0003725D" w:rsidP="00057BE5">
      <w:pPr>
        <w:pStyle w:val="ConsPlusNormal"/>
        <w:ind w:firstLine="709"/>
        <w:jc w:val="both"/>
        <w:rPr>
          <w:rFonts w:ascii="Times New Roman" w:hAnsi="Times New Roman" w:cs="Times New Roman"/>
          <w:sz w:val="24"/>
        </w:rPr>
      </w:pPr>
    </w:p>
    <w:p w14:paraId="24DCDFAC" w14:textId="09A8A254"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В качестве </w:t>
      </w:r>
      <w:r w:rsidR="00E97436">
        <w:rPr>
          <w:rFonts w:ascii="Times New Roman" w:hAnsi="Times New Roman" w:cs="Times New Roman"/>
          <w:sz w:val="24"/>
        </w:rPr>
        <w:t>Агентов по размещению</w:t>
      </w:r>
      <w:r w:rsidRPr="005C53F5">
        <w:rPr>
          <w:rFonts w:ascii="Times New Roman" w:hAnsi="Times New Roman" w:cs="Times New Roman"/>
          <w:sz w:val="24"/>
        </w:rPr>
        <w:t xml:space="preserve"> Эмитент привлекает следующих лиц:</w:t>
      </w:r>
    </w:p>
    <w:p w14:paraId="487D9191" w14:textId="77777777" w:rsidR="00D610BC" w:rsidRPr="005C53F5" w:rsidRDefault="00D610BC" w:rsidP="00057BE5">
      <w:pPr>
        <w:pStyle w:val="ConsPlusNormal"/>
        <w:ind w:firstLine="709"/>
        <w:jc w:val="both"/>
        <w:rPr>
          <w:rFonts w:ascii="Times New Roman" w:hAnsi="Times New Roman" w:cs="Times New Roman"/>
          <w:b/>
          <w:i/>
          <w:sz w:val="24"/>
        </w:rPr>
      </w:pPr>
      <w:r w:rsidRPr="005C53F5">
        <w:rPr>
          <w:rFonts w:ascii="Times New Roman" w:hAnsi="Times New Roman" w:cs="Times New Roman"/>
          <w:b/>
          <w:i/>
          <w:sz w:val="24"/>
        </w:rPr>
        <w:t>1. На территории Российской Федерации:</w:t>
      </w:r>
    </w:p>
    <w:p w14:paraId="1446377A" w14:textId="77777777" w:rsidR="00D610BC" w:rsidRPr="005C53F5" w:rsidRDefault="00D610B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Полное фирменное наименование: </w:t>
      </w:r>
      <w:r w:rsidRPr="005C53F5">
        <w:rPr>
          <w:rFonts w:ascii="Times New Roman" w:hAnsi="Times New Roman" w:cs="Times New Roman"/>
          <w:sz w:val="24"/>
        </w:rPr>
        <w:t>Публичное акционерное общество РОСБАНК</w:t>
      </w:r>
    </w:p>
    <w:p w14:paraId="64CB07F4"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Сокращенное фирменное наименование: </w:t>
      </w:r>
      <w:r w:rsidRPr="005C53F5">
        <w:rPr>
          <w:rFonts w:ascii="Times New Roman" w:hAnsi="Times New Roman" w:cs="Times New Roman"/>
          <w:sz w:val="24"/>
        </w:rPr>
        <w:t>ПАО РОСБАНК</w:t>
      </w:r>
    </w:p>
    <w:p w14:paraId="5BFD042A" w14:textId="77777777" w:rsidR="00D610BC" w:rsidRPr="005C53F5" w:rsidRDefault="00D610B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Идентификационный номер налогоплательщика: </w:t>
      </w:r>
      <w:r w:rsidRPr="005C53F5">
        <w:rPr>
          <w:rFonts w:ascii="Times New Roman" w:hAnsi="Times New Roman" w:cs="Times New Roman"/>
          <w:sz w:val="24"/>
        </w:rPr>
        <w:t>7730060164</w:t>
      </w:r>
    </w:p>
    <w:p w14:paraId="1495A803"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Основной государственный регистрационный номер (ОГРН): </w:t>
      </w:r>
      <w:r w:rsidRPr="005C53F5">
        <w:rPr>
          <w:rFonts w:ascii="Times New Roman" w:hAnsi="Times New Roman" w:cs="Times New Roman"/>
          <w:sz w:val="24"/>
        </w:rPr>
        <w:t>1027739460737</w:t>
      </w:r>
    </w:p>
    <w:p w14:paraId="4C5B2C05"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Место нахождения: </w:t>
      </w:r>
      <w:r w:rsidRPr="005C53F5">
        <w:rPr>
          <w:rFonts w:ascii="Times New Roman" w:hAnsi="Times New Roman" w:cs="Times New Roman"/>
          <w:sz w:val="24"/>
        </w:rPr>
        <w:t>Российская Федерация, 107078, Москва, ул. Маши Порываевой, д. 34</w:t>
      </w:r>
    </w:p>
    <w:p w14:paraId="60B486BE"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Адрес:</w:t>
      </w:r>
      <w:r w:rsidRPr="005C53F5">
        <w:rPr>
          <w:rFonts w:ascii="Times New Roman" w:hAnsi="Times New Roman" w:cs="Times New Roman"/>
          <w:sz w:val="24"/>
        </w:rPr>
        <w:t xml:space="preserve"> Российская Федерация, 107078, Москва, ул. Маши Порываевой, д. 34</w:t>
      </w:r>
    </w:p>
    <w:p w14:paraId="08A21971"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Номер лицензии на осуществление брокерской деятельности: </w:t>
      </w:r>
      <w:r w:rsidRPr="005C53F5">
        <w:rPr>
          <w:rFonts w:ascii="Times New Roman" w:hAnsi="Times New Roman" w:cs="Times New Roman"/>
          <w:sz w:val="24"/>
        </w:rPr>
        <w:t>177-05721-100000</w:t>
      </w:r>
    </w:p>
    <w:p w14:paraId="4DB6C58A"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Дата выдачи лицензии на осуществление брокерской деятельности: </w:t>
      </w:r>
      <w:r w:rsidRPr="005C53F5">
        <w:rPr>
          <w:rFonts w:ascii="Times New Roman" w:hAnsi="Times New Roman" w:cs="Times New Roman"/>
          <w:sz w:val="24"/>
        </w:rPr>
        <w:t>06.11.2001</w:t>
      </w:r>
    </w:p>
    <w:p w14:paraId="77C50F87" w14:textId="77777777" w:rsidR="00D610BC" w:rsidRPr="005C53F5" w:rsidRDefault="00D610B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Срок действия лицензии на осуществление брокерской деятельности:</w:t>
      </w:r>
      <w:r w:rsidRPr="005C53F5">
        <w:rPr>
          <w:rFonts w:ascii="Times New Roman" w:hAnsi="Times New Roman" w:cs="Times New Roman"/>
          <w:sz w:val="24"/>
        </w:rPr>
        <w:t xml:space="preserve"> без ограничения срока действия </w:t>
      </w:r>
    </w:p>
    <w:p w14:paraId="5DF1AA6C"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Орган, выдавший лицензию на осуществление брокерской деятельности:</w:t>
      </w:r>
      <w:r w:rsidRPr="005C53F5">
        <w:rPr>
          <w:rFonts w:ascii="Times New Roman" w:hAnsi="Times New Roman" w:cs="Times New Roman"/>
          <w:sz w:val="24"/>
        </w:rPr>
        <w:t xml:space="preserve"> ФКЦБ России</w:t>
      </w:r>
    </w:p>
    <w:p w14:paraId="1B23DF28" w14:textId="77777777" w:rsidR="00D610BC" w:rsidRPr="005C53F5" w:rsidRDefault="00D610BC" w:rsidP="00057BE5">
      <w:pPr>
        <w:pStyle w:val="ConsPlusNormal"/>
        <w:ind w:firstLine="709"/>
        <w:jc w:val="both"/>
        <w:rPr>
          <w:rFonts w:ascii="Times New Roman" w:hAnsi="Times New Roman" w:cs="Times New Roman"/>
          <w:b/>
          <w:i/>
          <w:sz w:val="24"/>
        </w:rPr>
      </w:pPr>
    </w:p>
    <w:p w14:paraId="4A34C6EA" w14:textId="77777777" w:rsidR="00D610BC" w:rsidRPr="005C53F5" w:rsidRDefault="00D610BC" w:rsidP="00057BE5">
      <w:pPr>
        <w:pStyle w:val="ConsPlusNormal"/>
        <w:ind w:firstLine="709"/>
        <w:jc w:val="both"/>
        <w:rPr>
          <w:rFonts w:ascii="Times New Roman" w:hAnsi="Times New Roman" w:cs="Times New Roman"/>
          <w:b/>
          <w:i/>
          <w:sz w:val="24"/>
        </w:rPr>
      </w:pPr>
      <w:r w:rsidRPr="005C53F5">
        <w:rPr>
          <w:rFonts w:ascii="Times New Roman" w:hAnsi="Times New Roman" w:cs="Times New Roman"/>
          <w:b/>
          <w:i/>
          <w:sz w:val="24"/>
        </w:rPr>
        <w:t>2. На территории Республики Казахстан:</w:t>
      </w:r>
    </w:p>
    <w:p w14:paraId="65BFE07D" w14:textId="77777777" w:rsidR="00D610BC" w:rsidRPr="005C53F5" w:rsidRDefault="00D610B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Полное фирменное наименование: </w:t>
      </w:r>
      <w:r w:rsidRPr="005C53F5">
        <w:rPr>
          <w:rFonts w:ascii="Times New Roman" w:hAnsi="Times New Roman" w:cs="Times New Roman"/>
          <w:sz w:val="24"/>
        </w:rPr>
        <w:t>Акционерное общество «First Heartland Securities»</w:t>
      </w:r>
    </w:p>
    <w:p w14:paraId="0D140151"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Сокращенное фирменное наименование:</w:t>
      </w:r>
      <w:r w:rsidRPr="005C53F5">
        <w:rPr>
          <w:rFonts w:ascii="Times New Roman" w:hAnsi="Times New Roman" w:cs="Times New Roman"/>
          <w:sz w:val="24"/>
        </w:rPr>
        <w:t xml:space="preserve"> АО «First Heartland Securities»</w:t>
      </w:r>
    </w:p>
    <w:p w14:paraId="53833519" w14:textId="77777777" w:rsidR="00D610BC" w:rsidRPr="005C53F5" w:rsidRDefault="00D610B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Бизнес-идентификационный номер: </w:t>
      </w:r>
      <w:r w:rsidRPr="005C53F5">
        <w:rPr>
          <w:rFonts w:ascii="Times New Roman" w:hAnsi="Times New Roman" w:cs="Times New Roman"/>
          <w:sz w:val="24"/>
        </w:rPr>
        <w:t>080 340 017 099</w:t>
      </w:r>
    </w:p>
    <w:p w14:paraId="6B98F485"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Адрес:</w:t>
      </w:r>
      <w:r w:rsidRPr="005C53F5">
        <w:rPr>
          <w:rFonts w:ascii="Times New Roman" w:hAnsi="Times New Roman" w:cs="Times New Roman"/>
          <w:sz w:val="24"/>
        </w:rPr>
        <w:t xml:space="preserve"> Республика Казахстан, 050059, г. Алматы, пр. Назарбаева, 242</w:t>
      </w:r>
    </w:p>
    <w:p w14:paraId="65E9767E"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Номер лицензии на осуществление деятельности на рынке ценных бумаг:</w:t>
      </w:r>
      <w:r w:rsidRPr="005C53F5">
        <w:rPr>
          <w:rFonts w:ascii="Times New Roman" w:hAnsi="Times New Roman" w:cs="Times New Roman"/>
          <w:sz w:val="24"/>
        </w:rPr>
        <w:t xml:space="preserve"> 3.1.1.224</w:t>
      </w:r>
    </w:p>
    <w:p w14:paraId="4873BA6E"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Дата выдачи лицензии на осуществление брокерской деятельности:</w:t>
      </w:r>
      <w:r w:rsidRPr="005C53F5">
        <w:rPr>
          <w:rFonts w:ascii="Times New Roman" w:hAnsi="Times New Roman" w:cs="Times New Roman"/>
          <w:sz w:val="24"/>
        </w:rPr>
        <w:t xml:space="preserve"> 27.03.2018 </w:t>
      </w:r>
    </w:p>
    <w:p w14:paraId="1AC3F511"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Орган, выдавший лицензию на осуществление брокерской деятельности:</w:t>
      </w:r>
      <w:r w:rsidRPr="005C53F5">
        <w:rPr>
          <w:rFonts w:ascii="Times New Roman" w:hAnsi="Times New Roman" w:cs="Times New Roman"/>
          <w:sz w:val="24"/>
        </w:rPr>
        <w:t xml:space="preserve"> Национальный Банк Республики Казахстан</w:t>
      </w:r>
    </w:p>
    <w:p w14:paraId="6A9D3E40" w14:textId="46F4C754" w:rsidR="00D610BC" w:rsidRDefault="00D610BC" w:rsidP="00057BE5">
      <w:pPr>
        <w:pStyle w:val="ConsPlusNormal"/>
        <w:ind w:firstLine="709"/>
        <w:jc w:val="both"/>
        <w:rPr>
          <w:rFonts w:ascii="Times New Roman" w:hAnsi="Times New Roman" w:cs="Times New Roman"/>
          <w:i/>
          <w:sz w:val="24"/>
        </w:rPr>
      </w:pPr>
    </w:p>
    <w:p w14:paraId="378FC9AB" w14:textId="77777777" w:rsidR="00DE7186" w:rsidRPr="005C53F5" w:rsidRDefault="00DE7186" w:rsidP="00057BE5">
      <w:pPr>
        <w:pStyle w:val="ConsPlusNormal"/>
        <w:ind w:firstLine="709"/>
        <w:jc w:val="both"/>
        <w:rPr>
          <w:rFonts w:ascii="Times New Roman" w:hAnsi="Times New Roman" w:cs="Times New Roman"/>
          <w:i/>
          <w:sz w:val="24"/>
        </w:rPr>
      </w:pPr>
    </w:p>
    <w:p w14:paraId="2D6A1C7B" w14:textId="77777777" w:rsidR="00D610BC" w:rsidRPr="005C53F5" w:rsidRDefault="00D610B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Основные функции </w:t>
      </w:r>
      <w:r w:rsidRPr="005C53F5">
        <w:rPr>
          <w:rFonts w:ascii="Times New Roman" w:hAnsi="Times New Roman" w:cs="Times New Roman"/>
          <w:i/>
          <w:iCs/>
          <w:sz w:val="24"/>
        </w:rPr>
        <w:t>Агентов по размещению</w:t>
      </w:r>
      <w:r w:rsidRPr="005C53F5">
        <w:rPr>
          <w:rFonts w:ascii="Times New Roman" w:hAnsi="Times New Roman" w:cs="Times New Roman"/>
          <w:i/>
          <w:sz w:val="24"/>
        </w:rPr>
        <w:t>:</w:t>
      </w:r>
    </w:p>
    <w:p w14:paraId="5AD35E7E"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Агенты по размещению действуют на основании заключенного с Эмитентом договора. К основным функциям Агентов по размещению относятся:</w:t>
      </w:r>
    </w:p>
    <w:p w14:paraId="79DCF05F" w14:textId="77777777" w:rsidR="00D610BC" w:rsidRPr="005C53F5" w:rsidRDefault="00D610BC" w:rsidP="00057BE5">
      <w:pPr>
        <w:pStyle w:val="ConsPlusNormal"/>
        <w:numPr>
          <w:ilvl w:val="0"/>
          <w:numId w:val="32"/>
        </w:numPr>
        <w:jc w:val="both"/>
        <w:rPr>
          <w:rFonts w:ascii="Times New Roman" w:hAnsi="Times New Roman" w:cs="Times New Roman"/>
          <w:bCs/>
          <w:iCs/>
          <w:sz w:val="24"/>
        </w:rPr>
      </w:pPr>
      <w:r w:rsidRPr="005C53F5">
        <w:rPr>
          <w:rFonts w:ascii="Times New Roman" w:hAnsi="Times New Roman" w:cs="Times New Roman"/>
          <w:bCs/>
          <w:iCs/>
          <w:sz w:val="24"/>
        </w:rPr>
        <w:t>удовлетворение заявок на покупку Облигаций по поручению и за счет Эмитента в соответствии с условиями договора и процедурой, установленной Проспектом ценных бумаг;</w:t>
      </w:r>
    </w:p>
    <w:p w14:paraId="2BFE5C3B" w14:textId="77777777" w:rsidR="00D610BC" w:rsidRPr="005C53F5" w:rsidRDefault="00D610BC" w:rsidP="00057BE5">
      <w:pPr>
        <w:pStyle w:val="ConsPlusNormal"/>
        <w:numPr>
          <w:ilvl w:val="0"/>
          <w:numId w:val="32"/>
        </w:numPr>
        <w:jc w:val="both"/>
        <w:rPr>
          <w:rFonts w:ascii="Times New Roman" w:hAnsi="Times New Roman" w:cs="Times New Roman"/>
          <w:bCs/>
          <w:iCs/>
          <w:sz w:val="24"/>
        </w:rPr>
      </w:pPr>
      <w:r w:rsidRPr="005C53F5">
        <w:rPr>
          <w:rFonts w:ascii="Times New Roman" w:hAnsi="Times New Roman" w:cs="Times New Roman"/>
          <w:bCs/>
          <w:iCs/>
          <w:sz w:val="24"/>
        </w:rPr>
        <w:t>информирование Эмитента о количестве фактически размещенных Облигаций, а также о размере полученных от продажи Облигаций денежных средств;</w:t>
      </w:r>
    </w:p>
    <w:p w14:paraId="582516AE" w14:textId="77777777" w:rsidR="00D610BC" w:rsidRPr="005C53F5" w:rsidRDefault="00D610BC" w:rsidP="00057BE5">
      <w:pPr>
        <w:pStyle w:val="ConsPlusNormal"/>
        <w:numPr>
          <w:ilvl w:val="0"/>
          <w:numId w:val="32"/>
        </w:numPr>
        <w:jc w:val="both"/>
        <w:rPr>
          <w:rFonts w:ascii="Times New Roman" w:hAnsi="Times New Roman" w:cs="Times New Roman"/>
          <w:bCs/>
          <w:iCs/>
          <w:sz w:val="24"/>
        </w:rPr>
      </w:pPr>
      <w:r w:rsidRPr="005C53F5">
        <w:rPr>
          <w:rFonts w:ascii="Times New Roman" w:hAnsi="Times New Roman" w:cs="Times New Roman"/>
          <w:bCs/>
          <w:iCs/>
          <w:sz w:val="24"/>
        </w:rPr>
        <w:t xml:space="preserve">перечисление денежных средств, получаемых </w:t>
      </w:r>
      <w:r w:rsidRPr="005C53F5">
        <w:rPr>
          <w:rFonts w:ascii="Times New Roman" w:hAnsi="Times New Roman" w:cs="Times New Roman"/>
          <w:sz w:val="24"/>
        </w:rPr>
        <w:t>Агентом по размещению</w:t>
      </w:r>
      <w:r w:rsidRPr="005C53F5">
        <w:rPr>
          <w:rFonts w:ascii="Times New Roman" w:hAnsi="Times New Roman" w:cs="Times New Roman"/>
          <w:bCs/>
          <w:iCs/>
          <w:sz w:val="24"/>
        </w:rPr>
        <w:t xml:space="preserve"> от приобретателей Облигаций в счет их оплаты, на расчетный счет Эмитента в соответствии с условиями заключенного договора;</w:t>
      </w:r>
    </w:p>
    <w:p w14:paraId="21E3E37C" w14:textId="77777777" w:rsidR="00D610BC" w:rsidRPr="005C53F5" w:rsidRDefault="00D610BC" w:rsidP="00057BE5">
      <w:pPr>
        <w:pStyle w:val="ConsPlusNormal"/>
        <w:numPr>
          <w:ilvl w:val="0"/>
          <w:numId w:val="32"/>
        </w:numPr>
        <w:jc w:val="both"/>
        <w:rPr>
          <w:rFonts w:ascii="Times New Roman" w:hAnsi="Times New Roman" w:cs="Times New Roman"/>
          <w:sz w:val="24"/>
        </w:rPr>
      </w:pPr>
      <w:r w:rsidRPr="005C53F5">
        <w:rPr>
          <w:rFonts w:ascii="Times New Roman" w:hAnsi="Times New Roman" w:cs="Times New Roman"/>
          <w:bCs/>
          <w:iCs/>
          <w:sz w:val="24"/>
        </w:rPr>
        <w:t>осуществление иных действий, необходимых для размещения Облигаций, в соответствии с примен</w:t>
      </w:r>
      <w:r w:rsidRPr="005C53F5">
        <w:rPr>
          <w:rFonts w:ascii="Times New Roman" w:hAnsi="Times New Roman" w:cs="Times New Roman"/>
          <w:sz w:val="24"/>
        </w:rPr>
        <w:t>имым законодательством и договором между Эмитентом и Агента по размещению.</w:t>
      </w:r>
    </w:p>
    <w:p w14:paraId="38CDD5EF" w14:textId="77777777" w:rsidR="00DE7186" w:rsidRDefault="00DE7186" w:rsidP="00057BE5">
      <w:pPr>
        <w:pStyle w:val="ConsPlusNormal"/>
        <w:ind w:firstLine="709"/>
        <w:jc w:val="both"/>
        <w:rPr>
          <w:rFonts w:ascii="Times New Roman" w:hAnsi="Times New Roman" w:cs="Times New Roman"/>
          <w:i/>
          <w:sz w:val="24"/>
        </w:rPr>
      </w:pPr>
    </w:p>
    <w:p w14:paraId="1FE66D07" w14:textId="77777777" w:rsidR="00DE7186" w:rsidRDefault="00DE7186" w:rsidP="00057BE5">
      <w:pPr>
        <w:pStyle w:val="ConsPlusNormal"/>
        <w:ind w:firstLine="709"/>
        <w:jc w:val="both"/>
        <w:rPr>
          <w:rFonts w:ascii="Times New Roman" w:hAnsi="Times New Roman" w:cs="Times New Roman"/>
          <w:i/>
          <w:sz w:val="24"/>
        </w:rPr>
      </w:pPr>
    </w:p>
    <w:p w14:paraId="3E9AD075" w14:textId="5AA25010" w:rsidR="00D610BC" w:rsidRPr="005C53F5" w:rsidRDefault="00D610B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Наличие у </w:t>
      </w:r>
      <w:r w:rsidRPr="005C53F5">
        <w:rPr>
          <w:rFonts w:ascii="Times New Roman" w:hAnsi="Times New Roman" w:cs="Times New Roman"/>
          <w:i/>
          <w:iCs/>
          <w:sz w:val="24"/>
        </w:rPr>
        <w:t>Агентов по размещению</w:t>
      </w:r>
      <w:r w:rsidRPr="005C53F5">
        <w:rPr>
          <w:rFonts w:ascii="Times New Roman" w:hAnsi="Times New Roman" w:cs="Times New Roman"/>
          <w:i/>
          <w:sz w:val="24"/>
        </w:rPr>
        <w:t xml:space="preserve"> обязанностей по приобретению не размещенных в срок ценных бумаг, а при наличии такой обязанности - также количество (порядок определения количества) не размещенных в срок ценных бумаг, которое обязано приобрести указанное лицо, и срок (порядок определения срока), по истечении которого указанное лицо обязано приобрести такое количество ценных бумаг:</w:t>
      </w:r>
    </w:p>
    <w:p w14:paraId="543BEC1F"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Наличие у Агентов по размещению обязанностей по приобретению не размещенных в срок ценных бумаг не предусмотрено.</w:t>
      </w:r>
    </w:p>
    <w:p w14:paraId="19DE5661" w14:textId="77777777" w:rsidR="00D610BC" w:rsidRPr="005C53F5" w:rsidRDefault="00D610B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Наличие у </w:t>
      </w:r>
      <w:r w:rsidRPr="005C53F5">
        <w:rPr>
          <w:rFonts w:ascii="Times New Roman" w:hAnsi="Times New Roman" w:cs="Times New Roman"/>
          <w:i/>
          <w:iCs/>
          <w:sz w:val="24"/>
        </w:rPr>
        <w:t xml:space="preserve">Агентов по размещению </w:t>
      </w:r>
      <w:r w:rsidRPr="005C53F5">
        <w:rPr>
          <w:rFonts w:ascii="Times New Roman" w:hAnsi="Times New Roman" w:cs="Times New Roman"/>
          <w:i/>
          <w:sz w:val="24"/>
        </w:rPr>
        <w:t>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а при наличии такой обязанности - также срок (порядок определения срока), в течение которого указанное лицо обязано осуществлять стабилизацию или оказывать услуги маркет-мейкера:</w:t>
      </w:r>
    </w:p>
    <w:p w14:paraId="01A4770C"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Наличие у Агентов по размещению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не предусмотрено.</w:t>
      </w:r>
    </w:p>
    <w:p w14:paraId="1D77B67E" w14:textId="77777777" w:rsidR="00D610BC" w:rsidRPr="005C53F5" w:rsidRDefault="00D610B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Наличие у </w:t>
      </w:r>
      <w:r w:rsidRPr="005C53F5">
        <w:rPr>
          <w:rFonts w:ascii="Times New Roman" w:hAnsi="Times New Roman" w:cs="Times New Roman"/>
          <w:i/>
          <w:iCs/>
          <w:sz w:val="24"/>
        </w:rPr>
        <w:t xml:space="preserve">Агентов по размещению </w:t>
      </w:r>
      <w:r w:rsidRPr="005C53F5">
        <w:rPr>
          <w:rFonts w:ascii="Times New Roman" w:hAnsi="Times New Roman" w:cs="Times New Roman"/>
          <w:i/>
          <w:sz w:val="24"/>
        </w:rPr>
        <w:t>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а при наличии такого права - дополнительное количество (порядок определения количества) ценных бумаг, которое может быть приобретено указанным лицом, и срок (порядок определения срока), в течение которого указанным лицом может быть реализовано право на приобретение дополнительного количества ценных бумаг:</w:t>
      </w:r>
    </w:p>
    <w:p w14:paraId="14A0BCEB" w14:textId="77777777" w:rsidR="00D610BC"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Наличие у Агентов по размещению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Облигации, которое может быть реализовано или не реализовано в зависимости от результатов размещения Облигаций, не предусмотрено.</w:t>
      </w:r>
    </w:p>
    <w:p w14:paraId="757C4ABD" w14:textId="77777777" w:rsidR="00D610BC" w:rsidRPr="005C53F5" w:rsidRDefault="00D610B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Размер вознаграждения </w:t>
      </w:r>
      <w:r w:rsidRPr="005C53F5">
        <w:rPr>
          <w:rFonts w:ascii="Times New Roman" w:hAnsi="Times New Roman" w:cs="Times New Roman"/>
          <w:i/>
          <w:iCs/>
          <w:sz w:val="24"/>
        </w:rPr>
        <w:t>Агентов по размещению</w:t>
      </w:r>
      <w:r w:rsidRPr="005C53F5">
        <w:rPr>
          <w:rFonts w:ascii="Times New Roman" w:hAnsi="Times New Roman" w:cs="Times New Roman"/>
          <w:i/>
          <w:sz w:val="24"/>
        </w:rPr>
        <w:t>, а если указанное вознаграждение (часть вознаграждения) выплачивается такому лицу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 также размер указанного вознаграждения:</w:t>
      </w:r>
    </w:p>
    <w:p w14:paraId="5995F3ED" w14:textId="1FF5371D" w:rsidR="0003725D" w:rsidRPr="005C53F5" w:rsidRDefault="00D610B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Размер вознаграждения Агентов по размещению в совокупности не превысит 1% (один процент) от номинальной стоимости Выпуска. Вознаграждение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не предусмотрено.</w:t>
      </w:r>
    </w:p>
    <w:p w14:paraId="68BB9FC4" w14:textId="77777777" w:rsidR="0003725D" w:rsidRPr="005C53F5" w:rsidRDefault="0003725D" w:rsidP="00057BE5">
      <w:pPr>
        <w:pStyle w:val="ConsPlusNormal"/>
        <w:jc w:val="both"/>
        <w:rPr>
          <w:rFonts w:ascii="Times New Roman" w:hAnsi="Times New Roman" w:cs="Times New Roman"/>
          <w:i/>
          <w:sz w:val="24"/>
        </w:rPr>
      </w:pPr>
    </w:p>
    <w:p w14:paraId="00ED05C9"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размещение ценных бумаг предполагается осуществлять за пределами Российской Федерации, в том числе посредством размещения соответствующих иностранных ценных бумаг:</w:t>
      </w:r>
    </w:p>
    <w:p w14:paraId="2003B2DC"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Размещение Облигаций предполагается осуществлять как на территории Российской Федерации, так и за пределами Российской Федерации.</w:t>
      </w:r>
    </w:p>
    <w:p w14:paraId="48F1564C"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Размещение Облигаций за пределами Российской Федерации предполагается осуществить на AIX.</w:t>
      </w:r>
    </w:p>
    <w:p w14:paraId="6D8885AC" w14:textId="043A3935"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Размещение Облигаций за пределами Российской Федерации</w:t>
      </w:r>
      <w:r w:rsidR="006A17A0" w:rsidRPr="005C53F5">
        <w:rPr>
          <w:rFonts w:ascii="Times New Roman" w:hAnsi="Times New Roman" w:cs="Times New Roman"/>
          <w:sz w:val="24"/>
        </w:rPr>
        <w:t xml:space="preserve"> </w:t>
      </w:r>
      <w:r w:rsidRPr="005C53F5">
        <w:rPr>
          <w:rFonts w:ascii="Times New Roman" w:hAnsi="Times New Roman" w:cs="Times New Roman"/>
          <w:sz w:val="24"/>
        </w:rPr>
        <w:t>не предполагается осуществлять посредством размещения соответствующих иностранных ценных бумаг.</w:t>
      </w:r>
    </w:p>
    <w:p w14:paraId="297D1AC3"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одновременно с размещением ценных бумаг планируется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w:t>
      </w:r>
    </w:p>
    <w:p w14:paraId="3F78674F"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Одновременно с размещением Облигаций не планируется предложить к приобретению ранее размещенные (находящиеся в обращении) ценные бумаги Эмитента того же вида, категории (типа).</w:t>
      </w:r>
    </w:p>
    <w:p w14:paraId="09200B95"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эмитент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является хозяйственным обществом, имеющим стратегическое значение для обеспечения обороны страны и безопасности государства:</w:t>
      </w:r>
    </w:p>
    <w:p w14:paraId="2D690A5A" w14:textId="77777777" w:rsidR="0003725D"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Эмитент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не является хозяйственным обществом, имеющим стратегическое значение для обеспечения обороны страны и безопасности государства.</w:t>
      </w:r>
    </w:p>
    <w:p w14:paraId="31BEF384" w14:textId="77777777" w:rsidR="0003725D" w:rsidRPr="005C53F5" w:rsidRDefault="0003725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если заключение договоров, направленных на отчуждение ценных бумаг эмитента, являющегося хозяйственным обществом, имеющим стратегическое значение для обеспечения обороны страны и безопасности государства, первым владельцам в ходе их размещения может потребовать принятия решения о предварительном согласовании указанных договоров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15061ECC" w14:textId="4B669F9C" w:rsidR="003A1D6B" w:rsidRPr="005C53F5" w:rsidRDefault="0003725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Заключение договоров, направленных на отчуждение Облигаций потенциальным приобретателям в ходе их размещения, не требует принятия решения о предварительном согласовании указанных договоров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296E253D" w14:textId="77777777" w:rsidR="00977FB3" w:rsidRDefault="00977FB3" w:rsidP="00057BE5">
      <w:pPr>
        <w:pStyle w:val="ConsPlusNormal"/>
        <w:ind w:firstLine="709"/>
        <w:jc w:val="both"/>
        <w:outlineLvl w:val="2"/>
        <w:rPr>
          <w:rFonts w:ascii="Times New Roman" w:hAnsi="Times New Roman" w:cs="Times New Roman"/>
          <w:b/>
          <w:sz w:val="24"/>
          <w:szCs w:val="24"/>
        </w:rPr>
      </w:pPr>
      <w:bookmarkStart w:id="476" w:name="_Toc39616403"/>
    </w:p>
    <w:p w14:paraId="0F93DFEB" w14:textId="5610D6EF" w:rsidR="00BF5F06" w:rsidRPr="005C53F5" w:rsidRDefault="00BF5F06" w:rsidP="00057BE5">
      <w:pPr>
        <w:pStyle w:val="ConsPlusNormal"/>
        <w:ind w:firstLine="709"/>
        <w:jc w:val="both"/>
        <w:outlineLvl w:val="2"/>
        <w:rPr>
          <w:rFonts w:ascii="Times New Roman" w:hAnsi="Times New Roman" w:cs="Times New Roman"/>
          <w:b/>
          <w:sz w:val="24"/>
          <w:szCs w:val="24"/>
        </w:rPr>
      </w:pPr>
      <w:r w:rsidRPr="005C53F5">
        <w:rPr>
          <w:rFonts w:ascii="Times New Roman" w:hAnsi="Times New Roman" w:cs="Times New Roman"/>
          <w:b/>
          <w:sz w:val="24"/>
          <w:szCs w:val="24"/>
        </w:rPr>
        <w:t>8.8.4. Цена (цены) или порядок определения цены размещения ценных бумаг</w:t>
      </w:r>
      <w:bookmarkEnd w:id="476"/>
    </w:p>
    <w:p w14:paraId="42F95507" w14:textId="115E2878" w:rsidR="00A16772" w:rsidRPr="005C53F5" w:rsidRDefault="00A16772" w:rsidP="00057BE5">
      <w:pPr>
        <w:pStyle w:val="ConsPlusNormal"/>
        <w:ind w:firstLine="709"/>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371EAED5" w14:textId="77777777" w:rsidR="000402E6" w:rsidRPr="005C53F5" w:rsidRDefault="000402E6"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Цена размещения Облигаций: 1 000 (одна тысяча) российских рублей за Облигацию, что соответствует 100% (ста процентам) от номинальной стоимости Облигации.</w:t>
      </w:r>
    </w:p>
    <w:p w14:paraId="7FCF734F" w14:textId="726DCC43" w:rsidR="003A1D6B" w:rsidRPr="005C53F5" w:rsidRDefault="000402E6"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Начиная со второго дня размещения Облигаций, покупатель при совершении сделки купли - продажи Облигаций также уплачивает накопленный купонный доход по Облигациям (далее также – «</w:t>
      </w:r>
      <w:r w:rsidRPr="005C53F5">
        <w:rPr>
          <w:rFonts w:ascii="Times New Roman" w:hAnsi="Times New Roman" w:cs="Times New Roman"/>
          <w:b/>
          <w:sz w:val="24"/>
        </w:rPr>
        <w:t>НКД</w:t>
      </w:r>
      <w:r w:rsidRPr="005C53F5">
        <w:rPr>
          <w:rFonts w:ascii="Times New Roman" w:hAnsi="Times New Roman" w:cs="Times New Roman"/>
          <w:sz w:val="24"/>
        </w:rPr>
        <w:t>»), определяемый по формуле, установленной</w:t>
      </w:r>
      <w:r w:rsidR="00BF082F" w:rsidRPr="005C53F5">
        <w:rPr>
          <w:rFonts w:ascii="Times New Roman" w:hAnsi="Times New Roman" w:cs="Times New Roman"/>
          <w:sz w:val="24"/>
        </w:rPr>
        <w:t xml:space="preserve"> в пу</w:t>
      </w:r>
      <w:r w:rsidRPr="005C53F5">
        <w:rPr>
          <w:rFonts w:ascii="Times New Roman" w:hAnsi="Times New Roman" w:cs="Times New Roman"/>
          <w:sz w:val="24"/>
        </w:rPr>
        <w:t xml:space="preserve">нкте </w:t>
      </w:r>
      <w:r w:rsidR="008D4884" w:rsidRPr="005C53F5">
        <w:rPr>
          <w:rFonts w:ascii="Times New Roman" w:hAnsi="Times New Roman" w:cs="Times New Roman"/>
          <w:sz w:val="24"/>
        </w:rPr>
        <w:t>8.19.2</w:t>
      </w:r>
      <w:r w:rsidRPr="005C53F5">
        <w:rPr>
          <w:rFonts w:ascii="Times New Roman" w:hAnsi="Times New Roman" w:cs="Times New Roman"/>
          <w:sz w:val="24"/>
        </w:rPr>
        <w:t xml:space="preserve"> </w:t>
      </w:r>
      <w:r w:rsidR="008D4884" w:rsidRPr="005C53F5">
        <w:rPr>
          <w:rFonts w:ascii="Times New Roman" w:hAnsi="Times New Roman" w:cs="Times New Roman"/>
          <w:sz w:val="24"/>
        </w:rPr>
        <w:t>Проспекта ценных бумаг.</w:t>
      </w:r>
    </w:p>
    <w:p w14:paraId="4C9468FE" w14:textId="77777777" w:rsidR="007666EA" w:rsidRDefault="007666EA" w:rsidP="00057BE5">
      <w:pPr>
        <w:pStyle w:val="ConsPlusNormal"/>
        <w:ind w:firstLine="709"/>
        <w:jc w:val="both"/>
        <w:outlineLvl w:val="2"/>
        <w:rPr>
          <w:rFonts w:ascii="Times New Roman" w:hAnsi="Times New Roman" w:cs="Times New Roman"/>
          <w:b/>
          <w:sz w:val="24"/>
          <w:szCs w:val="24"/>
        </w:rPr>
      </w:pPr>
      <w:bookmarkStart w:id="477" w:name="_Toc39616404"/>
      <w:bookmarkStart w:id="478" w:name="_Toc36145643"/>
    </w:p>
    <w:p w14:paraId="756EAABA" w14:textId="77777777" w:rsidR="007666EA" w:rsidRDefault="007666EA" w:rsidP="00057BE5">
      <w:pPr>
        <w:pStyle w:val="ConsPlusNormal"/>
        <w:ind w:firstLine="709"/>
        <w:jc w:val="both"/>
        <w:outlineLvl w:val="2"/>
        <w:rPr>
          <w:rFonts w:ascii="Times New Roman" w:hAnsi="Times New Roman" w:cs="Times New Roman"/>
          <w:b/>
          <w:sz w:val="24"/>
          <w:szCs w:val="24"/>
        </w:rPr>
      </w:pPr>
    </w:p>
    <w:p w14:paraId="3701ECCC" w14:textId="4CBFCED5" w:rsidR="00BF5F06" w:rsidRPr="005C53F5" w:rsidRDefault="00BF5F06" w:rsidP="00057BE5">
      <w:pPr>
        <w:pStyle w:val="ConsPlusNormal"/>
        <w:ind w:firstLine="709"/>
        <w:jc w:val="both"/>
        <w:outlineLvl w:val="2"/>
        <w:rPr>
          <w:rFonts w:ascii="Times New Roman" w:hAnsi="Times New Roman" w:cs="Times New Roman"/>
          <w:b/>
          <w:sz w:val="24"/>
          <w:szCs w:val="24"/>
        </w:rPr>
      </w:pPr>
      <w:r w:rsidRPr="005C53F5">
        <w:rPr>
          <w:rFonts w:ascii="Times New Roman" w:hAnsi="Times New Roman" w:cs="Times New Roman"/>
          <w:b/>
          <w:sz w:val="24"/>
          <w:szCs w:val="24"/>
        </w:rPr>
        <w:t>8.8.5. Порядок осуществления преимущественного права приобретения размещаемых ценных бумаг</w:t>
      </w:r>
      <w:bookmarkEnd w:id="477"/>
      <w:bookmarkEnd w:id="478"/>
    </w:p>
    <w:p w14:paraId="644346A7" w14:textId="37E71D44" w:rsidR="00A16772" w:rsidRPr="005C53F5" w:rsidRDefault="00A16772" w:rsidP="00057BE5">
      <w:pPr>
        <w:pStyle w:val="ConsPlusNormal"/>
        <w:ind w:firstLine="709"/>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63C4D336" w14:textId="659062F3" w:rsidR="003A1D6B" w:rsidRPr="005C53F5" w:rsidRDefault="00A16772" w:rsidP="00057BE5">
      <w:pPr>
        <w:pStyle w:val="ConsPlusNormal"/>
        <w:ind w:firstLine="709"/>
        <w:rPr>
          <w:rFonts w:ascii="Times New Roman" w:hAnsi="Times New Roman" w:cs="Times New Roman"/>
          <w:sz w:val="24"/>
        </w:rPr>
      </w:pPr>
      <w:r w:rsidRPr="005C53F5">
        <w:rPr>
          <w:rFonts w:ascii="Times New Roman" w:hAnsi="Times New Roman" w:cs="Times New Roman"/>
          <w:bCs/>
          <w:iCs/>
          <w:sz w:val="24"/>
        </w:rPr>
        <w:t>При размещении Облигаций преимущественное право приобретения Облигаций не предоставляется.</w:t>
      </w:r>
    </w:p>
    <w:p w14:paraId="443F36E6" w14:textId="77777777" w:rsidR="007666EA" w:rsidRDefault="007666EA" w:rsidP="00057BE5">
      <w:pPr>
        <w:pStyle w:val="ConsPlusNormal"/>
        <w:ind w:firstLine="709"/>
        <w:jc w:val="both"/>
        <w:outlineLvl w:val="2"/>
        <w:rPr>
          <w:rFonts w:ascii="Times New Roman" w:hAnsi="Times New Roman" w:cs="Times New Roman"/>
          <w:b/>
          <w:sz w:val="24"/>
          <w:szCs w:val="24"/>
        </w:rPr>
      </w:pPr>
      <w:bookmarkStart w:id="479" w:name="_Toc39616405"/>
      <w:bookmarkStart w:id="480" w:name="_Toc36145644"/>
    </w:p>
    <w:p w14:paraId="459AA97C" w14:textId="77777777" w:rsidR="007666EA" w:rsidRDefault="007666EA" w:rsidP="00057BE5">
      <w:pPr>
        <w:pStyle w:val="ConsPlusNormal"/>
        <w:ind w:firstLine="709"/>
        <w:jc w:val="both"/>
        <w:outlineLvl w:val="2"/>
        <w:rPr>
          <w:rFonts w:ascii="Times New Roman" w:hAnsi="Times New Roman" w:cs="Times New Roman"/>
          <w:b/>
          <w:sz w:val="24"/>
          <w:szCs w:val="24"/>
        </w:rPr>
      </w:pPr>
    </w:p>
    <w:p w14:paraId="5FE63150" w14:textId="590F9381" w:rsidR="00BF5F06" w:rsidRPr="005C53F5" w:rsidRDefault="00BF5F06" w:rsidP="00057BE5">
      <w:pPr>
        <w:pStyle w:val="ConsPlusNormal"/>
        <w:ind w:firstLine="709"/>
        <w:jc w:val="both"/>
        <w:outlineLvl w:val="2"/>
        <w:rPr>
          <w:rFonts w:ascii="Times New Roman" w:hAnsi="Times New Roman" w:cs="Times New Roman"/>
          <w:b/>
          <w:sz w:val="24"/>
          <w:szCs w:val="24"/>
        </w:rPr>
      </w:pPr>
      <w:r w:rsidRPr="005C53F5">
        <w:rPr>
          <w:rFonts w:ascii="Times New Roman" w:hAnsi="Times New Roman" w:cs="Times New Roman"/>
          <w:b/>
          <w:sz w:val="24"/>
          <w:szCs w:val="24"/>
        </w:rPr>
        <w:t>8.8.6. Условия и порядок оплаты ценных бумаг</w:t>
      </w:r>
      <w:bookmarkEnd w:id="479"/>
      <w:bookmarkEnd w:id="480"/>
    </w:p>
    <w:p w14:paraId="385A8921" w14:textId="5F598535" w:rsidR="00A16772" w:rsidRPr="005C53F5" w:rsidRDefault="00A16772" w:rsidP="00057BE5">
      <w:pPr>
        <w:pStyle w:val="ConsPlusNormal"/>
        <w:ind w:firstLine="709"/>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2C5A6236" w14:textId="77777777" w:rsidR="00A16772" w:rsidRPr="005C53F5" w:rsidRDefault="00A16772" w:rsidP="00057BE5">
      <w:pPr>
        <w:pStyle w:val="ConsPlusNormal"/>
        <w:ind w:firstLine="709"/>
        <w:jc w:val="both"/>
        <w:rPr>
          <w:rFonts w:ascii="Times New Roman" w:hAnsi="Times New Roman" w:cs="Times New Roman"/>
          <w:bCs/>
          <w:i/>
          <w:iCs/>
          <w:sz w:val="24"/>
        </w:rPr>
      </w:pPr>
      <w:r w:rsidRPr="005C53F5">
        <w:rPr>
          <w:rFonts w:ascii="Times New Roman" w:hAnsi="Times New Roman" w:cs="Times New Roman"/>
          <w:bCs/>
          <w:i/>
          <w:iCs/>
          <w:sz w:val="24"/>
        </w:rPr>
        <w:t>Способ оплаты размещаемых ценных бумаг (денежными средствами, денежными средствами, включая возможность оплаты размещаемых ценных бумаг путем зачета денежных требований, неденежными средствами):</w:t>
      </w:r>
    </w:p>
    <w:p w14:paraId="22768C6F" w14:textId="77777777" w:rsidR="00A16772" w:rsidRPr="005C53F5" w:rsidRDefault="00A16772"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Облигации оплачиваются денежными средствами.</w:t>
      </w:r>
    </w:p>
    <w:p w14:paraId="38F6377F" w14:textId="77777777" w:rsidR="00A16772" w:rsidRPr="005C53F5" w:rsidRDefault="00A16772" w:rsidP="00057BE5">
      <w:pPr>
        <w:pStyle w:val="ConsPlusNormal"/>
        <w:ind w:firstLine="709"/>
        <w:jc w:val="both"/>
        <w:rPr>
          <w:rFonts w:ascii="Times New Roman" w:hAnsi="Times New Roman" w:cs="Times New Roman"/>
          <w:bCs/>
          <w:i/>
          <w:iCs/>
          <w:sz w:val="24"/>
        </w:rPr>
      </w:pPr>
      <w:r w:rsidRPr="005C53F5">
        <w:rPr>
          <w:rFonts w:ascii="Times New Roman" w:hAnsi="Times New Roman" w:cs="Times New Roman"/>
          <w:bCs/>
          <w:i/>
          <w:iCs/>
          <w:sz w:val="24"/>
        </w:rPr>
        <w:t>В случае оплаты размещаемых ценных бумаг денежными средствами указываются: форма оплаты (наличная или безналичная), полное фирменное наименование кредитных организаций, их место нахождения, банковские реквизиты счетов эмитента, на которые должны перечисляться денежные средства, поступающие в оплату ценных бумаг, полное или сокращенное наименование получателя денежных средств и его идентификационный номер налогоплательщика, адреса пунктов оплаты (в случае наличной формы оплаты за ценные бумаги):</w:t>
      </w:r>
    </w:p>
    <w:p w14:paraId="58BBCD51" w14:textId="77777777" w:rsidR="00A16772" w:rsidRPr="005C53F5" w:rsidRDefault="00A16772"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Облигации оплачиваются в соответствии с правилами клиринга Клиринговой организации в денежной форме в безналичном порядке в валюте, в которой выражена номинальная стоимость Облигации.</w:t>
      </w:r>
    </w:p>
    <w:p w14:paraId="37C06F86" w14:textId="77777777" w:rsidR="00A16772" w:rsidRPr="005C53F5" w:rsidRDefault="00A16772"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Денежные расчеты по сделкам купли - продажи Облигаций при их размещении осуществляются на условиях «поставка против платежа» через НРД в соответствии с Правилами осуществления клиринговой деятельности Клиринговой организации.</w:t>
      </w:r>
    </w:p>
    <w:p w14:paraId="6C832C03" w14:textId="77777777" w:rsidR="00A16772" w:rsidRPr="005C53F5" w:rsidRDefault="00A16772"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Возможность рассрочки при оплате Облигаций не предусмотрена.</w:t>
      </w:r>
    </w:p>
    <w:p w14:paraId="7F3C621A" w14:textId="77777777" w:rsidR="00A16772" w:rsidRPr="005C53F5" w:rsidRDefault="00A16772"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sz w:val="24"/>
        </w:rPr>
        <w:t>Агент по размещению</w:t>
      </w:r>
      <w:r w:rsidRPr="005C53F5">
        <w:rPr>
          <w:rFonts w:ascii="Times New Roman" w:hAnsi="Times New Roman" w:cs="Times New Roman"/>
          <w:bCs/>
          <w:iCs/>
          <w:sz w:val="24"/>
        </w:rPr>
        <w:t xml:space="preserve"> переводит средства, полученные от размещения Облигаций, на счет Эмитента в срок, установленный договором, заключенным между </w:t>
      </w:r>
      <w:r w:rsidRPr="005C53F5">
        <w:rPr>
          <w:rFonts w:ascii="Times New Roman" w:hAnsi="Times New Roman" w:cs="Times New Roman"/>
          <w:sz w:val="24"/>
        </w:rPr>
        <w:t>Агентом по размещению</w:t>
      </w:r>
      <w:r w:rsidRPr="005C53F5">
        <w:rPr>
          <w:rFonts w:ascii="Times New Roman" w:hAnsi="Times New Roman" w:cs="Times New Roman"/>
          <w:bCs/>
          <w:iCs/>
          <w:sz w:val="24"/>
        </w:rPr>
        <w:t xml:space="preserve"> и Эмитентом.</w:t>
      </w:r>
    </w:p>
    <w:p w14:paraId="1086903F" w14:textId="77777777" w:rsidR="007666EA" w:rsidRDefault="007666EA" w:rsidP="00057BE5">
      <w:pPr>
        <w:pStyle w:val="ConsPlusNormal"/>
        <w:ind w:firstLine="709"/>
        <w:jc w:val="both"/>
        <w:rPr>
          <w:rFonts w:ascii="Times New Roman" w:hAnsi="Times New Roman" w:cs="Times New Roman"/>
          <w:i/>
          <w:sz w:val="24"/>
        </w:rPr>
      </w:pPr>
    </w:p>
    <w:p w14:paraId="4A8C78C1" w14:textId="08466B14" w:rsidR="00A16772" w:rsidRPr="005C53F5" w:rsidRDefault="00A16772"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1) Реквизиты счета, на который должны перечисляться денежные средства в оплату Облигаций:</w:t>
      </w:r>
    </w:p>
    <w:p w14:paraId="0A0160F4" w14:textId="77777777" w:rsidR="00A16772" w:rsidRPr="005C53F5" w:rsidRDefault="00A16772"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Полное фирменное наименование: </w:t>
      </w:r>
      <w:r w:rsidRPr="005C53F5">
        <w:rPr>
          <w:rFonts w:ascii="Times New Roman" w:hAnsi="Times New Roman" w:cs="Times New Roman"/>
          <w:sz w:val="24"/>
        </w:rPr>
        <w:t>Публичное акционерное общество РОСБАНК</w:t>
      </w:r>
    </w:p>
    <w:p w14:paraId="71F12623" w14:textId="77777777" w:rsidR="00A16772"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Сокращенное фирменное наименование:</w:t>
      </w:r>
      <w:r w:rsidRPr="005C53F5">
        <w:rPr>
          <w:rFonts w:ascii="Times New Roman" w:hAnsi="Times New Roman" w:cs="Times New Roman"/>
          <w:sz w:val="24"/>
        </w:rPr>
        <w:t xml:space="preserve"> ПАО РОСБАНК</w:t>
      </w:r>
    </w:p>
    <w:p w14:paraId="4B510114" w14:textId="77777777" w:rsidR="00A16772" w:rsidRPr="005C53F5" w:rsidRDefault="00A16772"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Идентификационный номер налогоплательщика: </w:t>
      </w:r>
      <w:r w:rsidRPr="005C53F5">
        <w:rPr>
          <w:rFonts w:ascii="Times New Roman" w:hAnsi="Times New Roman" w:cs="Times New Roman"/>
          <w:sz w:val="24"/>
        </w:rPr>
        <w:t>7730060164</w:t>
      </w:r>
    </w:p>
    <w:p w14:paraId="7DA3398C" w14:textId="77777777" w:rsidR="00A16772"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Номер счета:</w:t>
      </w:r>
      <w:r w:rsidRPr="005C53F5">
        <w:rPr>
          <w:rFonts w:ascii="Times New Roman" w:hAnsi="Times New Roman" w:cs="Times New Roman"/>
          <w:sz w:val="24"/>
        </w:rPr>
        <w:t>30411810600000000411 в НКО АО НРД</w:t>
      </w:r>
    </w:p>
    <w:p w14:paraId="79E3B587" w14:textId="46453B4E" w:rsidR="00A16772" w:rsidRPr="005C53F5" w:rsidRDefault="00A16772"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2) Кредитная организация, в которой открыт счет, на который должны перечисляться денежные средства в оплату Облигаций:</w:t>
      </w:r>
    </w:p>
    <w:p w14:paraId="2FB7FE0B" w14:textId="77777777" w:rsidR="00A16772"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Полное фирменное наименование:</w:t>
      </w:r>
      <w:r w:rsidRPr="005C53F5">
        <w:rPr>
          <w:rFonts w:ascii="Times New Roman" w:hAnsi="Times New Roman" w:cs="Times New Roman"/>
          <w:sz w:val="24"/>
        </w:rPr>
        <w:t xml:space="preserve"> Небанковская кредитная организация акционерное общество «Национальный расчетный депозитарий»</w:t>
      </w:r>
    </w:p>
    <w:p w14:paraId="4099CB88" w14:textId="77777777" w:rsidR="00A16772"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Сокращенное фирменное наименование:</w:t>
      </w:r>
      <w:r w:rsidRPr="005C53F5">
        <w:rPr>
          <w:rFonts w:ascii="Times New Roman" w:hAnsi="Times New Roman" w:cs="Times New Roman"/>
          <w:sz w:val="24"/>
        </w:rPr>
        <w:t xml:space="preserve"> НКО АО НРД</w:t>
      </w:r>
    </w:p>
    <w:p w14:paraId="6721EA95" w14:textId="77777777" w:rsidR="00A16772"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Место нахождения:</w:t>
      </w:r>
      <w:r w:rsidRPr="005C53F5">
        <w:rPr>
          <w:rFonts w:ascii="Times New Roman" w:hAnsi="Times New Roman" w:cs="Times New Roman"/>
          <w:sz w:val="24"/>
        </w:rPr>
        <w:t xml:space="preserve"> Российская Федерация, город Москва</w:t>
      </w:r>
    </w:p>
    <w:p w14:paraId="1B314F97" w14:textId="77777777" w:rsidR="00A16772"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Почтовый адрес:</w:t>
      </w:r>
      <w:r w:rsidRPr="005C53F5">
        <w:rPr>
          <w:rFonts w:ascii="Times New Roman" w:hAnsi="Times New Roman" w:cs="Times New Roman"/>
          <w:sz w:val="24"/>
        </w:rPr>
        <w:t xml:space="preserve"> 105066, г. Москва, ул. Спартаковская, дом 12</w:t>
      </w:r>
    </w:p>
    <w:p w14:paraId="4DC71831" w14:textId="77777777" w:rsidR="00A16772"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БИК:</w:t>
      </w:r>
      <w:r w:rsidRPr="005C53F5">
        <w:rPr>
          <w:rFonts w:ascii="Times New Roman" w:hAnsi="Times New Roman" w:cs="Times New Roman"/>
          <w:sz w:val="24"/>
        </w:rPr>
        <w:t xml:space="preserve"> 044525505</w:t>
      </w:r>
    </w:p>
    <w:p w14:paraId="69F7DC73" w14:textId="77777777" w:rsidR="00A16772" w:rsidRPr="005C53F5" w:rsidRDefault="00A16772"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ИНН: </w:t>
      </w:r>
      <w:r w:rsidRPr="005C53F5">
        <w:rPr>
          <w:rFonts w:ascii="Times New Roman" w:hAnsi="Times New Roman" w:cs="Times New Roman"/>
          <w:sz w:val="24"/>
        </w:rPr>
        <w:t>7702165310</w:t>
      </w:r>
    </w:p>
    <w:p w14:paraId="64D12102" w14:textId="77777777" w:rsidR="00A16772" w:rsidRPr="005C53F5" w:rsidRDefault="00A16772"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КПП: </w:t>
      </w:r>
      <w:r w:rsidRPr="005C53F5">
        <w:rPr>
          <w:rFonts w:ascii="Times New Roman" w:hAnsi="Times New Roman" w:cs="Times New Roman"/>
          <w:sz w:val="24"/>
        </w:rPr>
        <w:t>770101001</w:t>
      </w:r>
    </w:p>
    <w:p w14:paraId="45EC45E2" w14:textId="77777777" w:rsidR="00A16772"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Корреспондентский счет:</w:t>
      </w:r>
      <w:r w:rsidRPr="005C53F5">
        <w:rPr>
          <w:rFonts w:ascii="Times New Roman" w:hAnsi="Times New Roman" w:cs="Times New Roman"/>
          <w:sz w:val="24"/>
        </w:rPr>
        <w:t xml:space="preserve"> 30105810345250000505 в Главном управлении Центрального банка Российской Федерации по Центральному федеральному округу г. Москва (ГУ Банка России по ЦФО)</w:t>
      </w:r>
    </w:p>
    <w:p w14:paraId="1441C81F" w14:textId="77777777" w:rsidR="00A16772"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Номер лицензии на осуществление банковских операций:</w:t>
      </w:r>
      <w:r w:rsidRPr="005C53F5">
        <w:rPr>
          <w:rFonts w:ascii="Times New Roman" w:hAnsi="Times New Roman" w:cs="Times New Roman"/>
          <w:sz w:val="24"/>
        </w:rPr>
        <w:t xml:space="preserve"> 3294</w:t>
      </w:r>
    </w:p>
    <w:p w14:paraId="3AA6F8A5" w14:textId="77777777" w:rsidR="00A16772"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Срок действия:</w:t>
      </w:r>
      <w:r w:rsidRPr="005C53F5">
        <w:rPr>
          <w:rFonts w:ascii="Times New Roman" w:hAnsi="Times New Roman" w:cs="Times New Roman"/>
          <w:sz w:val="24"/>
        </w:rPr>
        <w:t xml:space="preserve"> без ограничения срока действия</w:t>
      </w:r>
    </w:p>
    <w:p w14:paraId="329DB24D" w14:textId="235CBE56" w:rsidR="00A16772"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Дата выдачи: </w:t>
      </w:r>
      <w:r w:rsidRPr="005C53F5">
        <w:rPr>
          <w:rFonts w:ascii="Times New Roman" w:hAnsi="Times New Roman" w:cs="Times New Roman"/>
          <w:sz w:val="24"/>
        </w:rPr>
        <w:t>04.08.2016</w:t>
      </w:r>
    </w:p>
    <w:p w14:paraId="66CDFE13" w14:textId="77777777" w:rsidR="00A16772"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Орган, выдавший указанную лицензию:</w:t>
      </w:r>
      <w:r w:rsidRPr="005C53F5">
        <w:rPr>
          <w:rFonts w:ascii="Times New Roman" w:hAnsi="Times New Roman" w:cs="Times New Roman"/>
          <w:sz w:val="24"/>
        </w:rPr>
        <w:t xml:space="preserve"> Банк России</w:t>
      </w:r>
    </w:p>
    <w:p w14:paraId="07991166" w14:textId="77777777" w:rsidR="00A16772" w:rsidRPr="005C53F5" w:rsidRDefault="00A16772"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оплаты ценных бумаг неденежными средствами указываются имущество, которым могут оплачиваться ценные бумаги выпуска, условия оплаты, включая документы, оформляемые при такой оплате (акты приемки-передачи имущества, распоряжение регистратору или депозитарию, осуществляющему учет прав на ценные бумаги, которыми оплачиваются размещаемые ценные бумаги, иное), документы, которыми подтверждается осуществление такой оплаты (выписки из государственных реестров, иное), а также сведения о лице (лицах), привлекаемом (привлекаемых)для определения рыночной стоимости такого имущества</w:t>
      </w:r>
    </w:p>
    <w:p w14:paraId="163D1826" w14:textId="77777777" w:rsidR="00A16772" w:rsidRPr="005C53F5" w:rsidRDefault="00A16772"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Оплата Облигаций неденежными средствами не предусмотрена.</w:t>
      </w:r>
    </w:p>
    <w:p w14:paraId="40D43615" w14:textId="77777777" w:rsidR="00A16772" w:rsidRPr="005C53F5" w:rsidRDefault="00A16772"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В случае оплаты дополнительных акций, размещаемых посредством закрытой подписки, путем зачета денежных требований к акционерному обществу - эмитенту указывается порядок направления эмитенту заявления (заключения с эмитентом соглашения) о таком зачете.</w:t>
      </w:r>
    </w:p>
    <w:p w14:paraId="2F3836AD" w14:textId="41ACF5C1" w:rsidR="003A1D6B"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Не применимо.</w:t>
      </w:r>
    </w:p>
    <w:p w14:paraId="1CFEB6C9" w14:textId="20210E8F"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481" w:name="_Toc39616406"/>
      <w:bookmarkStart w:id="482" w:name="_Toc36145645"/>
      <w:r w:rsidRPr="005C53F5">
        <w:rPr>
          <w:rFonts w:ascii="Times New Roman" w:hAnsi="Times New Roman" w:cs="Times New Roman"/>
          <w:b/>
          <w:sz w:val="24"/>
          <w:szCs w:val="24"/>
        </w:rPr>
        <w:t>8.8.7. Сведения о документе, содержащем фактические итоги размещения ценных бумаг, который представляется после завершения размещения ценных бумаг</w:t>
      </w:r>
      <w:bookmarkEnd w:id="481"/>
      <w:bookmarkEnd w:id="482"/>
    </w:p>
    <w:p w14:paraId="3FE6EF9A" w14:textId="5953A09D" w:rsidR="00A16772" w:rsidRPr="005C53F5" w:rsidRDefault="00A16772" w:rsidP="00057BE5">
      <w:pPr>
        <w:pStyle w:val="ConsPlusNormal"/>
        <w:ind w:firstLine="709"/>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576F56B3" w14:textId="6C997571" w:rsidR="003A1D6B"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Документом, содержащим фактические итоги размещения Облигаций, который Эмитент должен представить в Банк России после завершения размещения Облигаций, является уведомление о завершении размещения Облигаций.</w:t>
      </w:r>
    </w:p>
    <w:p w14:paraId="72B705FF" w14:textId="1676678D"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83" w:name="_Toc39616407"/>
      <w:bookmarkStart w:id="484" w:name="_Toc36145646"/>
      <w:r w:rsidRPr="005C53F5">
        <w:rPr>
          <w:rFonts w:ascii="Times New Roman" w:hAnsi="Times New Roman" w:cs="Times New Roman"/>
          <w:b/>
          <w:sz w:val="24"/>
          <w:szCs w:val="24"/>
        </w:rPr>
        <w:t>8.9. Порядок и условия погашения и выплаты доходов по облигациям</w:t>
      </w:r>
      <w:bookmarkEnd w:id="483"/>
      <w:bookmarkEnd w:id="484"/>
    </w:p>
    <w:p w14:paraId="726E04B0" w14:textId="77777777"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485" w:name="_Toc39616408"/>
      <w:bookmarkStart w:id="486" w:name="_Toc36145647"/>
      <w:r w:rsidRPr="005C53F5">
        <w:rPr>
          <w:rFonts w:ascii="Times New Roman" w:hAnsi="Times New Roman" w:cs="Times New Roman"/>
          <w:b/>
          <w:sz w:val="24"/>
          <w:szCs w:val="24"/>
        </w:rPr>
        <w:t>8.9.1. Форма погашения облигаций</w:t>
      </w:r>
      <w:bookmarkEnd w:id="485"/>
      <w:bookmarkEnd w:id="486"/>
    </w:p>
    <w:p w14:paraId="4D52DEF8" w14:textId="6EAFE866" w:rsidR="00A16772" w:rsidRPr="005C53F5" w:rsidRDefault="00A16772" w:rsidP="00057BE5">
      <w:pPr>
        <w:pStyle w:val="ConsPlusNormal"/>
        <w:ind w:firstLine="709"/>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6096CF7D" w14:textId="77777777" w:rsidR="00A16772" w:rsidRPr="005C53F5" w:rsidRDefault="00A16772"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Погашение Облигаций производится денежными средствами в российских рублях в безналичном порядке.</w:t>
      </w:r>
    </w:p>
    <w:p w14:paraId="4E2A8058" w14:textId="4A5D2E48" w:rsidR="003A1D6B" w:rsidRPr="005C53F5" w:rsidRDefault="00A16772"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szCs w:val="22"/>
        </w:rPr>
        <w:t>Возможность выбора владельцами Облигаций формы погашения Облигаций не предусмотрена.</w:t>
      </w:r>
    </w:p>
    <w:p w14:paraId="01B6DA4A" w14:textId="6232B3D9"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487" w:name="_Toc39616409"/>
      <w:bookmarkStart w:id="488" w:name="_Toc36145648"/>
      <w:r w:rsidRPr="005C53F5">
        <w:rPr>
          <w:rFonts w:ascii="Times New Roman" w:hAnsi="Times New Roman" w:cs="Times New Roman"/>
          <w:b/>
          <w:sz w:val="24"/>
          <w:szCs w:val="24"/>
        </w:rPr>
        <w:t>8.9.2. Порядок и условия погашения облигаций</w:t>
      </w:r>
      <w:bookmarkEnd w:id="487"/>
      <w:bookmarkEnd w:id="488"/>
    </w:p>
    <w:p w14:paraId="6F532024" w14:textId="557A44E3" w:rsidR="003A1D6B" w:rsidRPr="005C53F5" w:rsidRDefault="004B5270"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01-04</w:t>
      </w:r>
    </w:p>
    <w:p w14:paraId="29661972" w14:textId="77777777" w:rsidR="004B5270" w:rsidRPr="005C53F5" w:rsidRDefault="004B5270" w:rsidP="00057BE5">
      <w:pPr>
        <w:pStyle w:val="ConsPlusNormal"/>
        <w:ind w:firstLine="709"/>
        <w:rPr>
          <w:rFonts w:ascii="Times New Roman" w:hAnsi="Times New Roman" w:cs="Times New Roman"/>
          <w:i/>
          <w:sz w:val="24"/>
        </w:rPr>
      </w:pPr>
      <w:r w:rsidRPr="005C53F5">
        <w:rPr>
          <w:rFonts w:ascii="Times New Roman" w:hAnsi="Times New Roman" w:cs="Times New Roman"/>
          <w:i/>
          <w:sz w:val="24"/>
          <w:lang w:val="en-US"/>
        </w:rPr>
        <w:t>C</w:t>
      </w:r>
      <w:r w:rsidRPr="005C53F5">
        <w:rPr>
          <w:rFonts w:ascii="Times New Roman" w:hAnsi="Times New Roman" w:cs="Times New Roman"/>
          <w:i/>
          <w:sz w:val="24"/>
        </w:rPr>
        <w:t>рок (дата) погашения облигаций или порядок его определения:</w:t>
      </w:r>
    </w:p>
    <w:p w14:paraId="4CEAE7DB" w14:textId="6B7F4BBF" w:rsidR="004B5270" w:rsidRPr="005C53F5" w:rsidRDefault="004B5270"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rPr>
        <w:t xml:space="preserve">Облигации погашаются в </w:t>
      </w:r>
      <w:r w:rsidR="000F7C5F" w:rsidRPr="005C53F5">
        <w:rPr>
          <w:rFonts w:ascii="Times New Roman" w:hAnsi="Times New Roman" w:cs="Times New Roman"/>
          <w:sz w:val="24"/>
          <w:szCs w:val="22"/>
        </w:rPr>
        <w:t xml:space="preserve">1092-й (одна тысяча девяносто второй) </w:t>
      </w:r>
      <w:r w:rsidRPr="005C53F5">
        <w:rPr>
          <w:rFonts w:ascii="Times New Roman" w:hAnsi="Times New Roman" w:cs="Times New Roman"/>
          <w:sz w:val="24"/>
        </w:rPr>
        <w:t>день с даты начала размещения Облигаций (далее – «</w:t>
      </w:r>
      <w:r w:rsidRPr="005C53F5">
        <w:rPr>
          <w:rFonts w:ascii="Times New Roman" w:hAnsi="Times New Roman" w:cs="Times New Roman"/>
          <w:b/>
          <w:sz w:val="24"/>
        </w:rPr>
        <w:t>Дата погашения</w:t>
      </w:r>
      <w:r w:rsidRPr="005C53F5">
        <w:rPr>
          <w:rFonts w:ascii="Times New Roman" w:hAnsi="Times New Roman" w:cs="Times New Roman"/>
          <w:sz w:val="24"/>
        </w:rPr>
        <w:t>»). Даты начала и окончания погашения Облигаций совпадают.</w:t>
      </w:r>
    </w:p>
    <w:p w14:paraId="6ACD944C" w14:textId="77777777" w:rsidR="004B5270" w:rsidRPr="005C53F5" w:rsidRDefault="004B527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Если Дата погашения приходится на день, не являющийся рабочим днем, то перечисление надлежащей суммы производится в первый рабочий день, следующий за Датой погашения. Владелец Облигаций не имеет права требовать начисления процентов или какой-либо иной компенсации за такую задержку в платеже.</w:t>
      </w:r>
    </w:p>
    <w:p w14:paraId="3A6B2B02" w14:textId="5A60B76E" w:rsidR="004B5270" w:rsidRPr="005C53F5" w:rsidRDefault="004B5270"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05-06</w:t>
      </w:r>
    </w:p>
    <w:p w14:paraId="3C5DB53B" w14:textId="77777777" w:rsidR="004B5270" w:rsidRPr="005C53F5" w:rsidRDefault="004B5270" w:rsidP="00057BE5">
      <w:pPr>
        <w:pStyle w:val="ConsPlusNormal"/>
        <w:ind w:firstLine="709"/>
        <w:rPr>
          <w:rFonts w:ascii="Times New Roman" w:hAnsi="Times New Roman" w:cs="Times New Roman"/>
          <w:i/>
          <w:sz w:val="24"/>
        </w:rPr>
      </w:pPr>
      <w:r w:rsidRPr="005C53F5">
        <w:rPr>
          <w:rFonts w:ascii="Times New Roman" w:hAnsi="Times New Roman" w:cs="Times New Roman"/>
          <w:i/>
          <w:sz w:val="24"/>
          <w:lang w:val="en-US"/>
        </w:rPr>
        <w:t>C</w:t>
      </w:r>
      <w:r w:rsidRPr="005C53F5">
        <w:rPr>
          <w:rFonts w:ascii="Times New Roman" w:hAnsi="Times New Roman" w:cs="Times New Roman"/>
          <w:i/>
          <w:sz w:val="24"/>
        </w:rPr>
        <w:t>рок (дата) погашения облигаций или порядок его определения:</w:t>
      </w:r>
    </w:p>
    <w:p w14:paraId="71FE798A" w14:textId="1CF6A217" w:rsidR="004B5270" w:rsidRPr="005C53F5" w:rsidRDefault="004B527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Облигации погашаются в </w:t>
      </w:r>
      <w:r w:rsidR="000F7C5F" w:rsidRPr="005C53F5">
        <w:rPr>
          <w:rFonts w:ascii="Times New Roman" w:hAnsi="Times New Roman" w:cs="Times New Roman"/>
          <w:sz w:val="24"/>
        </w:rPr>
        <w:t>1820-й (одна тысяча восемьсот двадцатый)</w:t>
      </w:r>
      <w:r w:rsidRPr="005C53F5">
        <w:rPr>
          <w:rFonts w:ascii="Times New Roman" w:hAnsi="Times New Roman" w:cs="Times New Roman"/>
          <w:sz w:val="24"/>
        </w:rPr>
        <w:t xml:space="preserve"> день с даты начала размещения Облигаций (далее – «</w:t>
      </w:r>
      <w:r w:rsidRPr="005C53F5">
        <w:rPr>
          <w:rFonts w:ascii="Times New Roman" w:hAnsi="Times New Roman" w:cs="Times New Roman"/>
          <w:b/>
          <w:sz w:val="24"/>
        </w:rPr>
        <w:t>Дата погашения</w:t>
      </w:r>
      <w:r w:rsidRPr="005C53F5">
        <w:rPr>
          <w:rFonts w:ascii="Times New Roman" w:hAnsi="Times New Roman" w:cs="Times New Roman"/>
          <w:sz w:val="24"/>
        </w:rPr>
        <w:t>»). Даты начала и окончания погашения Облигаций совпадают.</w:t>
      </w:r>
    </w:p>
    <w:p w14:paraId="4AD75E5D" w14:textId="4A898C8E" w:rsidR="00A16772" w:rsidRPr="005C53F5" w:rsidRDefault="004B527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Если Дата погашения приходится на день, не являющийся рабочим днем, то перечисление надлежащей суммы производится в первый рабочий день, следующий за Датой погашения. Владелец Облигаций не имеет права требовать начисления процентов или какой-либо иной компенсации за такую задержку в платеже.</w:t>
      </w:r>
    </w:p>
    <w:p w14:paraId="0A07A1A5" w14:textId="6DB1366A" w:rsidR="004B5270" w:rsidRPr="005C53F5" w:rsidRDefault="004B5270"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07-10</w:t>
      </w:r>
    </w:p>
    <w:p w14:paraId="61D0F3EE" w14:textId="77777777" w:rsidR="004B5270" w:rsidRPr="005C53F5" w:rsidRDefault="004B5270" w:rsidP="00057BE5">
      <w:pPr>
        <w:pStyle w:val="ConsPlusNormal"/>
        <w:ind w:firstLine="709"/>
        <w:rPr>
          <w:rFonts w:ascii="Times New Roman" w:hAnsi="Times New Roman" w:cs="Times New Roman"/>
          <w:i/>
          <w:sz w:val="24"/>
        </w:rPr>
      </w:pPr>
      <w:r w:rsidRPr="005C53F5">
        <w:rPr>
          <w:rFonts w:ascii="Times New Roman" w:hAnsi="Times New Roman" w:cs="Times New Roman"/>
          <w:i/>
          <w:sz w:val="24"/>
          <w:lang w:val="en-US"/>
        </w:rPr>
        <w:t>C</w:t>
      </w:r>
      <w:r w:rsidRPr="005C53F5">
        <w:rPr>
          <w:rFonts w:ascii="Times New Roman" w:hAnsi="Times New Roman" w:cs="Times New Roman"/>
          <w:i/>
          <w:sz w:val="24"/>
        </w:rPr>
        <w:t>рок (дата) погашения облигаций или порядок его определения:</w:t>
      </w:r>
    </w:p>
    <w:p w14:paraId="282AEC1F" w14:textId="1067F649" w:rsidR="004B5270" w:rsidRPr="005C53F5" w:rsidRDefault="004B527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Облигации погашаются в </w:t>
      </w:r>
      <w:r w:rsidR="000F7C5F" w:rsidRPr="005C53F5">
        <w:rPr>
          <w:rFonts w:ascii="Times New Roman" w:hAnsi="Times New Roman" w:cs="Times New Roman"/>
          <w:sz w:val="24"/>
        </w:rPr>
        <w:t>2548-й (две тысячи пятьсот сорок восьмой)</w:t>
      </w:r>
      <w:r w:rsidRPr="005C53F5">
        <w:rPr>
          <w:rFonts w:ascii="Times New Roman" w:hAnsi="Times New Roman" w:cs="Times New Roman"/>
          <w:sz w:val="24"/>
        </w:rPr>
        <w:t xml:space="preserve"> день с даты начала размещения Облигаций (далее – «</w:t>
      </w:r>
      <w:r w:rsidRPr="005C53F5">
        <w:rPr>
          <w:rFonts w:ascii="Times New Roman" w:hAnsi="Times New Roman" w:cs="Times New Roman"/>
          <w:b/>
          <w:sz w:val="24"/>
        </w:rPr>
        <w:t>Дата погашения</w:t>
      </w:r>
      <w:r w:rsidRPr="005C53F5">
        <w:rPr>
          <w:rFonts w:ascii="Times New Roman" w:hAnsi="Times New Roman" w:cs="Times New Roman"/>
          <w:sz w:val="24"/>
        </w:rPr>
        <w:t>»). Даты начала и окончания погашения Облигаций совпадают.</w:t>
      </w:r>
    </w:p>
    <w:p w14:paraId="182C4720" w14:textId="53723171" w:rsidR="004B5270" w:rsidRPr="005C53F5" w:rsidRDefault="004B527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Если Дата погашения приходится на день, не являющийся рабочим днем, то перечисление надлежащей суммы производится в первый рабочий день, следующий за Датой погашения. Владелец Облигаций не имеет права требовать начисления процентов или какой-либо иной компенсации за такую задержку в платеже.</w:t>
      </w:r>
    </w:p>
    <w:p w14:paraId="313FF73A" w14:textId="78B39979" w:rsidR="004B5270" w:rsidRPr="005C53F5" w:rsidRDefault="00A54BB9"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11</w:t>
      </w:r>
      <w:r w:rsidR="004B5270" w:rsidRPr="005C53F5">
        <w:rPr>
          <w:rFonts w:ascii="Times New Roman" w:hAnsi="Times New Roman" w:cs="Times New Roman"/>
          <w:b/>
          <w:bCs/>
          <w:sz w:val="24"/>
        </w:rPr>
        <w:t>-14</w:t>
      </w:r>
    </w:p>
    <w:p w14:paraId="7DFC4289" w14:textId="77777777" w:rsidR="004B5270" w:rsidRPr="005C53F5" w:rsidRDefault="004B5270" w:rsidP="00057BE5">
      <w:pPr>
        <w:pStyle w:val="ConsPlusNormal"/>
        <w:ind w:firstLine="709"/>
        <w:rPr>
          <w:rFonts w:ascii="Times New Roman" w:hAnsi="Times New Roman" w:cs="Times New Roman"/>
          <w:i/>
          <w:sz w:val="24"/>
        </w:rPr>
      </w:pPr>
      <w:r w:rsidRPr="005C53F5">
        <w:rPr>
          <w:rFonts w:ascii="Times New Roman" w:hAnsi="Times New Roman" w:cs="Times New Roman"/>
          <w:i/>
          <w:sz w:val="24"/>
          <w:lang w:val="en-US"/>
        </w:rPr>
        <w:t>C</w:t>
      </w:r>
      <w:r w:rsidRPr="005C53F5">
        <w:rPr>
          <w:rFonts w:ascii="Times New Roman" w:hAnsi="Times New Roman" w:cs="Times New Roman"/>
          <w:i/>
          <w:sz w:val="24"/>
        </w:rPr>
        <w:t>рок (дата) погашения облигаций или порядок его определения:</w:t>
      </w:r>
    </w:p>
    <w:p w14:paraId="51917323" w14:textId="2FF27DC9" w:rsidR="004B5270" w:rsidRPr="005C53F5" w:rsidRDefault="004B5270"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rPr>
        <w:t xml:space="preserve">Облигации погашаются в </w:t>
      </w:r>
      <w:r w:rsidR="000F7C5F" w:rsidRPr="005C53F5">
        <w:rPr>
          <w:rFonts w:ascii="Times New Roman" w:hAnsi="Times New Roman" w:cs="Times New Roman"/>
          <w:sz w:val="24"/>
          <w:szCs w:val="22"/>
        </w:rPr>
        <w:t>3640-й (три тысячи шестьсот сороковой)</w:t>
      </w:r>
      <w:r w:rsidRPr="005C53F5">
        <w:rPr>
          <w:rFonts w:ascii="Times New Roman" w:hAnsi="Times New Roman" w:cs="Times New Roman"/>
          <w:sz w:val="24"/>
          <w:szCs w:val="22"/>
        </w:rPr>
        <w:t xml:space="preserve"> </w:t>
      </w:r>
      <w:r w:rsidRPr="005C53F5">
        <w:rPr>
          <w:rFonts w:ascii="Times New Roman" w:hAnsi="Times New Roman" w:cs="Times New Roman"/>
          <w:sz w:val="24"/>
        </w:rPr>
        <w:t>день с даты начала размещения Облигаций (далее – «</w:t>
      </w:r>
      <w:r w:rsidRPr="005C53F5">
        <w:rPr>
          <w:rFonts w:ascii="Times New Roman" w:hAnsi="Times New Roman" w:cs="Times New Roman"/>
          <w:b/>
          <w:sz w:val="24"/>
        </w:rPr>
        <w:t>Дата погашения</w:t>
      </w:r>
      <w:r w:rsidRPr="005C53F5">
        <w:rPr>
          <w:rFonts w:ascii="Times New Roman" w:hAnsi="Times New Roman" w:cs="Times New Roman"/>
          <w:sz w:val="24"/>
        </w:rPr>
        <w:t>»). Даты начала и окончания погашения Облигаций совпадают.</w:t>
      </w:r>
    </w:p>
    <w:p w14:paraId="414B1D97" w14:textId="6559ADE2" w:rsidR="004B5270" w:rsidRPr="005C53F5" w:rsidRDefault="004B5270"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Если Дата погашения приходится на день, не являющийся рабочим днем, то перечисление надлежащей суммы производится в первый рабочий день, следующий за Датой погашения. Владелец Облигаций не имеет права требовать начисления процентов или какой-либо иной компенсации за такую задержку в платеже.</w:t>
      </w:r>
    </w:p>
    <w:p w14:paraId="3E21BDBE" w14:textId="77777777" w:rsidR="006753C5" w:rsidRPr="005C53F5" w:rsidRDefault="006753C5" w:rsidP="00057BE5">
      <w:pPr>
        <w:pStyle w:val="ConsPlusNormal"/>
        <w:ind w:firstLine="709"/>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77CB2664" w14:textId="77777777" w:rsidR="006753C5" w:rsidRPr="005C53F5" w:rsidRDefault="006753C5"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Порядок и условия погашения облигаций:</w:t>
      </w:r>
    </w:p>
    <w:p w14:paraId="478CBD1E" w14:textId="2FD9A9DE" w:rsidR="006753C5" w:rsidRPr="005C53F5" w:rsidRDefault="006753C5"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Владельцы Облигаций и иные лица, осуществляющие в соответствии с федеральными законами права по Облигациям, получают причитающиеся им денежные выплаты в счет погашения Облигаций через депозитарий, осуществляющий учет прав на Облигации, депонентами которого они являются. Для получения выплат по Облигациям указанные лица должны иметь банковский счет в российских рублях. Депозитарный договор между </w:t>
      </w:r>
      <w:r w:rsidR="00D77515" w:rsidRPr="005C53F5">
        <w:rPr>
          <w:rFonts w:ascii="Times New Roman" w:hAnsi="Times New Roman" w:cs="Times New Roman"/>
          <w:sz w:val="24"/>
        </w:rPr>
        <w:t>депозитарием</w:t>
      </w:r>
      <w:r w:rsidRPr="005C53F5">
        <w:rPr>
          <w:rFonts w:ascii="Times New Roman" w:hAnsi="Times New Roman" w:cs="Times New Roman"/>
          <w:sz w:val="24"/>
        </w:rPr>
        <w:t>, осуществляющим учет прав на Облигации, и депонентом должен содержать порядок передачи депоненту выплат по Облигациям.</w:t>
      </w:r>
    </w:p>
    <w:p w14:paraId="0FAB6A82" w14:textId="62F3EB73" w:rsidR="006753C5" w:rsidRPr="005C53F5" w:rsidRDefault="006753C5"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Передача денежных выплат в счет погашения Облигаций осуществляется в соответствии с порядком, предусмотренным статьей 8.7 Закона о рынке ценных бумаг, с особенностями, предусмотренными для облигаций с централизованным учетом прав.</w:t>
      </w:r>
    </w:p>
    <w:p w14:paraId="5EE0F038" w14:textId="136D9E00"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489" w:name="_Toc39616410"/>
      <w:bookmarkStart w:id="490" w:name="_Toc36145649"/>
      <w:r w:rsidRPr="005C53F5">
        <w:rPr>
          <w:rFonts w:ascii="Times New Roman" w:hAnsi="Times New Roman" w:cs="Times New Roman"/>
          <w:b/>
          <w:sz w:val="24"/>
          <w:szCs w:val="24"/>
        </w:rPr>
        <w:t>8.9.3. Порядок определения дохода, выплачиваемого по каждой облигации</w:t>
      </w:r>
      <w:bookmarkEnd w:id="489"/>
      <w:bookmarkEnd w:id="490"/>
    </w:p>
    <w:p w14:paraId="5C7CF04B" w14:textId="77777777" w:rsidR="004C7F3C" w:rsidRPr="005C53F5" w:rsidRDefault="004C7F3C"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01-04</w:t>
      </w:r>
    </w:p>
    <w:p w14:paraId="5711282A" w14:textId="77777777" w:rsidR="004C7F3C" w:rsidRPr="005C53F5" w:rsidRDefault="004C7F3C" w:rsidP="00057BE5">
      <w:pPr>
        <w:pStyle w:val="ConsPlusNormal"/>
        <w:ind w:firstLine="709"/>
        <w:rPr>
          <w:rFonts w:ascii="Times New Roman" w:hAnsi="Times New Roman" w:cs="Times New Roman"/>
          <w:sz w:val="24"/>
        </w:rPr>
      </w:pPr>
      <w:r w:rsidRPr="005C53F5">
        <w:rPr>
          <w:rFonts w:ascii="Times New Roman" w:hAnsi="Times New Roman" w:cs="Times New Roman"/>
          <w:sz w:val="24"/>
        </w:rPr>
        <w:t>Доходом по Облигациям является сумма купонных доходов, начисляемых за каждый купонный период в виде процентов от номинальной стоимости Облигаций.</w:t>
      </w:r>
    </w:p>
    <w:p w14:paraId="483EC719" w14:textId="7478376D" w:rsidR="004C7F3C" w:rsidRPr="005C53F5" w:rsidRDefault="004C7F3C"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rPr>
        <w:t xml:space="preserve">Количество купонных периодов: </w:t>
      </w:r>
      <w:r w:rsidR="003D709A" w:rsidRPr="005C53F5">
        <w:rPr>
          <w:rFonts w:ascii="Times New Roman" w:hAnsi="Times New Roman" w:cs="Times New Roman"/>
          <w:sz w:val="24"/>
          <w:szCs w:val="22"/>
        </w:rPr>
        <w:t>6 (шесть)</w:t>
      </w:r>
    </w:p>
    <w:p w14:paraId="2B68DCE1"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Продолжительность купонных периодов: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3968"/>
        <w:gridCol w:w="3822"/>
      </w:tblGrid>
      <w:tr w:rsidR="003D709A" w:rsidRPr="005C53F5" w14:paraId="649008FC" w14:textId="77777777" w:rsidTr="00754373">
        <w:tc>
          <w:tcPr>
            <w:tcW w:w="954" w:type="pct"/>
            <w:vMerge w:val="restart"/>
            <w:shd w:val="clear" w:color="auto" w:fill="auto"/>
          </w:tcPr>
          <w:p w14:paraId="39FB3301" w14:textId="77777777" w:rsidR="003D709A" w:rsidRPr="005C53F5" w:rsidRDefault="003D709A"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Порядковый номер купонного периода</w:t>
            </w:r>
          </w:p>
        </w:tc>
        <w:tc>
          <w:tcPr>
            <w:tcW w:w="4046" w:type="pct"/>
            <w:gridSpan w:val="2"/>
            <w:shd w:val="clear" w:color="auto" w:fill="auto"/>
          </w:tcPr>
          <w:p w14:paraId="74E08660" w14:textId="77777777" w:rsidR="003D709A" w:rsidRPr="005C53F5" w:rsidRDefault="003D709A"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Продолжительность купонного периода для Облигаций серии 01, Облигаций серии 02, Облигаций серии 03, Облигаций серии 04</w:t>
            </w:r>
          </w:p>
        </w:tc>
      </w:tr>
      <w:tr w:rsidR="003D709A" w:rsidRPr="005C53F5" w14:paraId="74C2C060" w14:textId="77777777" w:rsidTr="00754373">
        <w:tc>
          <w:tcPr>
            <w:tcW w:w="954" w:type="pct"/>
            <w:vMerge/>
            <w:shd w:val="clear" w:color="auto" w:fill="auto"/>
          </w:tcPr>
          <w:p w14:paraId="04B58BFC" w14:textId="77777777" w:rsidR="003D709A" w:rsidRPr="005C53F5" w:rsidRDefault="003D709A" w:rsidP="00057BE5">
            <w:pPr>
              <w:pStyle w:val="ConsPlusNormal"/>
              <w:ind w:firstLine="709"/>
              <w:jc w:val="both"/>
              <w:rPr>
                <w:rFonts w:ascii="Times New Roman" w:hAnsi="Times New Roman" w:cs="Times New Roman"/>
                <w:b/>
                <w:sz w:val="24"/>
              </w:rPr>
            </w:pPr>
          </w:p>
        </w:tc>
        <w:tc>
          <w:tcPr>
            <w:tcW w:w="2061" w:type="pct"/>
            <w:shd w:val="clear" w:color="auto" w:fill="auto"/>
          </w:tcPr>
          <w:p w14:paraId="43C7ED42" w14:textId="77777777" w:rsidR="003D709A" w:rsidRPr="005C53F5" w:rsidRDefault="003D709A"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Дата начала</w:t>
            </w:r>
          </w:p>
        </w:tc>
        <w:tc>
          <w:tcPr>
            <w:tcW w:w="1985" w:type="pct"/>
            <w:shd w:val="clear" w:color="auto" w:fill="auto"/>
          </w:tcPr>
          <w:p w14:paraId="67E5C4FB" w14:textId="77777777" w:rsidR="003D709A" w:rsidRPr="005C53F5" w:rsidRDefault="003D709A"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Дата окончания</w:t>
            </w:r>
          </w:p>
        </w:tc>
      </w:tr>
      <w:tr w:rsidR="003D709A" w:rsidRPr="005C53F5" w14:paraId="092A6686" w14:textId="77777777" w:rsidTr="00754373">
        <w:tc>
          <w:tcPr>
            <w:tcW w:w="954" w:type="pct"/>
            <w:shd w:val="clear" w:color="auto" w:fill="auto"/>
          </w:tcPr>
          <w:p w14:paraId="6E5B11FE" w14:textId="77777777" w:rsidR="003D709A" w:rsidRPr="005C53F5" w:rsidRDefault="003D709A" w:rsidP="00057BE5">
            <w:pPr>
              <w:pStyle w:val="ConsPlusNormal"/>
              <w:numPr>
                <w:ilvl w:val="0"/>
                <w:numId w:val="34"/>
              </w:numPr>
              <w:jc w:val="center"/>
              <w:rPr>
                <w:rFonts w:ascii="Times New Roman" w:hAnsi="Times New Roman" w:cs="Times New Roman"/>
                <w:sz w:val="24"/>
              </w:rPr>
            </w:pPr>
          </w:p>
        </w:tc>
        <w:tc>
          <w:tcPr>
            <w:tcW w:w="2061" w:type="pct"/>
            <w:shd w:val="clear" w:color="auto" w:fill="auto"/>
          </w:tcPr>
          <w:p w14:paraId="36CE2580" w14:textId="77777777" w:rsidR="003D709A" w:rsidRPr="005C53F5" w:rsidRDefault="003D709A" w:rsidP="00057BE5">
            <w:pPr>
              <w:pStyle w:val="ConsPlusNormal"/>
              <w:jc w:val="both"/>
              <w:rPr>
                <w:rFonts w:ascii="Times New Roman" w:hAnsi="Times New Roman" w:cs="Times New Roman"/>
                <w:sz w:val="24"/>
              </w:rPr>
            </w:pPr>
            <w:r w:rsidRPr="005C53F5">
              <w:rPr>
                <w:rFonts w:ascii="Times New Roman" w:hAnsi="Times New Roman" w:cs="Times New Roman"/>
                <w:sz w:val="24"/>
              </w:rPr>
              <w:t>Дата начала размещения Облигаций соответствующей серии</w:t>
            </w:r>
          </w:p>
        </w:tc>
        <w:tc>
          <w:tcPr>
            <w:tcW w:w="1985" w:type="pct"/>
            <w:shd w:val="clear" w:color="auto" w:fill="auto"/>
          </w:tcPr>
          <w:p w14:paraId="1D816C74" w14:textId="77777777" w:rsidR="003D709A" w:rsidRPr="005C53F5" w:rsidRDefault="003D709A" w:rsidP="00057BE5">
            <w:pPr>
              <w:pStyle w:val="ConsPlusNormal"/>
              <w:jc w:val="both"/>
              <w:rPr>
                <w:rFonts w:ascii="Times New Roman" w:hAnsi="Times New Roman" w:cs="Times New Roman"/>
                <w:sz w:val="24"/>
              </w:rPr>
            </w:pPr>
            <w:r w:rsidRPr="005C53F5">
              <w:rPr>
                <w:rFonts w:ascii="Times New Roman" w:hAnsi="Times New Roman" w:cs="Times New Roman"/>
                <w:sz w:val="24"/>
              </w:rPr>
              <w:t>182-й (сто восемьдесят второй) день с даты начала размещения Облигаций соответствующей серии</w:t>
            </w:r>
          </w:p>
        </w:tc>
      </w:tr>
      <w:tr w:rsidR="003D709A" w:rsidRPr="005C53F5" w14:paraId="2EC23AB7" w14:textId="77777777" w:rsidTr="00754373">
        <w:tc>
          <w:tcPr>
            <w:tcW w:w="954" w:type="pct"/>
            <w:shd w:val="clear" w:color="auto" w:fill="auto"/>
          </w:tcPr>
          <w:p w14:paraId="3AABE7FD" w14:textId="77777777" w:rsidR="003D709A" w:rsidRPr="005C53F5" w:rsidRDefault="003D709A" w:rsidP="00057BE5">
            <w:pPr>
              <w:pStyle w:val="ConsPlusNormal"/>
              <w:numPr>
                <w:ilvl w:val="0"/>
                <w:numId w:val="34"/>
              </w:numPr>
              <w:jc w:val="center"/>
              <w:rPr>
                <w:rFonts w:ascii="Times New Roman" w:hAnsi="Times New Roman" w:cs="Times New Roman"/>
                <w:sz w:val="24"/>
              </w:rPr>
            </w:pPr>
          </w:p>
        </w:tc>
        <w:tc>
          <w:tcPr>
            <w:tcW w:w="2061" w:type="pct"/>
            <w:shd w:val="clear" w:color="auto" w:fill="auto"/>
          </w:tcPr>
          <w:p w14:paraId="6FEFAF6C" w14:textId="77777777" w:rsidR="003D709A" w:rsidRPr="005C53F5" w:rsidRDefault="003D709A" w:rsidP="00057BE5">
            <w:pPr>
              <w:pStyle w:val="ConsPlusNormal"/>
              <w:jc w:val="both"/>
              <w:rPr>
                <w:rFonts w:ascii="Times New Roman" w:hAnsi="Times New Roman" w:cs="Times New Roman"/>
                <w:sz w:val="24"/>
              </w:rPr>
            </w:pPr>
            <w:r w:rsidRPr="005C53F5">
              <w:rPr>
                <w:rFonts w:ascii="Times New Roman" w:hAnsi="Times New Roman" w:cs="Times New Roman"/>
                <w:sz w:val="24"/>
              </w:rPr>
              <w:t>182-й (сто восемьдесят второй) день с даты начала размещения Облигаций соответствующей серии</w:t>
            </w:r>
          </w:p>
        </w:tc>
        <w:tc>
          <w:tcPr>
            <w:tcW w:w="1985" w:type="pct"/>
            <w:shd w:val="clear" w:color="auto" w:fill="auto"/>
          </w:tcPr>
          <w:p w14:paraId="5929AC42" w14:textId="77777777" w:rsidR="003D709A" w:rsidRPr="005C53F5" w:rsidRDefault="003D709A" w:rsidP="00057BE5">
            <w:pPr>
              <w:pStyle w:val="ConsPlusNormal"/>
              <w:jc w:val="both"/>
              <w:rPr>
                <w:rFonts w:ascii="Times New Roman" w:hAnsi="Times New Roman" w:cs="Times New Roman"/>
                <w:sz w:val="24"/>
              </w:rPr>
            </w:pPr>
            <w:r w:rsidRPr="005C53F5">
              <w:rPr>
                <w:rFonts w:ascii="Times New Roman" w:hAnsi="Times New Roman" w:cs="Times New Roman"/>
                <w:sz w:val="24"/>
              </w:rPr>
              <w:t>364-й (триста шестьдесят четвертый) день с даты начала размещения Облигаций соответствующей серии</w:t>
            </w:r>
          </w:p>
        </w:tc>
      </w:tr>
      <w:tr w:rsidR="003D709A" w:rsidRPr="005C53F5" w14:paraId="7C55919F" w14:textId="77777777" w:rsidTr="00754373">
        <w:tc>
          <w:tcPr>
            <w:tcW w:w="954" w:type="pct"/>
            <w:shd w:val="clear" w:color="auto" w:fill="auto"/>
          </w:tcPr>
          <w:p w14:paraId="6C53570B" w14:textId="77777777" w:rsidR="003D709A" w:rsidRPr="005C53F5" w:rsidRDefault="003D709A" w:rsidP="00057BE5">
            <w:pPr>
              <w:pStyle w:val="ConsPlusNormal"/>
              <w:numPr>
                <w:ilvl w:val="0"/>
                <w:numId w:val="34"/>
              </w:numPr>
              <w:jc w:val="center"/>
              <w:rPr>
                <w:rFonts w:ascii="Times New Roman" w:hAnsi="Times New Roman" w:cs="Times New Roman"/>
                <w:sz w:val="24"/>
              </w:rPr>
            </w:pPr>
          </w:p>
        </w:tc>
        <w:tc>
          <w:tcPr>
            <w:tcW w:w="2061" w:type="pct"/>
            <w:shd w:val="clear" w:color="auto" w:fill="auto"/>
          </w:tcPr>
          <w:p w14:paraId="543F35A9" w14:textId="77777777" w:rsidR="003D709A" w:rsidRPr="005C53F5" w:rsidRDefault="003D709A" w:rsidP="00057BE5">
            <w:pPr>
              <w:pStyle w:val="ConsPlusNormal"/>
              <w:jc w:val="both"/>
              <w:rPr>
                <w:rFonts w:ascii="Times New Roman" w:hAnsi="Times New Roman" w:cs="Times New Roman"/>
                <w:sz w:val="24"/>
              </w:rPr>
            </w:pPr>
            <w:r w:rsidRPr="005C53F5">
              <w:rPr>
                <w:rFonts w:ascii="Times New Roman" w:hAnsi="Times New Roman" w:cs="Times New Roman"/>
                <w:sz w:val="24"/>
              </w:rPr>
              <w:t>364-й (триста шестьдесят четвертый) день с даты начала размещения Облигаций соответствующей серии</w:t>
            </w:r>
          </w:p>
        </w:tc>
        <w:tc>
          <w:tcPr>
            <w:tcW w:w="1985" w:type="pct"/>
            <w:shd w:val="clear" w:color="auto" w:fill="auto"/>
          </w:tcPr>
          <w:p w14:paraId="17FA6731" w14:textId="77777777" w:rsidR="003D709A" w:rsidRPr="005C53F5" w:rsidRDefault="003D709A" w:rsidP="00057BE5">
            <w:pPr>
              <w:pStyle w:val="ConsPlusNormal"/>
              <w:jc w:val="both"/>
              <w:rPr>
                <w:rFonts w:ascii="Times New Roman" w:hAnsi="Times New Roman" w:cs="Times New Roman"/>
                <w:sz w:val="24"/>
              </w:rPr>
            </w:pPr>
            <w:r w:rsidRPr="005C53F5">
              <w:rPr>
                <w:rFonts w:ascii="Times New Roman" w:hAnsi="Times New Roman" w:cs="Times New Roman"/>
                <w:sz w:val="24"/>
              </w:rPr>
              <w:t>546-й (пятьсот сорок шестой) день с даты начала размещения Облигаций соответствующей серии</w:t>
            </w:r>
          </w:p>
        </w:tc>
      </w:tr>
      <w:tr w:rsidR="003D709A" w:rsidRPr="005C53F5" w14:paraId="7AACCB1B" w14:textId="77777777" w:rsidTr="00754373">
        <w:tc>
          <w:tcPr>
            <w:tcW w:w="954" w:type="pct"/>
            <w:shd w:val="clear" w:color="auto" w:fill="auto"/>
          </w:tcPr>
          <w:p w14:paraId="79C08442" w14:textId="77777777" w:rsidR="003D709A" w:rsidRPr="005C53F5" w:rsidRDefault="003D709A" w:rsidP="00057BE5">
            <w:pPr>
              <w:pStyle w:val="ConsPlusNormal"/>
              <w:numPr>
                <w:ilvl w:val="0"/>
                <w:numId w:val="34"/>
              </w:numPr>
              <w:jc w:val="center"/>
              <w:rPr>
                <w:rFonts w:ascii="Times New Roman" w:hAnsi="Times New Roman" w:cs="Times New Roman"/>
                <w:sz w:val="24"/>
              </w:rPr>
            </w:pPr>
          </w:p>
        </w:tc>
        <w:tc>
          <w:tcPr>
            <w:tcW w:w="2061" w:type="pct"/>
            <w:shd w:val="clear" w:color="auto" w:fill="auto"/>
          </w:tcPr>
          <w:p w14:paraId="699ECFC9" w14:textId="77777777" w:rsidR="003D709A" w:rsidRPr="005C53F5" w:rsidRDefault="003D709A" w:rsidP="00057BE5">
            <w:pPr>
              <w:pStyle w:val="ConsPlusNormal"/>
              <w:jc w:val="both"/>
              <w:rPr>
                <w:rFonts w:ascii="Times New Roman" w:hAnsi="Times New Roman" w:cs="Times New Roman"/>
                <w:sz w:val="24"/>
              </w:rPr>
            </w:pPr>
            <w:r w:rsidRPr="005C53F5">
              <w:rPr>
                <w:rFonts w:ascii="Times New Roman" w:hAnsi="Times New Roman" w:cs="Times New Roman"/>
                <w:sz w:val="24"/>
              </w:rPr>
              <w:t>546-й (пятьсот сорок шестой) день с даты начала размещения Облигаций соответствующей серии</w:t>
            </w:r>
          </w:p>
        </w:tc>
        <w:tc>
          <w:tcPr>
            <w:tcW w:w="1985" w:type="pct"/>
            <w:shd w:val="clear" w:color="auto" w:fill="auto"/>
          </w:tcPr>
          <w:p w14:paraId="0C963CF2" w14:textId="77777777" w:rsidR="003D709A" w:rsidRPr="005C53F5" w:rsidRDefault="003D709A" w:rsidP="00057BE5">
            <w:pPr>
              <w:pStyle w:val="ConsPlusNormal"/>
              <w:jc w:val="both"/>
              <w:rPr>
                <w:rFonts w:ascii="Times New Roman" w:hAnsi="Times New Roman" w:cs="Times New Roman"/>
                <w:sz w:val="24"/>
              </w:rPr>
            </w:pPr>
            <w:r w:rsidRPr="005C53F5">
              <w:rPr>
                <w:rFonts w:ascii="Times New Roman" w:hAnsi="Times New Roman" w:cs="Times New Roman"/>
                <w:sz w:val="24"/>
              </w:rPr>
              <w:t>728-й (семьсот двадцать восьмой) день с даты начала размещения Облигаций соответствующей серии</w:t>
            </w:r>
          </w:p>
        </w:tc>
      </w:tr>
      <w:tr w:rsidR="003D709A" w:rsidRPr="005C53F5" w14:paraId="617A203C" w14:textId="77777777" w:rsidTr="00754373">
        <w:tc>
          <w:tcPr>
            <w:tcW w:w="954" w:type="pct"/>
            <w:tcBorders>
              <w:bottom w:val="single" w:sz="4" w:space="0" w:color="auto"/>
            </w:tcBorders>
            <w:shd w:val="clear" w:color="auto" w:fill="auto"/>
          </w:tcPr>
          <w:p w14:paraId="51F8B7AE" w14:textId="77777777" w:rsidR="003D709A" w:rsidRPr="005C53F5" w:rsidRDefault="003D709A" w:rsidP="00057BE5">
            <w:pPr>
              <w:pStyle w:val="ConsPlusNormal"/>
              <w:numPr>
                <w:ilvl w:val="0"/>
                <w:numId w:val="34"/>
              </w:numPr>
              <w:jc w:val="center"/>
              <w:rPr>
                <w:rFonts w:ascii="Times New Roman" w:hAnsi="Times New Roman" w:cs="Times New Roman"/>
                <w:sz w:val="24"/>
              </w:rPr>
            </w:pPr>
          </w:p>
        </w:tc>
        <w:tc>
          <w:tcPr>
            <w:tcW w:w="2061" w:type="pct"/>
            <w:tcBorders>
              <w:bottom w:val="single" w:sz="4" w:space="0" w:color="auto"/>
            </w:tcBorders>
            <w:shd w:val="clear" w:color="auto" w:fill="auto"/>
          </w:tcPr>
          <w:p w14:paraId="4DAB6534" w14:textId="77777777" w:rsidR="003D709A" w:rsidRPr="005C53F5" w:rsidRDefault="003D709A" w:rsidP="00057BE5">
            <w:pPr>
              <w:pStyle w:val="ConsPlusNormal"/>
              <w:jc w:val="both"/>
              <w:rPr>
                <w:rFonts w:ascii="Times New Roman" w:hAnsi="Times New Roman" w:cs="Times New Roman"/>
                <w:sz w:val="24"/>
              </w:rPr>
            </w:pPr>
            <w:r w:rsidRPr="005C53F5">
              <w:rPr>
                <w:rFonts w:ascii="Times New Roman" w:hAnsi="Times New Roman" w:cs="Times New Roman"/>
                <w:sz w:val="24"/>
              </w:rPr>
              <w:t>728-й (семьсот двадцать восьмой) день с даты начала размещения Облигаций соответствующей серии</w:t>
            </w:r>
          </w:p>
        </w:tc>
        <w:tc>
          <w:tcPr>
            <w:tcW w:w="1985" w:type="pct"/>
            <w:tcBorders>
              <w:bottom w:val="single" w:sz="4" w:space="0" w:color="auto"/>
            </w:tcBorders>
            <w:shd w:val="clear" w:color="auto" w:fill="auto"/>
          </w:tcPr>
          <w:p w14:paraId="4356514F" w14:textId="77777777" w:rsidR="003D709A" w:rsidRPr="005C53F5" w:rsidRDefault="003D709A" w:rsidP="00057BE5">
            <w:pPr>
              <w:pStyle w:val="ConsPlusNormal"/>
              <w:jc w:val="both"/>
              <w:rPr>
                <w:rFonts w:ascii="Times New Roman" w:hAnsi="Times New Roman" w:cs="Times New Roman"/>
                <w:sz w:val="24"/>
              </w:rPr>
            </w:pPr>
            <w:r w:rsidRPr="005C53F5">
              <w:rPr>
                <w:rFonts w:ascii="Times New Roman" w:hAnsi="Times New Roman" w:cs="Times New Roman"/>
                <w:sz w:val="24"/>
              </w:rPr>
              <w:t>910-й (девятьсот десятый) день с даты начала размещения Облигаций соответствующей серии</w:t>
            </w:r>
          </w:p>
        </w:tc>
      </w:tr>
      <w:tr w:rsidR="003D709A" w:rsidRPr="005C53F5" w14:paraId="2BC73BA6" w14:textId="77777777" w:rsidTr="00754373">
        <w:tc>
          <w:tcPr>
            <w:tcW w:w="954" w:type="pct"/>
            <w:tcBorders>
              <w:bottom w:val="single" w:sz="4" w:space="0" w:color="auto"/>
            </w:tcBorders>
            <w:shd w:val="clear" w:color="auto" w:fill="auto"/>
          </w:tcPr>
          <w:p w14:paraId="25338427" w14:textId="77777777" w:rsidR="003D709A" w:rsidRPr="005C53F5" w:rsidRDefault="003D709A" w:rsidP="00057BE5">
            <w:pPr>
              <w:pStyle w:val="ConsPlusNormal"/>
              <w:numPr>
                <w:ilvl w:val="0"/>
                <w:numId w:val="34"/>
              </w:numPr>
              <w:jc w:val="center"/>
              <w:rPr>
                <w:rFonts w:ascii="Times New Roman" w:hAnsi="Times New Roman" w:cs="Times New Roman"/>
                <w:sz w:val="24"/>
              </w:rPr>
            </w:pPr>
          </w:p>
        </w:tc>
        <w:tc>
          <w:tcPr>
            <w:tcW w:w="2061" w:type="pct"/>
            <w:tcBorders>
              <w:bottom w:val="single" w:sz="4" w:space="0" w:color="auto"/>
            </w:tcBorders>
            <w:shd w:val="clear" w:color="auto" w:fill="auto"/>
          </w:tcPr>
          <w:p w14:paraId="4461844A" w14:textId="77777777" w:rsidR="003D709A" w:rsidRPr="005C53F5" w:rsidRDefault="003D709A" w:rsidP="00057BE5">
            <w:pPr>
              <w:pStyle w:val="ConsPlusNormal"/>
              <w:jc w:val="both"/>
              <w:rPr>
                <w:rFonts w:ascii="Times New Roman" w:hAnsi="Times New Roman" w:cs="Times New Roman"/>
                <w:sz w:val="24"/>
              </w:rPr>
            </w:pPr>
            <w:r w:rsidRPr="005C53F5">
              <w:rPr>
                <w:rFonts w:ascii="Times New Roman" w:hAnsi="Times New Roman" w:cs="Times New Roman"/>
                <w:sz w:val="24"/>
              </w:rPr>
              <w:t>910-й (девятьсот десятый) день с даты начала размещения Облигаций соответствующей серии</w:t>
            </w:r>
          </w:p>
        </w:tc>
        <w:tc>
          <w:tcPr>
            <w:tcW w:w="1985" w:type="pct"/>
            <w:tcBorders>
              <w:bottom w:val="single" w:sz="4" w:space="0" w:color="auto"/>
            </w:tcBorders>
            <w:shd w:val="clear" w:color="auto" w:fill="auto"/>
          </w:tcPr>
          <w:p w14:paraId="6C1CE698" w14:textId="77777777" w:rsidR="003D709A" w:rsidRPr="005C53F5" w:rsidRDefault="003D709A" w:rsidP="00057BE5">
            <w:pPr>
              <w:pStyle w:val="ConsPlusNormal"/>
              <w:jc w:val="both"/>
              <w:rPr>
                <w:rFonts w:ascii="Times New Roman" w:hAnsi="Times New Roman" w:cs="Times New Roman"/>
                <w:sz w:val="24"/>
              </w:rPr>
            </w:pPr>
            <w:r w:rsidRPr="005C53F5">
              <w:rPr>
                <w:rFonts w:ascii="Times New Roman" w:hAnsi="Times New Roman" w:cs="Times New Roman"/>
                <w:sz w:val="24"/>
              </w:rPr>
              <w:t>1092-й (одна тысяча девяносто второй) день с даты начала размещения Облигаций соответствующей серии</w:t>
            </w:r>
          </w:p>
        </w:tc>
      </w:tr>
    </w:tbl>
    <w:p w14:paraId="3D2F1905" w14:textId="77777777" w:rsidR="004C7F3C" w:rsidRPr="005C53F5" w:rsidRDefault="004C7F3C" w:rsidP="00057BE5">
      <w:pPr>
        <w:pStyle w:val="ConsPlusNormal"/>
        <w:ind w:firstLine="708"/>
        <w:jc w:val="both"/>
        <w:rPr>
          <w:rFonts w:ascii="Times New Roman" w:hAnsi="Times New Roman" w:cs="Times New Roman"/>
          <w:i/>
          <w:sz w:val="24"/>
        </w:rPr>
      </w:pPr>
      <w:r w:rsidRPr="005C53F5">
        <w:rPr>
          <w:rFonts w:ascii="Times New Roman" w:hAnsi="Times New Roman" w:cs="Times New Roman"/>
          <w:i/>
          <w:sz w:val="24"/>
        </w:rPr>
        <w:t>Размер купонного дохода или порядок его определения:</w:t>
      </w:r>
    </w:p>
    <w:p w14:paraId="52DF9F85"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Процентная ставка по первому купону может определяться:</w:t>
      </w:r>
    </w:p>
    <w:p w14:paraId="67F78ED3"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 в ходе проведения Конкурса на Бирже среди потенциальных покупателей Облигаций в дату начала размещения Облигаций.</w:t>
      </w:r>
    </w:p>
    <w:p w14:paraId="1F2F28DE"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bCs/>
          <w:sz w:val="24"/>
        </w:rPr>
        <w:t xml:space="preserve">б) </w:t>
      </w:r>
      <w:r w:rsidRPr="005C53F5">
        <w:rPr>
          <w:rFonts w:ascii="Times New Roman" w:hAnsi="Times New Roman" w:cs="Times New Roman"/>
          <w:bCs/>
          <w:iCs/>
          <w:sz w:val="24"/>
        </w:rPr>
        <w:t>уполномоченным органом Эмитента</w:t>
      </w:r>
      <w:r w:rsidRPr="005C53F5">
        <w:rPr>
          <w:rFonts w:ascii="Times New Roman" w:hAnsi="Times New Roman" w:cs="Times New Roman"/>
          <w:sz w:val="24"/>
        </w:rPr>
        <w:t xml:space="preserve"> не позднее чем за один день до даты начала размещения Облигаций.</w:t>
      </w:r>
    </w:p>
    <w:p w14:paraId="6F3F9BEC"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bCs/>
          <w:iCs/>
          <w:sz w:val="24"/>
        </w:rPr>
        <w:t>Процентная ставка по второму – шестому купонам равна процентной ставке по первому купону.</w:t>
      </w:r>
    </w:p>
    <w:p w14:paraId="764D8D50" w14:textId="7CC3622E"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Информация о процентной ставке по первому купону раскрывается в порядке, предусмотренном </w:t>
      </w:r>
      <w:r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sz w:val="24"/>
        </w:rPr>
        <w:t>.</w:t>
      </w:r>
    </w:p>
    <w:p w14:paraId="18333B83"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Эмитент информирует Биржу и НРД о принятом решении о ставке первого купона не позднее, чем за один рабочий день до даты начала размещения Облигаций.</w:t>
      </w:r>
    </w:p>
    <w:p w14:paraId="007ED767"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Расчет суммы выплат по каждому i-му купону на одну Облигацию производится по следующей формуле:</w:t>
      </w:r>
    </w:p>
    <w:p w14:paraId="1D1A307C" w14:textId="77777777" w:rsidR="004C7F3C" w:rsidRPr="005C53F5" w:rsidRDefault="004C7F3C" w:rsidP="00057BE5">
      <w:pPr>
        <w:pStyle w:val="ConsPlusNormal"/>
        <w:ind w:firstLine="709"/>
        <w:jc w:val="both"/>
        <w:rPr>
          <w:rFonts w:ascii="Times New Roman" w:hAnsi="Times New Roman" w:cs="Times New Roman"/>
          <w:sz w:val="24"/>
          <w:lang w:val="en-US"/>
        </w:rPr>
      </w:pPr>
      <w:r w:rsidRPr="005C53F5">
        <w:rPr>
          <w:rFonts w:ascii="Times New Roman" w:hAnsi="Times New Roman" w:cs="Times New Roman"/>
          <w:sz w:val="24"/>
        </w:rPr>
        <w:t>КД</w:t>
      </w:r>
      <w:r w:rsidRPr="005C53F5">
        <w:rPr>
          <w:rFonts w:ascii="Times New Roman" w:hAnsi="Times New Roman" w:cs="Times New Roman"/>
          <w:sz w:val="24"/>
          <w:lang w:val="en-US"/>
        </w:rPr>
        <w:t>i= Ci * Nom * (</w:t>
      </w:r>
      <w:r w:rsidRPr="005C53F5">
        <w:rPr>
          <w:rFonts w:ascii="Times New Roman" w:hAnsi="Times New Roman" w:cs="Times New Roman"/>
          <w:sz w:val="24"/>
        </w:rPr>
        <w:t>ДОКП</w:t>
      </w:r>
      <w:r w:rsidRPr="005C53F5">
        <w:rPr>
          <w:rFonts w:ascii="Times New Roman" w:hAnsi="Times New Roman" w:cs="Times New Roman"/>
          <w:sz w:val="24"/>
          <w:lang w:val="en-US"/>
        </w:rPr>
        <w:t xml:space="preserve">(i) - </w:t>
      </w:r>
      <w:r w:rsidRPr="005C53F5">
        <w:rPr>
          <w:rFonts w:ascii="Times New Roman" w:hAnsi="Times New Roman" w:cs="Times New Roman"/>
          <w:sz w:val="24"/>
        </w:rPr>
        <w:t>ДНКП</w:t>
      </w:r>
      <w:r w:rsidRPr="005C53F5">
        <w:rPr>
          <w:rFonts w:ascii="Times New Roman" w:hAnsi="Times New Roman" w:cs="Times New Roman"/>
          <w:sz w:val="24"/>
          <w:lang w:val="en-US"/>
        </w:rPr>
        <w:t>(i)) / (365 * 100%),</w:t>
      </w:r>
    </w:p>
    <w:p w14:paraId="10C2C304"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где</w:t>
      </w:r>
    </w:p>
    <w:p w14:paraId="1AC037C0"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«КДi» – величина купонного дохода по каждой Облигации по i-му купонному периоду в валюте, в которой выражена номинальная стоимость Облигации;</w:t>
      </w:r>
    </w:p>
    <w:p w14:paraId="5B2780ED"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«Nom» – номинальная стоимость одной Облигации;</w:t>
      </w:r>
    </w:p>
    <w:p w14:paraId="1589E0D3"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«Ci» – размер процентной ставки по i-му купону, проценты годовых;</w:t>
      </w:r>
    </w:p>
    <w:p w14:paraId="6582BCD7"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«ДНКП(i)» – дата начала i-го купонного периода;</w:t>
      </w:r>
    </w:p>
    <w:p w14:paraId="63937B2A"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«ДОКП(i)» – дата окончания i-го купонного периода.</w:t>
      </w:r>
    </w:p>
    <w:p w14:paraId="2BE8EC26"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«i» – порядковый номер купонного периода.</w:t>
      </w:r>
    </w:p>
    <w:p w14:paraId="21B84B3E" w14:textId="77777777" w:rsidR="004C7F3C" w:rsidRPr="005C53F5" w:rsidRDefault="004C7F3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КДi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1203F014" w14:textId="437548C8" w:rsidR="00A54BB9" w:rsidRPr="005C53F5" w:rsidRDefault="00A54BB9"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05-06</w:t>
      </w:r>
    </w:p>
    <w:p w14:paraId="3C1DD8C7" w14:textId="77777777" w:rsidR="00A54BB9" w:rsidRPr="005C53F5" w:rsidRDefault="00A54BB9" w:rsidP="00057BE5">
      <w:pPr>
        <w:pStyle w:val="ConsPlusNormal"/>
        <w:ind w:firstLine="709"/>
        <w:rPr>
          <w:rFonts w:ascii="Times New Roman" w:hAnsi="Times New Roman" w:cs="Times New Roman"/>
          <w:sz w:val="24"/>
        </w:rPr>
      </w:pPr>
      <w:r w:rsidRPr="005C53F5">
        <w:rPr>
          <w:rFonts w:ascii="Times New Roman" w:hAnsi="Times New Roman" w:cs="Times New Roman"/>
          <w:sz w:val="24"/>
        </w:rPr>
        <w:t>Доходом по Облигациям является сумма купонных доходов, начисляемых за каждый купонный период в виде процентов от номинальной стоимости Облигаций.</w:t>
      </w:r>
    </w:p>
    <w:p w14:paraId="30DED699" w14:textId="2C82E1C3" w:rsidR="00A54BB9" w:rsidRPr="005C53F5" w:rsidRDefault="00A54BB9"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rPr>
        <w:t xml:space="preserve">Количество купонных периодов: </w:t>
      </w:r>
      <w:r w:rsidR="00754373" w:rsidRPr="005C53F5">
        <w:rPr>
          <w:rFonts w:ascii="Times New Roman" w:hAnsi="Times New Roman" w:cs="Times New Roman"/>
          <w:sz w:val="24"/>
          <w:szCs w:val="22"/>
        </w:rPr>
        <w:t>10 (десять)</w:t>
      </w:r>
    </w:p>
    <w:p w14:paraId="6FDB6E57" w14:textId="77777777" w:rsidR="00A54BB9" w:rsidRPr="005C53F5" w:rsidRDefault="00A54BB9" w:rsidP="00057BE5">
      <w:pPr>
        <w:pStyle w:val="ConsPlusNormal"/>
        <w:ind w:firstLine="709"/>
        <w:rPr>
          <w:rFonts w:ascii="Times New Roman" w:hAnsi="Times New Roman" w:cs="Times New Roman"/>
          <w:sz w:val="24"/>
        </w:rPr>
      </w:pPr>
      <w:r w:rsidRPr="005C53F5">
        <w:rPr>
          <w:rFonts w:ascii="Times New Roman" w:hAnsi="Times New Roman" w:cs="Times New Roman"/>
          <w:sz w:val="24"/>
        </w:rPr>
        <w:t>Продолжительность купонных периодов: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4109"/>
        <w:gridCol w:w="3822"/>
      </w:tblGrid>
      <w:tr w:rsidR="00754373" w:rsidRPr="005C53F5" w14:paraId="00A97A56" w14:textId="77777777" w:rsidTr="00754373">
        <w:tc>
          <w:tcPr>
            <w:tcW w:w="881" w:type="pct"/>
            <w:vMerge w:val="restart"/>
            <w:shd w:val="clear" w:color="auto" w:fill="auto"/>
          </w:tcPr>
          <w:p w14:paraId="5243101C" w14:textId="77777777" w:rsidR="00754373" w:rsidRPr="005C53F5" w:rsidRDefault="00754373"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Порядковый номер купонного периода</w:t>
            </w:r>
          </w:p>
        </w:tc>
        <w:tc>
          <w:tcPr>
            <w:tcW w:w="4119" w:type="pct"/>
            <w:gridSpan w:val="2"/>
            <w:shd w:val="clear" w:color="auto" w:fill="auto"/>
          </w:tcPr>
          <w:p w14:paraId="71CDD677" w14:textId="77777777" w:rsidR="00754373" w:rsidRPr="005C53F5" w:rsidRDefault="00754373"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Продолжительность купонного периода для Облигаций серии 05, Облигаций серии 06</w:t>
            </w:r>
          </w:p>
        </w:tc>
      </w:tr>
      <w:tr w:rsidR="00754373" w:rsidRPr="005C53F5" w14:paraId="47B6A5E3" w14:textId="77777777" w:rsidTr="00754373">
        <w:tc>
          <w:tcPr>
            <w:tcW w:w="881" w:type="pct"/>
            <w:vMerge/>
            <w:shd w:val="clear" w:color="auto" w:fill="auto"/>
          </w:tcPr>
          <w:p w14:paraId="00C6E653" w14:textId="77777777" w:rsidR="00754373" w:rsidRPr="005C53F5" w:rsidRDefault="00754373" w:rsidP="00057BE5">
            <w:pPr>
              <w:pStyle w:val="ConsPlusNormal"/>
              <w:ind w:firstLine="709"/>
              <w:jc w:val="center"/>
              <w:rPr>
                <w:rFonts w:ascii="Times New Roman" w:hAnsi="Times New Roman" w:cs="Times New Roman"/>
                <w:b/>
                <w:sz w:val="24"/>
              </w:rPr>
            </w:pPr>
          </w:p>
        </w:tc>
        <w:tc>
          <w:tcPr>
            <w:tcW w:w="2134" w:type="pct"/>
            <w:shd w:val="clear" w:color="auto" w:fill="auto"/>
          </w:tcPr>
          <w:p w14:paraId="697EB0A7" w14:textId="77777777" w:rsidR="00754373" w:rsidRPr="005C53F5" w:rsidRDefault="00754373"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Дата начала</w:t>
            </w:r>
          </w:p>
        </w:tc>
        <w:tc>
          <w:tcPr>
            <w:tcW w:w="1985" w:type="pct"/>
            <w:shd w:val="clear" w:color="auto" w:fill="auto"/>
          </w:tcPr>
          <w:p w14:paraId="3C4BEC57" w14:textId="77777777" w:rsidR="00754373" w:rsidRPr="005C53F5" w:rsidRDefault="00754373"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Дата окончания</w:t>
            </w:r>
          </w:p>
        </w:tc>
      </w:tr>
      <w:tr w:rsidR="00754373" w:rsidRPr="005C53F5" w14:paraId="37DBB281" w14:textId="77777777" w:rsidTr="00754373">
        <w:tc>
          <w:tcPr>
            <w:tcW w:w="881" w:type="pct"/>
            <w:shd w:val="clear" w:color="auto" w:fill="auto"/>
          </w:tcPr>
          <w:p w14:paraId="4506DEF7" w14:textId="77777777" w:rsidR="00754373" w:rsidRPr="005C53F5" w:rsidRDefault="00754373" w:rsidP="00057BE5">
            <w:pPr>
              <w:pStyle w:val="ConsPlusNormal"/>
              <w:numPr>
                <w:ilvl w:val="0"/>
                <w:numId w:val="35"/>
              </w:numPr>
              <w:jc w:val="center"/>
              <w:rPr>
                <w:rFonts w:ascii="Times New Roman" w:hAnsi="Times New Roman" w:cs="Times New Roman"/>
                <w:sz w:val="24"/>
              </w:rPr>
            </w:pPr>
          </w:p>
        </w:tc>
        <w:tc>
          <w:tcPr>
            <w:tcW w:w="2134" w:type="pct"/>
            <w:shd w:val="clear" w:color="auto" w:fill="auto"/>
          </w:tcPr>
          <w:p w14:paraId="33A479FB"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Дата начала размещения Облигаций соответствующей серии</w:t>
            </w:r>
          </w:p>
        </w:tc>
        <w:tc>
          <w:tcPr>
            <w:tcW w:w="1985" w:type="pct"/>
            <w:shd w:val="clear" w:color="auto" w:fill="auto"/>
          </w:tcPr>
          <w:p w14:paraId="47E85A44"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182-й (сто восемьдесят второй) день с даты начала размещения Облигаций соответствующей серии</w:t>
            </w:r>
          </w:p>
        </w:tc>
      </w:tr>
      <w:tr w:rsidR="00754373" w:rsidRPr="005C53F5" w14:paraId="0A4484BD" w14:textId="77777777" w:rsidTr="00754373">
        <w:tc>
          <w:tcPr>
            <w:tcW w:w="881" w:type="pct"/>
            <w:shd w:val="clear" w:color="auto" w:fill="auto"/>
          </w:tcPr>
          <w:p w14:paraId="025BC380" w14:textId="77777777" w:rsidR="00754373" w:rsidRPr="005C53F5" w:rsidRDefault="00754373" w:rsidP="00057BE5">
            <w:pPr>
              <w:pStyle w:val="ConsPlusNormal"/>
              <w:numPr>
                <w:ilvl w:val="0"/>
                <w:numId w:val="35"/>
              </w:numPr>
              <w:jc w:val="center"/>
              <w:rPr>
                <w:rFonts w:ascii="Times New Roman" w:hAnsi="Times New Roman" w:cs="Times New Roman"/>
                <w:sz w:val="24"/>
              </w:rPr>
            </w:pPr>
          </w:p>
        </w:tc>
        <w:tc>
          <w:tcPr>
            <w:tcW w:w="2134" w:type="pct"/>
            <w:shd w:val="clear" w:color="auto" w:fill="auto"/>
          </w:tcPr>
          <w:p w14:paraId="1567C7AA"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182-й (сто восемьдесят второй) день с даты начала размещения Облигаций соответствующей серии</w:t>
            </w:r>
          </w:p>
        </w:tc>
        <w:tc>
          <w:tcPr>
            <w:tcW w:w="1985" w:type="pct"/>
            <w:shd w:val="clear" w:color="auto" w:fill="auto"/>
          </w:tcPr>
          <w:p w14:paraId="49638725"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364-й (триста шестьдесят четвертый) день с даты начала размещения Облигаций соответствующей серии</w:t>
            </w:r>
          </w:p>
        </w:tc>
      </w:tr>
      <w:tr w:rsidR="00754373" w:rsidRPr="005C53F5" w14:paraId="09E6A8B8" w14:textId="77777777" w:rsidTr="00754373">
        <w:tc>
          <w:tcPr>
            <w:tcW w:w="881" w:type="pct"/>
            <w:shd w:val="clear" w:color="auto" w:fill="auto"/>
          </w:tcPr>
          <w:p w14:paraId="01A50887" w14:textId="77777777" w:rsidR="00754373" w:rsidRPr="005C53F5" w:rsidRDefault="00754373" w:rsidP="00057BE5">
            <w:pPr>
              <w:pStyle w:val="ConsPlusNormal"/>
              <w:numPr>
                <w:ilvl w:val="0"/>
                <w:numId w:val="35"/>
              </w:numPr>
              <w:jc w:val="center"/>
              <w:rPr>
                <w:rFonts w:ascii="Times New Roman" w:hAnsi="Times New Roman" w:cs="Times New Roman"/>
                <w:sz w:val="24"/>
              </w:rPr>
            </w:pPr>
          </w:p>
        </w:tc>
        <w:tc>
          <w:tcPr>
            <w:tcW w:w="2134" w:type="pct"/>
            <w:shd w:val="clear" w:color="auto" w:fill="auto"/>
          </w:tcPr>
          <w:p w14:paraId="3344C98F"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364-й (триста шестьдесят четвертый) день с даты начала размещения Облигаций соответствующей серии</w:t>
            </w:r>
          </w:p>
        </w:tc>
        <w:tc>
          <w:tcPr>
            <w:tcW w:w="1985" w:type="pct"/>
            <w:shd w:val="clear" w:color="auto" w:fill="auto"/>
          </w:tcPr>
          <w:p w14:paraId="70F5345C"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546-й (пятьсот сорок шестой) день с даты начала размещения Облигаций соответствующей серии</w:t>
            </w:r>
          </w:p>
        </w:tc>
      </w:tr>
      <w:tr w:rsidR="00754373" w:rsidRPr="005C53F5" w14:paraId="19083B80" w14:textId="77777777" w:rsidTr="00754373">
        <w:tc>
          <w:tcPr>
            <w:tcW w:w="881" w:type="pct"/>
            <w:shd w:val="clear" w:color="auto" w:fill="auto"/>
          </w:tcPr>
          <w:p w14:paraId="70E35D4D" w14:textId="77777777" w:rsidR="00754373" w:rsidRPr="005C53F5" w:rsidRDefault="00754373" w:rsidP="00057BE5">
            <w:pPr>
              <w:pStyle w:val="ConsPlusNormal"/>
              <w:numPr>
                <w:ilvl w:val="0"/>
                <w:numId w:val="35"/>
              </w:numPr>
              <w:jc w:val="center"/>
              <w:rPr>
                <w:rFonts w:ascii="Times New Roman" w:hAnsi="Times New Roman" w:cs="Times New Roman"/>
                <w:sz w:val="24"/>
              </w:rPr>
            </w:pPr>
          </w:p>
        </w:tc>
        <w:tc>
          <w:tcPr>
            <w:tcW w:w="2134" w:type="pct"/>
            <w:shd w:val="clear" w:color="auto" w:fill="auto"/>
          </w:tcPr>
          <w:p w14:paraId="5D7F5798"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546-й (пятьсот сорок шестой) день с даты начала размещения Облигаций соответствующей серии</w:t>
            </w:r>
          </w:p>
        </w:tc>
        <w:tc>
          <w:tcPr>
            <w:tcW w:w="1985" w:type="pct"/>
            <w:shd w:val="clear" w:color="auto" w:fill="auto"/>
          </w:tcPr>
          <w:p w14:paraId="79504F89"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728-й (семьсот двадцать восьмой) день с даты начала размещения Облигаций соответствующей серии</w:t>
            </w:r>
          </w:p>
        </w:tc>
      </w:tr>
      <w:tr w:rsidR="00754373" w:rsidRPr="005C53F5" w14:paraId="486AE6CA" w14:textId="77777777" w:rsidTr="00754373">
        <w:tc>
          <w:tcPr>
            <w:tcW w:w="881" w:type="pct"/>
            <w:shd w:val="clear" w:color="auto" w:fill="auto"/>
          </w:tcPr>
          <w:p w14:paraId="6BDF535F" w14:textId="77777777" w:rsidR="00754373" w:rsidRPr="005C53F5" w:rsidRDefault="00754373" w:rsidP="00057BE5">
            <w:pPr>
              <w:pStyle w:val="ConsPlusNormal"/>
              <w:numPr>
                <w:ilvl w:val="0"/>
                <w:numId w:val="35"/>
              </w:numPr>
              <w:jc w:val="center"/>
              <w:rPr>
                <w:rFonts w:ascii="Times New Roman" w:hAnsi="Times New Roman" w:cs="Times New Roman"/>
                <w:sz w:val="24"/>
              </w:rPr>
            </w:pPr>
          </w:p>
        </w:tc>
        <w:tc>
          <w:tcPr>
            <w:tcW w:w="2134" w:type="pct"/>
            <w:shd w:val="clear" w:color="auto" w:fill="auto"/>
          </w:tcPr>
          <w:p w14:paraId="718E545A"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728-й (семьсот двадцать восьмой) день с даты начала размещения Облигаций соответствующей серии</w:t>
            </w:r>
          </w:p>
        </w:tc>
        <w:tc>
          <w:tcPr>
            <w:tcW w:w="1985" w:type="pct"/>
            <w:shd w:val="clear" w:color="auto" w:fill="auto"/>
          </w:tcPr>
          <w:p w14:paraId="7C46EFD0"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910-й (девятьсот десятый) день с даты начала размещения Облигаций соответствующей серии</w:t>
            </w:r>
          </w:p>
        </w:tc>
      </w:tr>
      <w:tr w:rsidR="00754373" w:rsidRPr="005C53F5" w14:paraId="20EE42D7" w14:textId="77777777" w:rsidTr="00754373">
        <w:tc>
          <w:tcPr>
            <w:tcW w:w="881" w:type="pct"/>
            <w:shd w:val="clear" w:color="auto" w:fill="auto"/>
          </w:tcPr>
          <w:p w14:paraId="4824A056" w14:textId="77777777" w:rsidR="00754373" w:rsidRPr="005C53F5" w:rsidRDefault="00754373" w:rsidP="00057BE5">
            <w:pPr>
              <w:pStyle w:val="ConsPlusNormal"/>
              <w:numPr>
                <w:ilvl w:val="0"/>
                <w:numId w:val="35"/>
              </w:numPr>
              <w:jc w:val="center"/>
              <w:rPr>
                <w:rFonts w:ascii="Times New Roman" w:hAnsi="Times New Roman" w:cs="Times New Roman"/>
                <w:sz w:val="24"/>
              </w:rPr>
            </w:pPr>
          </w:p>
        </w:tc>
        <w:tc>
          <w:tcPr>
            <w:tcW w:w="2134" w:type="pct"/>
            <w:shd w:val="clear" w:color="auto" w:fill="auto"/>
          </w:tcPr>
          <w:p w14:paraId="4027CBA0"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910-й (девятьсот десятый) день с даты начала размещения Облигаций соответствующей серии</w:t>
            </w:r>
          </w:p>
        </w:tc>
        <w:tc>
          <w:tcPr>
            <w:tcW w:w="1985" w:type="pct"/>
            <w:shd w:val="clear" w:color="auto" w:fill="auto"/>
          </w:tcPr>
          <w:p w14:paraId="51BB7E6F"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1092-й (одна тысяча девяносто второй) день с даты начала размещения Облигаций соответствующей серии</w:t>
            </w:r>
          </w:p>
        </w:tc>
      </w:tr>
      <w:tr w:rsidR="00754373" w:rsidRPr="005C53F5" w14:paraId="65648B0C" w14:textId="77777777" w:rsidTr="00754373">
        <w:tc>
          <w:tcPr>
            <w:tcW w:w="881" w:type="pct"/>
            <w:shd w:val="clear" w:color="auto" w:fill="auto"/>
          </w:tcPr>
          <w:p w14:paraId="6F86F5C3" w14:textId="77777777" w:rsidR="00754373" w:rsidRPr="005C53F5" w:rsidRDefault="00754373" w:rsidP="00057BE5">
            <w:pPr>
              <w:pStyle w:val="ConsPlusNormal"/>
              <w:numPr>
                <w:ilvl w:val="0"/>
                <w:numId w:val="35"/>
              </w:numPr>
              <w:jc w:val="center"/>
              <w:rPr>
                <w:rFonts w:ascii="Times New Roman" w:hAnsi="Times New Roman" w:cs="Times New Roman"/>
                <w:sz w:val="24"/>
              </w:rPr>
            </w:pPr>
          </w:p>
        </w:tc>
        <w:tc>
          <w:tcPr>
            <w:tcW w:w="2134" w:type="pct"/>
            <w:shd w:val="clear" w:color="auto" w:fill="auto"/>
          </w:tcPr>
          <w:p w14:paraId="278F3ADE"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1092-й (одна тысяча девяносто второй) день с даты начала размещения Облигаций соответствующей серии</w:t>
            </w:r>
          </w:p>
        </w:tc>
        <w:tc>
          <w:tcPr>
            <w:tcW w:w="1985" w:type="pct"/>
            <w:shd w:val="clear" w:color="auto" w:fill="auto"/>
          </w:tcPr>
          <w:p w14:paraId="3CD22865"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1274-й (одна тысяча двести семьдесят четвертый) день с даты начала размещения Облигаций соответствующей серии</w:t>
            </w:r>
          </w:p>
        </w:tc>
      </w:tr>
      <w:tr w:rsidR="00754373" w:rsidRPr="005C53F5" w14:paraId="2E606AD5" w14:textId="77777777" w:rsidTr="00754373">
        <w:tc>
          <w:tcPr>
            <w:tcW w:w="881" w:type="pct"/>
            <w:shd w:val="clear" w:color="auto" w:fill="auto"/>
          </w:tcPr>
          <w:p w14:paraId="5D373BD3" w14:textId="77777777" w:rsidR="00754373" w:rsidRPr="005C53F5" w:rsidRDefault="00754373" w:rsidP="00057BE5">
            <w:pPr>
              <w:pStyle w:val="ConsPlusNormal"/>
              <w:numPr>
                <w:ilvl w:val="0"/>
                <w:numId w:val="35"/>
              </w:numPr>
              <w:jc w:val="center"/>
              <w:rPr>
                <w:rFonts w:ascii="Times New Roman" w:hAnsi="Times New Roman" w:cs="Times New Roman"/>
                <w:sz w:val="24"/>
              </w:rPr>
            </w:pPr>
          </w:p>
        </w:tc>
        <w:tc>
          <w:tcPr>
            <w:tcW w:w="2134" w:type="pct"/>
            <w:shd w:val="clear" w:color="auto" w:fill="auto"/>
          </w:tcPr>
          <w:p w14:paraId="2AFF0025"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1274-й (одна тысяча двести семьдесят четвертый) день с даты начала размещения Облигаций соответствующей серии</w:t>
            </w:r>
          </w:p>
        </w:tc>
        <w:tc>
          <w:tcPr>
            <w:tcW w:w="1985" w:type="pct"/>
            <w:shd w:val="clear" w:color="auto" w:fill="auto"/>
          </w:tcPr>
          <w:p w14:paraId="13B553E6"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1456-й (одна тысяча четыреста пятьдесят шестой) день с даты начала размещения Облигаций соответствующей серии</w:t>
            </w:r>
          </w:p>
        </w:tc>
      </w:tr>
      <w:tr w:rsidR="00754373" w:rsidRPr="005C53F5" w14:paraId="54EEF65E" w14:textId="77777777" w:rsidTr="00754373">
        <w:tc>
          <w:tcPr>
            <w:tcW w:w="881" w:type="pct"/>
            <w:shd w:val="clear" w:color="auto" w:fill="auto"/>
          </w:tcPr>
          <w:p w14:paraId="43EF43C5" w14:textId="77777777" w:rsidR="00754373" w:rsidRPr="005C53F5" w:rsidRDefault="00754373" w:rsidP="00057BE5">
            <w:pPr>
              <w:pStyle w:val="ConsPlusNormal"/>
              <w:numPr>
                <w:ilvl w:val="0"/>
                <w:numId w:val="35"/>
              </w:numPr>
              <w:jc w:val="center"/>
              <w:rPr>
                <w:rFonts w:ascii="Times New Roman" w:hAnsi="Times New Roman" w:cs="Times New Roman"/>
                <w:sz w:val="24"/>
              </w:rPr>
            </w:pPr>
          </w:p>
        </w:tc>
        <w:tc>
          <w:tcPr>
            <w:tcW w:w="2134" w:type="pct"/>
            <w:shd w:val="clear" w:color="auto" w:fill="auto"/>
          </w:tcPr>
          <w:p w14:paraId="4D07C6F7"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1456-й (одна тысяча четыреста пятьдесят шестой) день с даты начала размещения Облигаций соответствующей серии</w:t>
            </w:r>
          </w:p>
        </w:tc>
        <w:tc>
          <w:tcPr>
            <w:tcW w:w="1985" w:type="pct"/>
            <w:shd w:val="clear" w:color="auto" w:fill="auto"/>
          </w:tcPr>
          <w:p w14:paraId="3E68C8DF"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1638-й (одна тысяча шестьсот тридцать восьмой) день с даты начала размещения Облигаций соответствующей серии</w:t>
            </w:r>
          </w:p>
        </w:tc>
      </w:tr>
      <w:tr w:rsidR="00754373" w:rsidRPr="005C53F5" w14:paraId="5ABA3A89" w14:textId="77777777" w:rsidTr="00754373">
        <w:tc>
          <w:tcPr>
            <w:tcW w:w="881" w:type="pct"/>
            <w:shd w:val="clear" w:color="auto" w:fill="auto"/>
          </w:tcPr>
          <w:p w14:paraId="6E6E4871" w14:textId="77777777" w:rsidR="00754373" w:rsidRPr="005C53F5" w:rsidRDefault="00754373" w:rsidP="00057BE5">
            <w:pPr>
              <w:pStyle w:val="ConsPlusNormal"/>
              <w:numPr>
                <w:ilvl w:val="0"/>
                <w:numId w:val="35"/>
              </w:numPr>
              <w:jc w:val="center"/>
              <w:rPr>
                <w:rFonts w:ascii="Times New Roman" w:hAnsi="Times New Roman" w:cs="Times New Roman"/>
                <w:sz w:val="24"/>
              </w:rPr>
            </w:pPr>
          </w:p>
        </w:tc>
        <w:tc>
          <w:tcPr>
            <w:tcW w:w="2134" w:type="pct"/>
            <w:shd w:val="clear" w:color="auto" w:fill="auto"/>
          </w:tcPr>
          <w:p w14:paraId="17DDFE28"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1638-й (одна тысяча шестьсот тридцать восьмой) день с даты начала размещения Облигаций соответствующей серии</w:t>
            </w:r>
          </w:p>
        </w:tc>
        <w:tc>
          <w:tcPr>
            <w:tcW w:w="1985" w:type="pct"/>
            <w:shd w:val="clear" w:color="auto" w:fill="auto"/>
          </w:tcPr>
          <w:p w14:paraId="3A6BF59C" w14:textId="77777777" w:rsidR="00754373" w:rsidRPr="005C53F5" w:rsidRDefault="00754373" w:rsidP="00057BE5">
            <w:pPr>
              <w:pStyle w:val="ConsPlusNormal"/>
              <w:jc w:val="both"/>
              <w:rPr>
                <w:rFonts w:ascii="Times New Roman" w:hAnsi="Times New Roman" w:cs="Times New Roman"/>
                <w:sz w:val="24"/>
              </w:rPr>
            </w:pPr>
            <w:r w:rsidRPr="005C53F5">
              <w:rPr>
                <w:rFonts w:ascii="Times New Roman" w:hAnsi="Times New Roman" w:cs="Times New Roman"/>
                <w:sz w:val="24"/>
              </w:rPr>
              <w:t>1820-й (одна тысяча восемьсот двадцатый) день с даты начала размещения Облигаций соответствующей серии</w:t>
            </w:r>
          </w:p>
        </w:tc>
      </w:tr>
    </w:tbl>
    <w:p w14:paraId="358DA47F" w14:textId="77777777" w:rsidR="00A54BB9" w:rsidRPr="005C53F5" w:rsidRDefault="00A54BB9" w:rsidP="00057BE5">
      <w:pPr>
        <w:pStyle w:val="ConsPlusNormal"/>
        <w:ind w:firstLine="708"/>
        <w:jc w:val="both"/>
        <w:rPr>
          <w:rFonts w:ascii="Times New Roman" w:hAnsi="Times New Roman" w:cs="Times New Roman"/>
          <w:i/>
          <w:sz w:val="24"/>
        </w:rPr>
      </w:pPr>
      <w:r w:rsidRPr="005C53F5">
        <w:rPr>
          <w:rFonts w:ascii="Times New Roman" w:hAnsi="Times New Roman" w:cs="Times New Roman"/>
          <w:i/>
          <w:sz w:val="24"/>
        </w:rPr>
        <w:t>Размер купонного дохода или порядок его определения:</w:t>
      </w:r>
    </w:p>
    <w:p w14:paraId="15EC7800"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Процентная ставка по первому купону может определяться:</w:t>
      </w:r>
    </w:p>
    <w:p w14:paraId="2BC46600"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 в ходе проведения Конкурса на Бирже среди потенциальных покупателей Облигаций в дату начала размещения Облигаций.</w:t>
      </w:r>
    </w:p>
    <w:p w14:paraId="2889EB36"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bCs/>
          <w:sz w:val="24"/>
        </w:rPr>
        <w:t xml:space="preserve">б) </w:t>
      </w:r>
      <w:r w:rsidRPr="005C53F5">
        <w:rPr>
          <w:rFonts w:ascii="Times New Roman" w:hAnsi="Times New Roman" w:cs="Times New Roman"/>
          <w:bCs/>
          <w:iCs/>
          <w:sz w:val="24"/>
        </w:rPr>
        <w:t>уполномоченным органом Эмитента</w:t>
      </w:r>
      <w:r w:rsidRPr="005C53F5">
        <w:rPr>
          <w:rFonts w:ascii="Times New Roman" w:hAnsi="Times New Roman" w:cs="Times New Roman"/>
          <w:sz w:val="24"/>
        </w:rPr>
        <w:t xml:space="preserve"> не позднее чем за один день до даты начала размещения Облигаций.</w:t>
      </w:r>
    </w:p>
    <w:p w14:paraId="4E114EF5" w14:textId="6CA4A28F"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bCs/>
          <w:iCs/>
          <w:sz w:val="24"/>
        </w:rPr>
        <w:t xml:space="preserve">Процентная ставка по второму – </w:t>
      </w:r>
      <w:r w:rsidR="00754373" w:rsidRPr="005C53F5">
        <w:rPr>
          <w:rFonts w:ascii="Times New Roman" w:hAnsi="Times New Roman" w:cs="Times New Roman"/>
          <w:bCs/>
          <w:iCs/>
          <w:sz w:val="24"/>
        </w:rPr>
        <w:t>десятому</w:t>
      </w:r>
      <w:r w:rsidRPr="005C53F5">
        <w:rPr>
          <w:rFonts w:ascii="Times New Roman" w:hAnsi="Times New Roman" w:cs="Times New Roman"/>
          <w:bCs/>
          <w:iCs/>
          <w:sz w:val="24"/>
        </w:rPr>
        <w:t xml:space="preserve"> купонам равна процентной ставке по первому купону.</w:t>
      </w:r>
    </w:p>
    <w:p w14:paraId="090EECC4" w14:textId="6E9A6EBA"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Информация о процентной ставке по первому купону раскрывается в порядке, предусмотренном </w:t>
      </w:r>
      <w:r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sz w:val="24"/>
        </w:rPr>
        <w:t>.</w:t>
      </w:r>
    </w:p>
    <w:p w14:paraId="1C9DD3ED"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Эмитент информирует Биржу и НРД о принятом решении о ставке первого купона не позднее, чем за один рабочий день до даты начала размещения Облигаций.</w:t>
      </w:r>
    </w:p>
    <w:p w14:paraId="6DD7F1D4"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Расчет суммы выплат по каждому i-му купону на одну Облигацию производится по следующей формуле:</w:t>
      </w:r>
    </w:p>
    <w:p w14:paraId="10653DD7" w14:textId="77777777" w:rsidR="00A54BB9" w:rsidRPr="005C53F5" w:rsidRDefault="00A54BB9" w:rsidP="00057BE5">
      <w:pPr>
        <w:pStyle w:val="ConsPlusNormal"/>
        <w:ind w:firstLine="709"/>
        <w:jc w:val="both"/>
        <w:rPr>
          <w:rFonts w:ascii="Times New Roman" w:hAnsi="Times New Roman" w:cs="Times New Roman"/>
          <w:sz w:val="24"/>
          <w:lang w:val="en-US"/>
        </w:rPr>
      </w:pPr>
      <w:r w:rsidRPr="005C53F5">
        <w:rPr>
          <w:rFonts w:ascii="Times New Roman" w:hAnsi="Times New Roman" w:cs="Times New Roman"/>
          <w:sz w:val="24"/>
        </w:rPr>
        <w:t>КД</w:t>
      </w:r>
      <w:r w:rsidRPr="005C53F5">
        <w:rPr>
          <w:rFonts w:ascii="Times New Roman" w:hAnsi="Times New Roman" w:cs="Times New Roman"/>
          <w:sz w:val="24"/>
          <w:lang w:val="en-US"/>
        </w:rPr>
        <w:t>i= Ci * Nom * (</w:t>
      </w:r>
      <w:r w:rsidRPr="005C53F5">
        <w:rPr>
          <w:rFonts w:ascii="Times New Roman" w:hAnsi="Times New Roman" w:cs="Times New Roman"/>
          <w:sz w:val="24"/>
        </w:rPr>
        <w:t>ДОКП</w:t>
      </w:r>
      <w:r w:rsidRPr="005C53F5">
        <w:rPr>
          <w:rFonts w:ascii="Times New Roman" w:hAnsi="Times New Roman" w:cs="Times New Roman"/>
          <w:sz w:val="24"/>
          <w:lang w:val="en-US"/>
        </w:rPr>
        <w:t xml:space="preserve">(i) - </w:t>
      </w:r>
      <w:r w:rsidRPr="005C53F5">
        <w:rPr>
          <w:rFonts w:ascii="Times New Roman" w:hAnsi="Times New Roman" w:cs="Times New Roman"/>
          <w:sz w:val="24"/>
        </w:rPr>
        <w:t>ДНКП</w:t>
      </w:r>
      <w:r w:rsidRPr="005C53F5">
        <w:rPr>
          <w:rFonts w:ascii="Times New Roman" w:hAnsi="Times New Roman" w:cs="Times New Roman"/>
          <w:sz w:val="24"/>
          <w:lang w:val="en-US"/>
        </w:rPr>
        <w:t>(i)) / (365 * 100%),</w:t>
      </w:r>
    </w:p>
    <w:p w14:paraId="17022345"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где</w:t>
      </w:r>
    </w:p>
    <w:p w14:paraId="480FD074"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«КДi» – величина купонного дохода по каждой Облигации по i-му купонному периоду в валюте, в которой выражена номинальная стоимость Облигации;</w:t>
      </w:r>
    </w:p>
    <w:p w14:paraId="21BCC96F"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«Nom» – номинальная стоимость одной Облигации;</w:t>
      </w:r>
    </w:p>
    <w:p w14:paraId="62887240"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«Ci» – размер процентной ставки по i-му купону, проценты годовых;</w:t>
      </w:r>
    </w:p>
    <w:p w14:paraId="2793F3AB"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«ДНКП(i)» – дата начала i-го купонного периода;</w:t>
      </w:r>
    </w:p>
    <w:p w14:paraId="71F7A89B"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«ДОКП(i)» – дата окончания i-го купонного периода.</w:t>
      </w:r>
    </w:p>
    <w:p w14:paraId="450C3912"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«i» – порядковый номер купонного периода.</w:t>
      </w:r>
    </w:p>
    <w:p w14:paraId="00F63DA3"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КДi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081BABDC" w14:textId="52EB1C2C" w:rsidR="00A54BB9" w:rsidRPr="005C53F5" w:rsidRDefault="00A54BB9"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07-10</w:t>
      </w:r>
    </w:p>
    <w:p w14:paraId="289CCA99" w14:textId="77777777" w:rsidR="00A54BB9" w:rsidRPr="005C53F5" w:rsidRDefault="00A54BB9" w:rsidP="00057BE5">
      <w:pPr>
        <w:pStyle w:val="ConsPlusNormal"/>
        <w:ind w:firstLine="709"/>
        <w:rPr>
          <w:rFonts w:ascii="Times New Roman" w:hAnsi="Times New Roman" w:cs="Times New Roman"/>
          <w:sz w:val="24"/>
        </w:rPr>
      </w:pPr>
      <w:r w:rsidRPr="005C53F5">
        <w:rPr>
          <w:rFonts w:ascii="Times New Roman" w:hAnsi="Times New Roman" w:cs="Times New Roman"/>
          <w:sz w:val="24"/>
        </w:rPr>
        <w:t>Доходом по Облигациям является сумма купонных доходов, начисляемых за каждый купонный период в виде процентов от номинальной стоимости Облигаций.</w:t>
      </w:r>
    </w:p>
    <w:p w14:paraId="1BEF9AEA" w14:textId="2CCA1ADA" w:rsidR="00A54BB9" w:rsidRPr="005C53F5" w:rsidRDefault="00A54BB9"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rPr>
        <w:t>Количество купонных периодов:</w:t>
      </w:r>
      <w:r w:rsidR="002F786A" w:rsidRPr="005C53F5">
        <w:rPr>
          <w:rFonts w:ascii="Times New Roman" w:hAnsi="Times New Roman" w:cs="Times New Roman"/>
          <w:sz w:val="28"/>
          <w:szCs w:val="28"/>
        </w:rPr>
        <w:t xml:space="preserve"> </w:t>
      </w:r>
      <w:r w:rsidR="002F786A" w:rsidRPr="005C53F5">
        <w:rPr>
          <w:rFonts w:ascii="Times New Roman" w:hAnsi="Times New Roman" w:cs="Times New Roman"/>
          <w:sz w:val="24"/>
        </w:rPr>
        <w:t>14 (четырнадцать)</w:t>
      </w:r>
    </w:p>
    <w:p w14:paraId="5216D624" w14:textId="77777777" w:rsidR="00A54BB9" w:rsidRPr="005C53F5" w:rsidRDefault="00A54BB9" w:rsidP="00057BE5">
      <w:pPr>
        <w:pStyle w:val="ConsPlusNormal"/>
        <w:ind w:firstLine="709"/>
        <w:rPr>
          <w:rFonts w:ascii="Times New Roman" w:hAnsi="Times New Roman" w:cs="Times New Roman"/>
          <w:sz w:val="24"/>
        </w:rPr>
      </w:pPr>
      <w:r w:rsidRPr="005C53F5">
        <w:rPr>
          <w:rFonts w:ascii="Times New Roman" w:hAnsi="Times New Roman" w:cs="Times New Roman"/>
          <w:sz w:val="24"/>
        </w:rPr>
        <w:t>Продолжительность купонных периодов: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3968"/>
        <w:gridCol w:w="3822"/>
      </w:tblGrid>
      <w:tr w:rsidR="002F786A" w:rsidRPr="005C53F5" w14:paraId="40966750" w14:textId="77777777" w:rsidTr="002F786A">
        <w:tc>
          <w:tcPr>
            <w:tcW w:w="954" w:type="pct"/>
            <w:vMerge w:val="restart"/>
            <w:shd w:val="clear" w:color="auto" w:fill="auto"/>
          </w:tcPr>
          <w:p w14:paraId="02C30C67" w14:textId="77777777" w:rsidR="002F786A" w:rsidRPr="005C53F5" w:rsidRDefault="002F786A"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Порядковый номер купонного периода</w:t>
            </w:r>
          </w:p>
        </w:tc>
        <w:tc>
          <w:tcPr>
            <w:tcW w:w="4046" w:type="pct"/>
            <w:gridSpan w:val="2"/>
            <w:shd w:val="clear" w:color="auto" w:fill="auto"/>
          </w:tcPr>
          <w:p w14:paraId="0FBF7FCC" w14:textId="77777777" w:rsidR="002F786A" w:rsidRPr="005C53F5" w:rsidRDefault="002F786A"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Продолжительность купонного периода для Облигаций серии 07, Облигаций серии 08, Облигаций серии 09, Облигаций серии 10</w:t>
            </w:r>
          </w:p>
        </w:tc>
      </w:tr>
      <w:tr w:rsidR="002F786A" w:rsidRPr="005C53F5" w14:paraId="50C9EC22" w14:textId="77777777" w:rsidTr="002F786A">
        <w:tc>
          <w:tcPr>
            <w:tcW w:w="954" w:type="pct"/>
            <w:vMerge/>
            <w:shd w:val="clear" w:color="auto" w:fill="auto"/>
          </w:tcPr>
          <w:p w14:paraId="65064D5D" w14:textId="77777777" w:rsidR="002F786A" w:rsidRPr="005C53F5" w:rsidRDefault="002F786A" w:rsidP="00057BE5">
            <w:pPr>
              <w:pStyle w:val="ConsPlusNormal"/>
              <w:ind w:firstLine="709"/>
              <w:jc w:val="center"/>
              <w:rPr>
                <w:rFonts w:ascii="Times New Roman" w:hAnsi="Times New Roman" w:cs="Times New Roman"/>
                <w:b/>
                <w:sz w:val="24"/>
              </w:rPr>
            </w:pPr>
          </w:p>
        </w:tc>
        <w:tc>
          <w:tcPr>
            <w:tcW w:w="2061" w:type="pct"/>
            <w:shd w:val="clear" w:color="auto" w:fill="auto"/>
          </w:tcPr>
          <w:p w14:paraId="3DD2D8CE" w14:textId="77777777" w:rsidR="002F786A" w:rsidRPr="005C53F5" w:rsidRDefault="002F786A"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Дата начала</w:t>
            </w:r>
          </w:p>
        </w:tc>
        <w:tc>
          <w:tcPr>
            <w:tcW w:w="1985" w:type="pct"/>
            <w:shd w:val="clear" w:color="auto" w:fill="auto"/>
          </w:tcPr>
          <w:p w14:paraId="5CD41F84" w14:textId="77777777" w:rsidR="002F786A" w:rsidRPr="005C53F5" w:rsidRDefault="002F786A"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Дата окончания</w:t>
            </w:r>
          </w:p>
        </w:tc>
      </w:tr>
      <w:tr w:rsidR="002F786A" w:rsidRPr="005C53F5" w14:paraId="60AB1775" w14:textId="77777777" w:rsidTr="002F786A">
        <w:tc>
          <w:tcPr>
            <w:tcW w:w="954" w:type="pct"/>
            <w:shd w:val="clear" w:color="auto" w:fill="auto"/>
          </w:tcPr>
          <w:p w14:paraId="6D74C4BE"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33AC988C"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Дата начала размещения Облигаций соответствующей серии</w:t>
            </w:r>
          </w:p>
        </w:tc>
        <w:tc>
          <w:tcPr>
            <w:tcW w:w="1985" w:type="pct"/>
            <w:shd w:val="clear" w:color="auto" w:fill="auto"/>
          </w:tcPr>
          <w:p w14:paraId="7F64FF82"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182-й (сто восемьдесят второй) день с даты начала размещения Облигаций соответствующей серии</w:t>
            </w:r>
          </w:p>
        </w:tc>
      </w:tr>
      <w:tr w:rsidR="002F786A" w:rsidRPr="005C53F5" w14:paraId="5830CB97" w14:textId="77777777" w:rsidTr="002F786A">
        <w:tc>
          <w:tcPr>
            <w:tcW w:w="954" w:type="pct"/>
            <w:shd w:val="clear" w:color="auto" w:fill="auto"/>
          </w:tcPr>
          <w:p w14:paraId="1EAFDFD0"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5C29EF26"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182-й (сто восемьдесят второй) день с даты начала размещения Облигаций соответствующей серии</w:t>
            </w:r>
          </w:p>
        </w:tc>
        <w:tc>
          <w:tcPr>
            <w:tcW w:w="1985" w:type="pct"/>
            <w:shd w:val="clear" w:color="auto" w:fill="auto"/>
          </w:tcPr>
          <w:p w14:paraId="4FC874AC"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364-й (триста шестьдесят четвертый) день с даты начала размещения Облигаций соответствующей серии</w:t>
            </w:r>
          </w:p>
        </w:tc>
      </w:tr>
      <w:tr w:rsidR="002F786A" w:rsidRPr="005C53F5" w14:paraId="3DF39654" w14:textId="77777777" w:rsidTr="002F786A">
        <w:tc>
          <w:tcPr>
            <w:tcW w:w="954" w:type="pct"/>
            <w:shd w:val="clear" w:color="auto" w:fill="auto"/>
          </w:tcPr>
          <w:p w14:paraId="62FF4947"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76AB186F"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364-й (триста шестьдесят четвертый) день с даты начала размещения Облигаций соответствующей серии</w:t>
            </w:r>
          </w:p>
        </w:tc>
        <w:tc>
          <w:tcPr>
            <w:tcW w:w="1985" w:type="pct"/>
            <w:shd w:val="clear" w:color="auto" w:fill="auto"/>
          </w:tcPr>
          <w:p w14:paraId="1CD54CE4"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546-й (пятьсот сорок шестой) день с даты начала размещения Облигаций соответствующей серии</w:t>
            </w:r>
          </w:p>
        </w:tc>
      </w:tr>
      <w:tr w:rsidR="002F786A" w:rsidRPr="005C53F5" w14:paraId="1A0B2E62" w14:textId="77777777" w:rsidTr="002F786A">
        <w:tc>
          <w:tcPr>
            <w:tcW w:w="954" w:type="pct"/>
            <w:shd w:val="clear" w:color="auto" w:fill="auto"/>
          </w:tcPr>
          <w:p w14:paraId="44DAE3A4"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1C5BDD3A"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546-й (пятьсот сорок шестой) день с даты начала размещения Облигаций соответствующей серии</w:t>
            </w:r>
          </w:p>
        </w:tc>
        <w:tc>
          <w:tcPr>
            <w:tcW w:w="1985" w:type="pct"/>
            <w:shd w:val="clear" w:color="auto" w:fill="auto"/>
          </w:tcPr>
          <w:p w14:paraId="0B42BAF6"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728-й (семьсот двадцать восьмой) день с даты начала размещения Облигаций соответствующей серии</w:t>
            </w:r>
          </w:p>
        </w:tc>
      </w:tr>
      <w:tr w:rsidR="002F786A" w:rsidRPr="005C53F5" w14:paraId="623237DD" w14:textId="77777777" w:rsidTr="002F786A">
        <w:tc>
          <w:tcPr>
            <w:tcW w:w="954" w:type="pct"/>
            <w:shd w:val="clear" w:color="auto" w:fill="auto"/>
          </w:tcPr>
          <w:p w14:paraId="39FF363A"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0ED013A2"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728-й (семьсот двадцать восьмой) день с даты начала размещения Облигаций соответствующей серии</w:t>
            </w:r>
          </w:p>
        </w:tc>
        <w:tc>
          <w:tcPr>
            <w:tcW w:w="1985" w:type="pct"/>
            <w:shd w:val="clear" w:color="auto" w:fill="auto"/>
          </w:tcPr>
          <w:p w14:paraId="5F8DE90B"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910-й (девятьсот десятый) день с даты начала размещения Облигаций соответствующей серии</w:t>
            </w:r>
          </w:p>
        </w:tc>
      </w:tr>
      <w:tr w:rsidR="002F786A" w:rsidRPr="005C53F5" w14:paraId="216C2B23" w14:textId="77777777" w:rsidTr="002F786A">
        <w:tc>
          <w:tcPr>
            <w:tcW w:w="954" w:type="pct"/>
            <w:shd w:val="clear" w:color="auto" w:fill="auto"/>
          </w:tcPr>
          <w:p w14:paraId="3B961691"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07EC8721"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910-й (девятьсот десятый) день с даты начала размещения Облигаций соответствующей серии</w:t>
            </w:r>
          </w:p>
        </w:tc>
        <w:tc>
          <w:tcPr>
            <w:tcW w:w="1985" w:type="pct"/>
            <w:shd w:val="clear" w:color="auto" w:fill="auto"/>
          </w:tcPr>
          <w:p w14:paraId="1808B749"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1092-й (одна тысяча девяносто второй) день с даты начала размещения Облигаций соответствующей серии</w:t>
            </w:r>
          </w:p>
        </w:tc>
      </w:tr>
      <w:tr w:rsidR="002F786A" w:rsidRPr="005C53F5" w14:paraId="633A7FA8" w14:textId="77777777" w:rsidTr="002F786A">
        <w:tc>
          <w:tcPr>
            <w:tcW w:w="954" w:type="pct"/>
            <w:shd w:val="clear" w:color="auto" w:fill="auto"/>
          </w:tcPr>
          <w:p w14:paraId="4DBF995B"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4A6B2860"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1092-й (одна тысяча девяносто второй) день с даты начала размещения Облигаций соответствующей серии</w:t>
            </w:r>
          </w:p>
        </w:tc>
        <w:tc>
          <w:tcPr>
            <w:tcW w:w="1985" w:type="pct"/>
            <w:shd w:val="clear" w:color="auto" w:fill="auto"/>
          </w:tcPr>
          <w:p w14:paraId="0BF8CF6F"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1274-й (одна тысяча двести семьдесят четвертый) день с даты начала размещения Облигаций соответствующей серии</w:t>
            </w:r>
          </w:p>
        </w:tc>
      </w:tr>
      <w:tr w:rsidR="002F786A" w:rsidRPr="005C53F5" w14:paraId="3FA1D632" w14:textId="77777777" w:rsidTr="002F786A">
        <w:tc>
          <w:tcPr>
            <w:tcW w:w="954" w:type="pct"/>
            <w:shd w:val="clear" w:color="auto" w:fill="auto"/>
          </w:tcPr>
          <w:p w14:paraId="564041EC"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7A2DD82B"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1274-й (одна тысяча двести семьдесят четвертый) день с даты начала размещения Облигаций соответствующей серии</w:t>
            </w:r>
          </w:p>
        </w:tc>
        <w:tc>
          <w:tcPr>
            <w:tcW w:w="1985" w:type="pct"/>
            <w:shd w:val="clear" w:color="auto" w:fill="auto"/>
          </w:tcPr>
          <w:p w14:paraId="4BCAD6DE"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1456-й (одна тысяча четыреста пятьдесят шестой) день с даты начала размещения Облигаций соответствующей серии</w:t>
            </w:r>
          </w:p>
        </w:tc>
      </w:tr>
      <w:tr w:rsidR="002F786A" w:rsidRPr="005C53F5" w14:paraId="0C88F0C2" w14:textId="77777777" w:rsidTr="002F786A">
        <w:tc>
          <w:tcPr>
            <w:tcW w:w="954" w:type="pct"/>
            <w:shd w:val="clear" w:color="auto" w:fill="auto"/>
          </w:tcPr>
          <w:p w14:paraId="3EA303F2"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0EDB3535"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1456-й (одна тысяча четыреста пятьдесят шестой) день с даты начала размещения Облигаций соответствующей серии</w:t>
            </w:r>
          </w:p>
        </w:tc>
        <w:tc>
          <w:tcPr>
            <w:tcW w:w="1985" w:type="pct"/>
            <w:shd w:val="clear" w:color="auto" w:fill="auto"/>
          </w:tcPr>
          <w:p w14:paraId="0A94E103"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1638-й (одна тысяча шестьсот тридцать восьмой) день с даты начала размещения Облигаций соответствующей серии</w:t>
            </w:r>
          </w:p>
        </w:tc>
      </w:tr>
      <w:tr w:rsidR="002F786A" w:rsidRPr="005C53F5" w14:paraId="50DC5FE4" w14:textId="77777777" w:rsidTr="002F786A">
        <w:tc>
          <w:tcPr>
            <w:tcW w:w="954" w:type="pct"/>
            <w:shd w:val="clear" w:color="auto" w:fill="auto"/>
          </w:tcPr>
          <w:p w14:paraId="7C88EC95"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2BE9137B"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1638-й (одна тысяча шестьсот тридцать восьмой) день с даты начала размещения Облигаций соответствующей серии</w:t>
            </w:r>
          </w:p>
        </w:tc>
        <w:tc>
          <w:tcPr>
            <w:tcW w:w="1985" w:type="pct"/>
            <w:shd w:val="clear" w:color="auto" w:fill="auto"/>
          </w:tcPr>
          <w:p w14:paraId="279D1932"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1820-й (одна тысяча восемьсот двадцатый) день с даты начала размещения Облигаций соответствующей серии</w:t>
            </w:r>
          </w:p>
        </w:tc>
      </w:tr>
      <w:tr w:rsidR="002F786A" w:rsidRPr="005C53F5" w14:paraId="04D179F2" w14:textId="77777777" w:rsidTr="002F786A">
        <w:tc>
          <w:tcPr>
            <w:tcW w:w="954" w:type="pct"/>
            <w:shd w:val="clear" w:color="auto" w:fill="auto"/>
          </w:tcPr>
          <w:p w14:paraId="315787AB"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05FC7CCC"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1820-й (одна тысяча восемьсот двадцатый) день с даты начала размещения Облигаций соответствующей серии</w:t>
            </w:r>
          </w:p>
        </w:tc>
        <w:tc>
          <w:tcPr>
            <w:tcW w:w="1985" w:type="pct"/>
            <w:shd w:val="clear" w:color="auto" w:fill="auto"/>
          </w:tcPr>
          <w:p w14:paraId="424C5123"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2002-й (две тысячи второй) день с даты начала размещения Облигаций соответствующей серии</w:t>
            </w:r>
          </w:p>
        </w:tc>
      </w:tr>
      <w:tr w:rsidR="002F786A" w:rsidRPr="005C53F5" w14:paraId="2181D340" w14:textId="77777777" w:rsidTr="002F786A">
        <w:tc>
          <w:tcPr>
            <w:tcW w:w="954" w:type="pct"/>
            <w:shd w:val="clear" w:color="auto" w:fill="auto"/>
          </w:tcPr>
          <w:p w14:paraId="733FDE4D"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7440224F"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2002-й (две тысячи второй) день с даты начала размещения Облигаций соответствующей серии</w:t>
            </w:r>
          </w:p>
        </w:tc>
        <w:tc>
          <w:tcPr>
            <w:tcW w:w="1985" w:type="pct"/>
            <w:shd w:val="clear" w:color="auto" w:fill="auto"/>
          </w:tcPr>
          <w:p w14:paraId="5B713818"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2184-й (две тысячи сто восемьдесят четвертый) день с даты начала размещения Облигаций соответствующей серии</w:t>
            </w:r>
          </w:p>
        </w:tc>
      </w:tr>
      <w:tr w:rsidR="002F786A" w:rsidRPr="005C53F5" w14:paraId="360BCD40" w14:textId="77777777" w:rsidTr="002F786A">
        <w:tc>
          <w:tcPr>
            <w:tcW w:w="954" w:type="pct"/>
            <w:shd w:val="clear" w:color="auto" w:fill="auto"/>
          </w:tcPr>
          <w:p w14:paraId="0C92129F"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5AE12577"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2184-й (две тысячи сто восемьдесят четвертый) день с даты начала размещения Облигаций соответствующей серии</w:t>
            </w:r>
          </w:p>
        </w:tc>
        <w:tc>
          <w:tcPr>
            <w:tcW w:w="1985" w:type="pct"/>
            <w:shd w:val="clear" w:color="auto" w:fill="auto"/>
          </w:tcPr>
          <w:p w14:paraId="0A673FEB"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2366-й (две тысячи триста шестьдесят шестой) день с даты начала размещения Облигаций соответствующей серии</w:t>
            </w:r>
          </w:p>
        </w:tc>
      </w:tr>
      <w:tr w:rsidR="002F786A" w:rsidRPr="005C53F5" w14:paraId="4A65D0C7" w14:textId="77777777" w:rsidTr="002F786A">
        <w:tc>
          <w:tcPr>
            <w:tcW w:w="954" w:type="pct"/>
            <w:shd w:val="clear" w:color="auto" w:fill="auto"/>
          </w:tcPr>
          <w:p w14:paraId="7DCDD089" w14:textId="77777777" w:rsidR="002F786A" w:rsidRPr="005C53F5" w:rsidRDefault="002F786A" w:rsidP="00057BE5">
            <w:pPr>
              <w:pStyle w:val="ConsPlusNormal"/>
              <w:numPr>
                <w:ilvl w:val="0"/>
                <w:numId w:val="36"/>
              </w:numPr>
              <w:jc w:val="center"/>
              <w:rPr>
                <w:rFonts w:ascii="Times New Roman" w:hAnsi="Times New Roman" w:cs="Times New Roman"/>
                <w:sz w:val="24"/>
              </w:rPr>
            </w:pPr>
          </w:p>
        </w:tc>
        <w:tc>
          <w:tcPr>
            <w:tcW w:w="2061" w:type="pct"/>
            <w:shd w:val="clear" w:color="auto" w:fill="auto"/>
          </w:tcPr>
          <w:p w14:paraId="5BC61220"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2366-й (две тысячи триста шестьдесят шестой) день с даты начала размещения Облигаций соответствующей серии</w:t>
            </w:r>
          </w:p>
        </w:tc>
        <w:tc>
          <w:tcPr>
            <w:tcW w:w="1985" w:type="pct"/>
            <w:shd w:val="clear" w:color="auto" w:fill="auto"/>
          </w:tcPr>
          <w:p w14:paraId="58B2474A" w14:textId="77777777" w:rsidR="002F786A" w:rsidRPr="005C53F5" w:rsidRDefault="002F786A" w:rsidP="00057BE5">
            <w:pPr>
              <w:pStyle w:val="ConsPlusNormal"/>
              <w:jc w:val="both"/>
              <w:rPr>
                <w:rFonts w:ascii="Times New Roman" w:hAnsi="Times New Roman" w:cs="Times New Roman"/>
                <w:sz w:val="24"/>
              </w:rPr>
            </w:pPr>
            <w:r w:rsidRPr="005C53F5">
              <w:rPr>
                <w:rFonts w:ascii="Times New Roman" w:hAnsi="Times New Roman" w:cs="Times New Roman"/>
                <w:sz w:val="24"/>
              </w:rPr>
              <w:t>2548-й (две тысячи пятьсот сорок восьмой) день с даты начала размещения Облигаций соответствующей серии</w:t>
            </w:r>
          </w:p>
        </w:tc>
      </w:tr>
    </w:tbl>
    <w:p w14:paraId="201D2314" w14:textId="77777777" w:rsidR="00A54BB9" w:rsidRPr="005C53F5" w:rsidRDefault="00A54BB9" w:rsidP="00057BE5">
      <w:pPr>
        <w:pStyle w:val="ConsPlusNormal"/>
        <w:ind w:firstLine="708"/>
        <w:jc w:val="both"/>
        <w:rPr>
          <w:rFonts w:ascii="Times New Roman" w:hAnsi="Times New Roman" w:cs="Times New Roman"/>
          <w:i/>
          <w:sz w:val="24"/>
        </w:rPr>
      </w:pPr>
      <w:r w:rsidRPr="005C53F5">
        <w:rPr>
          <w:rFonts w:ascii="Times New Roman" w:hAnsi="Times New Roman" w:cs="Times New Roman"/>
          <w:i/>
          <w:sz w:val="24"/>
        </w:rPr>
        <w:t>Размер купонного дохода или порядок его определения:</w:t>
      </w:r>
    </w:p>
    <w:p w14:paraId="18D779A1"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Процентная ставка по первому купону может определяться:</w:t>
      </w:r>
    </w:p>
    <w:p w14:paraId="1D61D448"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 в ходе проведения Конкурса на Бирже среди потенциальных покупателей Облигаций в дату начала размещения Облигаций.</w:t>
      </w:r>
    </w:p>
    <w:p w14:paraId="4D1989E0"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bCs/>
          <w:sz w:val="24"/>
        </w:rPr>
        <w:t xml:space="preserve">б) </w:t>
      </w:r>
      <w:r w:rsidRPr="005C53F5">
        <w:rPr>
          <w:rFonts w:ascii="Times New Roman" w:hAnsi="Times New Roman" w:cs="Times New Roman"/>
          <w:bCs/>
          <w:iCs/>
          <w:sz w:val="24"/>
        </w:rPr>
        <w:t>уполномоченным органом Эмитента</w:t>
      </w:r>
      <w:r w:rsidRPr="005C53F5">
        <w:rPr>
          <w:rFonts w:ascii="Times New Roman" w:hAnsi="Times New Roman" w:cs="Times New Roman"/>
          <w:sz w:val="24"/>
        </w:rPr>
        <w:t xml:space="preserve"> не позднее чем за один день до даты начала размещения Облигаций.</w:t>
      </w:r>
    </w:p>
    <w:p w14:paraId="67CB274C" w14:textId="4EB36820"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bCs/>
          <w:iCs/>
          <w:sz w:val="24"/>
        </w:rPr>
        <w:t xml:space="preserve">Процентная ставка по второму – </w:t>
      </w:r>
      <w:r w:rsidR="002F786A" w:rsidRPr="005C53F5">
        <w:rPr>
          <w:rFonts w:ascii="Times New Roman" w:hAnsi="Times New Roman" w:cs="Times New Roman"/>
          <w:bCs/>
          <w:iCs/>
          <w:sz w:val="24"/>
        </w:rPr>
        <w:t>четырнадцатому</w:t>
      </w:r>
      <w:r w:rsidRPr="005C53F5">
        <w:rPr>
          <w:rFonts w:ascii="Times New Roman" w:hAnsi="Times New Roman" w:cs="Times New Roman"/>
          <w:bCs/>
          <w:iCs/>
          <w:sz w:val="24"/>
        </w:rPr>
        <w:t xml:space="preserve"> купонам равна процентной ставке по первому купону.</w:t>
      </w:r>
    </w:p>
    <w:p w14:paraId="77AF6F0A" w14:textId="3596C4B1"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Информация о процентной ставке по первому купону раскрывается в порядке, предусмотренном </w:t>
      </w:r>
      <w:r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sz w:val="24"/>
        </w:rPr>
        <w:t>.</w:t>
      </w:r>
    </w:p>
    <w:p w14:paraId="2043CA12"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Эмитент информирует Биржу и НРД о принятом решении о ставке первого купона не позднее, чем за один рабочий день до даты начала размещения Облигаций.</w:t>
      </w:r>
    </w:p>
    <w:p w14:paraId="63ABDCB1"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Расчет суммы выплат по каждому i-му купону на одну Облигацию производится по следующей формуле:</w:t>
      </w:r>
    </w:p>
    <w:p w14:paraId="533E6F6E" w14:textId="77777777" w:rsidR="00A54BB9" w:rsidRPr="005C53F5" w:rsidRDefault="00A54BB9" w:rsidP="00057BE5">
      <w:pPr>
        <w:pStyle w:val="ConsPlusNormal"/>
        <w:ind w:firstLine="709"/>
        <w:jc w:val="both"/>
        <w:rPr>
          <w:rFonts w:ascii="Times New Roman" w:hAnsi="Times New Roman" w:cs="Times New Roman"/>
          <w:sz w:val="24"/>
          <w:lang w:val="en-US"/>
        </w:rPr>
      </w:pPr>
      <w:r w:rsidRPr="005C53F5">
        <w:rPr>
          <w:rFonts w:ascii="Times New Roman" w:hAnsi="Times New Roman" w:cs="Times New Roman"/>
          <w:sz w:val="24"/>
        </w:rPr>
        <w:t>КД</w:t>
      </w:r>
      <w:r w:rsidRPr="005C53F5">
        <w:rPr>
          <w:rFonts w:ascii="Times New Roman" w:hAnsi="Times New Roman" w:cs="Times New Roman"/>
          <w:sz w:val="24"/>
          <w:lang w:val="en-US"/>
        </w:rPr>
        <w:t>i= Ci * Nom * (</w:t>
      </w:r>
      <w:r w:rsidRPr="005C53F5">
        <w:rPr>
          <w:rFonts w:ascii="Times New Roman" w:hAnsi="Times New Roman" w:cs="Times New Roman"/>
          <w:sz w:val="24"/>
        </w:rPr>
        <w:t>ДОКП</w:t>
      </w:r>
      <w:r w:rsidRPr="005C53F5">
        <w:rPr>
          <w:rFonts w:ascii="Times New Roman" w:hAnsi="Times New Roman" w:cs="Times New Roman"/>
          <w:sz w:val="24"/>
          <w:lang w:val="en-US"/>
        </w:rPr>
        <w:t xml:space="preserve">(i) - </w:t>
      </w:r>
      <w:r w:rsidRPr="005C53F5">
        <w:rPr>
          <w:rFonts w:ascii="Times New Roman" w:hAnsi="Times New Roman" w:cs="Times New Roman"/>
          <w:sz w:val="24"/>
        </w:rPr>
        <w:t>ДНКП</w:t>
      </w:r>
      <w:r w:rsidRPr="005C53F5">
        <w:rPr>
          <w:rFonts w:ascii="Times New Roman" w:hAnsi="Times New Roman" w:cs="Times New Roman"/>
          <w:sz w:val="24"/>
          <w:lang w:val="en-US"/>
        </w:rPr>
        <w:t>(i)) / (365 * 100%),</w:t>
      </w:r>
    </w:p>
    <w:p w14:paraId="1D45B5D7"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где</w:t>
      </w:r>
    </w:p>
    <w:p w14:paraId="165DBBA5"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«КДi» – величина купонного дохода по каждой Облигации по i-му купонному периоду в валюте, в которой выражена номинальная стоимость Облигации;</w:t>
      </w:r>
    </w:p>
    <w:p w14:paraId="24F467CF"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«Nom» – номинальная стоимость одной Облигации;</w:t>
      </w:r>
    </w:p>
    <w:p w14:paraId="4F3F32E3"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«Ci» – размер процентной ставки по i-му купону, проценты годовых;</w:t>
      </w:r>
    </w:p>
    <w:p w14:paraId="468FFB44"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«ДНКП(i)» – дата начала i-го купонного периода;</w:t>
      </w:r>
    </w:p>
    <w:p w14:paraId="1CA74083"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«ДОКП(i)» – дата окончания i-го купонного периода.</w:t>
      </w:r>
    </w:p>
    <w:p w14:paraId="5762AF24"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«i» – порядковый номер купонного периода.</w:t>
      </w:r>
    </w:p>
    <w:p w14:paraId="7FE5D1D7"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КДi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2EB0162C" w14:textId="50573E75" w:rsidR="00A54BB9" w:rsidRPr="005C53F5" w:rsidRDefault="00A54BB9"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11-14</w:t>
      </w:r>
    </w:p>
    <w:p w14:paraId="344F7392" w14:textId="77777777" w:rsidR="00A54BB9" w:rsidRPr="005C53F5" w:rsidRDefault="00A54BB9" w:rsidP="00057BE5">
      <w:pPr>
        <w:pStyle w:val="ConsPlusNormal"/>
        <w:ind w:firstLine="709"/>
        <w:rPr>
          <w:rFonts w:ascii="Times New Roman" w:hAnsi="Times New Roman" w:cs="Times New Roman"/>
          <w:sz w:val="24"/>
        </w:rPr>
      </w:pPr>
      <w:r w:rsidRPr="005C53F5">
        <w:rPr>
          <w:rFonts w:ascii="Times New Roman" w:hAnsi="Times New Roman" w:cs="Times New Roman"/>
          <w:sz w:val="24"/>
        </w:rPr>
        <w:t>Доходом по Облигациям является сумма купонных доходов, начисляемых за каждый купонный период в виде процентов от номинальной стоимости Облигаций.</w:t>
      </w:r>
    </w:p>
    <w:p w14:paraId="24EFCF14" w14:textId="7054B4D2" w:rsidR="00A54BB9" w:rsidRPr="005C53F5" w:rsidRDefault="00A54BB9"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rPr>
        <w:t xml:space="preserve">Количество купонных периодов: </w:t>
      </w:r>
      <w:r w:rsidR="00B16473" w:rsidRPr="005C53F5">
        <w:rPr>
          <w:rFonts w:ascii="Times New Roman" w:hAnsi="Times New Roman" w:cs="Times New Roman"/>
          <w:sz w:val="24"/>
          <w:szCs w:val="22"/>
        </w:rPr>
        <w:t>20 (двадцать)</w:t>
      </w:r>
    </w:p>
    <w:p w14:paraId="1EE7ECDD" w14:textId="77777777" w:rsidR="00A54BB9" w:rsidRPr="005C53F5" w:rsidRDefault="00A54BB9" w:rsidP="00057BE5">
      <w:pPr>
        <w:pStyle w:val="ConsPlusNormal"/>
        <w:ind w:firstLine="709"/>
        <w:rPr>
          <w:rFonts w:ascii="Times New Roman" w:hAnsi="Times New Roman" w:cs="Times New Roman"/>
          <w:sz w:val="24"/>
        </w:rPr>
      </w:pPr>
      <w:r w:rsidRPr="005C53F5">
        <w:rPr>
          <w:rFonts w:ascii="Times New Roman" w:hAnsi="Times New Roman" w:cs="Times New Roman"/>
          <w:sz w:val="24"/>
        </w:rPr>
        <w:t>Продолжительность купонных периодов: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3968"/>
        <w:gridCol w:w="3822"/>
      </w:tblGrid>
      <w:tr w:rsidR="00B16473" w:rsidRPr="005C53F5" w14:paraId="5CA8C24A" w14:textId="77777777" w:rsidTr="00B16473">
        <w:tc>
          <w:tcPr>
            <w:tcW w:w="954" w:type="pct"/>
            <w:vMerge w:val="restart"/>
            <w:shd w:val="clear" w:color="auto" w:fill="auto"/>
          </w:tcPr>
          <w:p w14:paraId="694D6A31" w14:textId="77777777" w:rsidR="00B16473" w:rsidRPr="005C53F5" w:rsidRDefault="00B16473"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Порядковый номер купонного периода</w:t>
            </w:r>
          </w:p>
        </w:tc>
        <w:tc>
          <w:tcPr>
            <w:tcW w:w="4046" w:type="pct"/>
            <w:gridSpan w:val="2"/>
            <w:shd w:val="clear" w:color="auto" w:fill="auto"/>
          </w:tcPr>
          <w:p w14:paraId="59EFB968" w14:textId="77777777" w:rsidR="00B16473" w:rsidRPr="005C53F5" w:rsidRDefault="00B16473"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Продолжительность купонного периода для Облигаций серии 11, Облигаций серии 12, Облигаций серии 13, Облигаций серии 14</w:t>
            </w:r>
          </w:p>
        </w:tc>
      </w:tr>
      <w:tr w:rsidR="00B16473" w:rsidRPr="005C53F5" w14:paraId="2C6BD3A1" w14:textId="77777777" w:rsidTr="00B16473">
        <w:tc>
          <w:tcPr>
            <w:tcW w:w="954" w:type="pct"/>
            <w:vMerge/>
            <w:shd w:val="clear" w:color="auto" w:fill="auto"/>
          </w:tcPr>
          <w:p w14:paraId="51328638" w14:textId="77777777" w:rsidR="00B16473" w:rsidRPr="005C53F5" w:rsidRDefault="00B16473" w:rsidP="00057BE5">
            <w:pPr>
              <w:pStyle w:val="ConsPlusNormal"/>
              <w:ind w:firstLine="709"/>
              <w:jc w:val="center"/>
              <w:rPr>
                <w:rFonts w:ascii="Times New Roman" w:hAnsi="Times New Roman" w:cs="Times New Roman"/>
                <w:b/>
                <w:sz w:val="24"/>
              </w:rPr>
            </w:pPr>
          </w:p>
        </w:tc>
        <w:tc>
          <w:tcPr>
            <w:tcW w:w="2061" w:type="pct"/>
            <w:shd w:val="clear" w:color="auto" w:fill="auto"/>
          </w:tcPr>
          <w:p w14:paraId="1A53FD6B" w14:textId="77777777" w:rsidR="00B16473" w:rsidRPr="005C53F5" w:rsidRDefault="00B16473"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Дата начала</w:t>
            </w:r>
          </w:p>
        </w:tc>
        <w:tc>
          <w:tcPr>
            <w:tcW w:w="1985" w:type="pct"/>
            <w:shd w:val="clear" w:color="auto" w:fill="auto"/>
          </w:tcPr>
          <w:p w14:paraId="232DBB01" w14:textId="77777777" w:rsidR="00B16473" w:rsidRPr="005C53F5" w:rsidRDefault="00B16473" w:rsidP="00057BE5">
            <w:pPr>
              <w:pStyle w:val="ConsPlusNormal"/>
              <w:jc w:val="center"/>
              <w:rPr>
                <w:rFonts w:ascii="Times New Roman" w:hAnsi="Times New Roman" w:cs="Times New Roman"/>
                <w:b/>
                <w:sz w:val="24"/>
              </w:rPr>
            </w:pPr>
            <w:r w:rsidRPr="005C53F5">
              <w:rPr>
                <w:rFonts w:ascii="Times New Roman" w:hAnsi="Times New Roman" w:cs="Times New Roman"/>
                <w:b/>
                <w:sz w:val="24"/>
              </w:rPr>
              <w:t>Дата окончания</w:t>
            </w:r>
          </w:p>
        </w:tc>
      </w:tr>
      <w:tr w:rsidR="00B16473" w:rsidRPr="005C53F5" w14:paraId="2AFAEC5D" w14:textId="77777777" w:rsidTr="00B16473">
        <w:tc>
          <w:tcPr>
            <w:tcW w:w="954" w:type="pct"/>
            <w:shd w:val="clear" w:color="auto" w:fill="auto"/>
          </w:tcPr>
          <w:p w14:paraId="3FA29F28" w14:textId="428DB755" w:rsidR="00B16473" w:rsidRPr="005C53F5" w:rsidRDefault="004231EB" w:rsidP="00057BE5">
            <w:pPr>
              <w:pStyle w:val="ConsPlusNormal"/>
              <w:numPr>
                <w:ilvl w:val="0"/>
                <w:numId w:val="37"/>
              </w:numPr>
              <w:jc w:val="center"/>
              <w:rPr>
                <w:rFonts w:ascii="Times New Roman" w:hAnsi="Times New Roman" w:cs="Times New Roman"/>
                <w:sz w:val="24"/>
              </w:rPr>
            </w:pPr>
            <w:r>
              <w:rPr>
                <w:rFonts w:ascii="Times New Roman" w:hAnsi="Times New Roman" w:cs="Times New Roman"/>
                <w:sz w:val="24"/>
              </w:rPr>
              <w:t xml:space="preserve"> </w:t>
            </w:r>
          </w:p>
        </w:tc>
        <w:tc>
          <w:tcPr>
            <w:tcW w:w="2061" w:type="pct"/>
            <w:shd w:val="clear" w:color="auto" w:fill="auto"/>
          </w:tcPr>
          <w:p w14:paraId="5CC088F0"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Дата начала размещения Облигаций соответствующей серии</w:t>
            </w:r>
          </w:p>
        </w:tc>
        <w:tc>
          <w:tcPr>
            <w:tcW w:w="1985" w:type="pct"/>
            <w:shd w:val="clear" w:color="auto" w:fill="auto"/>
          </w:tcPr>
          <w:p w14:paraId="61523CFF"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182-й (сто восемьдесят второй) день с даты начала размещения Облигаций соответствующей серии</w:t>
            </w:r>
          </w:p>
        </w:tc>
      </w:tr>
      <w:tr w:rsidR="00B16473" w:rsidRPr="005C53F5" w14:paraId="5F4C9E78" w14:textId="77777777" w:rsidTr="00B16473">
        <w:tc>
          <w:tcPr>
            <w:tcW w:w="954" w:type="pct"/>
            <w:shd w:val="clear" w:color="auto" w:fill="auto"/>
          </w:tcPr>
          <w:p w14:paraId="774A6A92"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7CE76B7B"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182-й (сто восемьдесят второй) день с даты начала размещения Облигаций соответствующей серии</w:t>
            </w:r>
          </w:p>
        </w:tc>
        <w:tc>
          <w:tcPr>
            <w:tcW w:w="1985" w:type="pct"/>
            <w:shd w:val="clear" w:color="auto" w:fill="auto"/>
          </w:tcPr>
          <w:p w14:paraId="5513450B"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364-й (триста шестьдесят четвертый) день с даты начала размещения Облигаций соответствующей серии</w:t>
            </w:r>
          </w:p>
        </w:tc>
      </w:tr>
      <w:tr w:rsidR="00B16473" w:rsidRPr="005C53F5" w14:paraId="0835C492" w14:textId="77777777" w:rsidTr="00B16473">
        <w:tc>
          <w:tcPr>
            <w:tcW w:w="954" w:type="pct"/>
            <w:shd w:val="clear" w:color="auto" w:fill="auto"/>
          </w:tcPr>
          <w:p w14:paraId="19685BE1"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53998AFF"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364-й (триста шестьдесят четвертый) день с даты начала размещения Облигаций соответствующей серии</w:t>
            </w:r>
          </w:p>
        </w:tc>
        <w:tc>
          <w:tcPr>
            <w:tcW w:w="1985" w:type="pct"/>
            <w:shd w:val="clear" w:color="auto" w:fill="auto"/>
          </w:tcPr>
          <w:p w14:paraId="447644AF"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546-й (пятьсот сорок шестой) день с даты начала размещения Облигаций соответствующей серии</w:t>
            </w:r>
          </w:p>
        </w:tc>
      </w:tr>
      <w:tr w:rsidR="00B16473" w:rsidRPr="005C53F5" w14:paraId="0DD7CA5E" w14:textId="77777777" w:rsidTr="00B16473">
        <w:tc>
          <w:tcPr>
            <w:tcW w:w="954" w:type="pct"/>
            <w:shd w:val="clear" w:color="auto" w:fill="auto"/>
          </w:tcPr>
          <w:p w14:paraId="11C2C419"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77E9A941"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546-й (пятьсот сорок шестой) день с даты начала размещения Облигаций соответствующей серии</w:t>
            </w:r>
          </w:p>
        </w:tc>
        <w:tc>
          <w:tcPr>
            <w:tcW w:w="1985" w:type="pct"/>
            <w:shd w:val="clear" w:color="auto" w:fill="auto"/>
          </w:tcPr>
          <w:p w14:paraId="5A0F08F7"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728-й (семьсот двадцать восьмой) день с даты начала размещения Облигаций соответствующей серии</w:t>
            </w:r>
          </w:p>
        </w:tc>
      </w:tr>
      <w:tr w:rsidR="00B16473" w:rsidRPr="005C53F5" w14:paraId="11703083" w14:textId="77777777" w:rsidTr="00B16473">
        <w:tc>
          <w:tcPr>
            <w:tcW w:w="954" w:type="pct"/>
            <w:shd w:val="clear" w:color="auto" w:fill="auto"/>
          </w:tcPr>
          <w:p w14:paraId="2A7B3B70"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54A3EF82"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728-й (семьсот двадцать восьмой) день с даты начала размещения Облигаций соответствующей серии</w:t>
            </w:r>
          </w:p>
        </w:tc>
        <w:tc>
          <w:tcPr>
            <w:tcW w:w="1985" w:type="pct"/>
            <w:shd w:val="clear" w:color="auto" w:fill="auto"/>
          </w:tcPr>
          <w:p w14:paraId="3028346E"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910-й (девятьсот десятый) день с даты начала размещения Облигаций соответствующей серии</w:t>
            </w:r>
          </w:p>
        </w:tc>
      </w:tr>
      <w:tr w:rsidR="00B16473" w:rsidRPr="005C53F5" w14:paraId="266CA84F" w14:textId="77777777" w:rsidTr="00B16473">
        <w:tc>
          <w:tcPr>
            <w:tcW w:w="954" w:type="pct"/>
            <w:shd w:val="clear" w:color="auto" w:fill="auto"/>
          </w:tcPr>
          <w:p w14:paraId="1801CF2F"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1875FD64"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910-й (девятьсот десятый) день с даты начала размещения Облигаций соответствующей серии</w:t>
            </w:r>
          </w:p>
        </w:tc>
        <w:tc>
          <w:tcPr>
            <w:tcW w:w="1985" w:type="pct"/>
            <w:shd w:val="clear" w:color="auto" w:fill="auto"/>
          </w:tcPr>
          <w:p w14:paraId="0186AB77"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1092-й (одна тысяча девяносто второй) день с даты начала размещения Облигаций соответствующей серии</w:t>
            </w:r>
          </w:p>
        </w:tc>
      </w:tr>
      <w:tr w:rsidR="00B16473" w:rsidRPr="005C53F5" w14:paraId="53E24599" w14:textId="77777777" w:rsidTr="00B16473">
        <w:tc>
          <w:tcPr>
            <w:tcW w:w="954" w:type="pct"/>
            <w:shd w:val="clear" w:color="auto" w:fill="auto"/>
          </w:tcPr>
          <w:p w14:paraId="31819B65"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5433359D"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1092-й (одна тысяча девяносто второй) день с даты начала размещения Облигаций соответствующей серии</w:t>
            </w:r>
          </w:p>
        </w:tc>
        <w:tc>
          <w:tcPr>
            <w:tcW w:w="1985" w:type="pct"/>
            <w:shd w:val="clear" w:color="auto" w:fill="auto"/>
          </w:tcPr>
          <w:p w14:paraId="4B9CA7E8"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1274-й (одна тысяча двести семьдесят четвертый) день с даты начала размещения Облигаций соответствующей серии</w:t>
            </w:r>
          </w:p>
        </w:tc>
      </w:tr>
      <w:tr w:rsidR="00B16473" w:rsidRPr="005C53F5" w14:paraId="0B55EFAB" w14:textId="77777777" w:rsidTr="00B16473">
        <w:tc>
          <w:tcPr>
            <w:tcW w:w="954" w:type="pct"/>
            <w:shd w:val="clear" w:color="auto" w:fill="auto"/>
          </w:tcPr>
          <w:p w14:paraId="2A94E203"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2CAF685B"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1274-й (одна тысяча двести семьдесят четвертый) день с даты начала размещения Облигаций соответствующей серии</w:t>
            </w:r>
          </w:p>
        </w:tc>
        <w:tc>
          <w:tcPr>
            <w:tcW w:w="1985" w:type="pct"/>
            <w:shd w:val="clear" w:color="auto" w:fill="auto"/>
          </w:tcPr>
          <w:p w14:paraId="604327AD"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1456-й (одна тысяча четыреста пятьдесят шестой) день с даты начала размещения Облигаций соответствующей серии</w:t>
            </w:r>
          </w:p>
        </w:tc>
      </w:tr>
      <w:tr w:rsidR="00B16473" w:rsidRPr="005C53F5" w14:paraId="50CB782A" w14:textId="77777777" w:rsidTr="00B16473">
        <w:tc>
          <w:tcPr>
            <w:tcW w:w="954" w:type="pct"/>
            <w:shd w:val="clear" w:color="auto" w:fill="auto"/>
          </w:tcPr>
          <w:p w14:paraId="7AD82219"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50A11503"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1456-й (одна тысяча четыреста пятьдесят шестой) день с даты начала размещения Облигаций соответствующей серии</w:t>
            </w:r>
          </w:p>
        </w:tc>
        <w:tc>
          <w:tcPr>
            <w:tcW w:w="1985" w:type="pct"/>
            <w:shd w:val="clear" w:color="auto" w:fill="auto"/>
          </w:tcPr>
          <w:p w14:paraId="4EAFFEB6"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1638-й (одна тысяча шестьсот тридцать восьмой) день с даты начала размещения Облигаций соответствующей серии</w:t>
            </w:r>
          </w:p>
        </w:tc>
      </w:tr>
      <w:tr w:rsidR="00B16473" w:rsidRPr="005C53F5" w14:paraId="68348D75" w14:textId="77777777" w:rsidTr="00B16473">
        <w:tc>
          <w:tcPr>
            <w:tcW w:w="954" w:type="pct"/>
            <w:shd w:val="clear" w:color="auto" w:fill="auto"/>
          </w:tcPr>
          <w:p w14:paraId="28CDBA40"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776EFEAA"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1638-й (одна тысяча шестьсот тридцать восьмой) день с даты начала размещения Облигаций соответствующей серии</w:t>
            </w:r>
          </w:p>
        </w:tc>
        <w:tc>
          <w:tcPr>
            <w:tcW w:w="1985" w:type="pct"/>
            <w:shd w:val="clear" w:color="auto" w:fill="auto"/>
          </w:tcPr>
          <w:p w14:paraId="782CC2A8"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1820-й (одна тысяча восемьсот двадцатый) день с даты начала размещения Облигаций соответствующей серии</w:t>
            </w:r>
          </w:p>
        </w:tc>
      </w:tr>
      <w:tr w:rsidR="00B16473" w:rsidRPr="005C53F5" w14:paraId="2344E3F4" w14:textId="77777777" w:rsidTr="00B16473">
        <w:tc>
          <w:tcPr>
            <w:tcW w:w="954" w:type="pct"/>
            <w:shd w:val="clear" w:color="auto" w:fill="auto"/>
          </w:tcPr>
          <w:p w14:paraId="4323A708"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49CBBC77"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1820-й (одна тысяча восемьсот двадцатый) день с даты начала размещения Облигаций соответствующей серии</w:t>
            </w:r>
          </w:p>
        </w:tc>
        <w:tc>
          <w:tcPr>
            <w:tcW w:w="1985" w:type="pct"/>
            <w:shd w:val="clear" w:color="auto" w:fill="auto"/>
          </w:tcPr>
          <w:p w14:paraId="280A03EA"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2002-й (две тысячи второй) день с даты начала размещения Облигаций соответствующей серии</w:t>
            </w:r>
          </w:p>
        </w:tc>
      </w:tr>
      <w:tr w:rsidR="00B16473" w:rsidRPr="005C53F5" w14:paraId="5A5973A1" w14:textId="77777777" w:rsidTr="00B16473">
        <w:tc>
          <w:tcPr>
            <w:tcW w:w="954" w:type="pct"/>
            <w:shd w:val="clear" w:color="auto" w:fill="auto"/>
          </w:tcPr>
          <w:p w14:paraId="24E9C71B"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37882AE1"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2002-й (две тысячи второй) день с даты начала размещения Облигаций соответствующей серии</w:t>
            </w:r>
          </w:p>
        </w:tc>
        <w:tc>
          <w:tcPr>
            <w:tcW w:w="1985" w:type="pct"/>
            <w:shd w:val="clear" w:color="auto" w:fill="auto"/>
          </w:tcPr>
          <w:p w14:paraId="7DE1CBEE"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2184-й (две тысячи сто восемьдесят четвертый) день с даты начала размещения Облигаций соответствующей серии</w:t>
            </w:r>
          </w:p>
        </w:tc>
      </w:tr>
      <w:tr w:rsidR="00B16473" w:rsidRPr="005C53F5" w14:paraId="48A6DC90" w14:textId="77777777" w:rsidTr="00B16473">
        <w:tc>
          <w:tcPr>
            <w:tcW w:w="954" w:type="pct"/>
            <w:shd w:val="clear" w:color="auto" w:fill="auto"/>
          </w:tcPr>
          <w:p w14:paraId="34B5BF3B"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3B7608CF"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2184-й (две тысячи сто восемьдесят четвертый) день с даты начала размещения Облигаций соответствующей серии</w:t>
            </w:r>
          </w:p>
        </w:tc>
        <w:tc>
          <w:tcPr>
            <w:tcW w:w="1985" w:type="pct"/>
            <w:shd w:val="clear" w:color="auto" w:fill="auto"/>
          </w:tcPr>
          <w:p w14:paraId="3A3CC6E4"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2366-й (две тысячи триста шестьдесят шестой) день с даты начала размещения Облигаций соответствующей серии</w:t>
            </w:r>
          </w:p>
        </w:tc>
      </w:tr>
      <w:tr w:rsidR="00B16473" w:rsidRPr="005C53F5" w14:paraId="2BCB0B87" w14:textId="77777777" w:rsidTr="00B16473">
        <w:tc>
          <w:tcPr>
            <w:tcW w:w="954" w:type="pct"/>
            <w:shd w:val="clear" w:color="auto" w:fill="auto"/>
          </w:tcPr>
          <w:p w14:paraId="446861F2"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73824E63"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2366-й (две тысячи триста шестьдесят шестой) день с даты начала размещения Облигаций соответствующей серии</w:t>
            </w:r>
          </w:p>
        </w:tc>
        <w:tc>
          <w:tcPr>
            <w:tcW w:w="1985" w:type="pct"/>
            <w:shd w:val="clear" w:color="auto" w:fill="auto"/>
          </w:tcPr>
          <w:p w14:paraId="6906251F"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2548-й (две тысячи пятьсот сорок восьмой) день с даты начала размещения Облигаций соответствующей серии</w:t>
            </w:r>
          </w:p>
        </w:tc>
      </w:tr>
      <w:tr w:rsidR="00B16473" w:rsidRPr="005C53F5" w14:paraId="01D0B2FB" w14:textId="77777777" w:rsidTr="00B16473">
        <w:tc>
          <w:tcPr>
            <w:tcW w:w="954" w:type="pct"/>
            <w:shd w:val="clear" w:color="auto" w:fill="auto"/>
          </w:tcPr>
          <w:p w14:paraId="2785F7C9"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597FA745"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2548-й (две тысячи пятьсот сорок восьмой) день с даты начала размещения Облигаций соответствующей серии</w:t>
            </w:r>
          </w:p>
        </w:tc>
        <w:tc>
          <w:tcPr>
            <w:tcW w:w="1985" w:type="pct"/>
            <w:shd w:val="clear" w:color="auto" w:fill="auto"/>
          </w:tcPr>
          <w:p w14:paraId="1140E653"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2730-й (две тысячи семьсот тридцатый) день с даты начала размещения Облигаций соответствующей серии</w:t>
            </w:r>
          </w:p>
        </w:tc>
      </w:tr>
      <w:tr w:rsidR="00B16473" w:rsidRPr="005C53F5" w14:paraId="2A8EB714" w14:textId="77777777" w:rsidTr="00B16473">
        <w:tc>
          <w:tcPr>
            <w:tcW w:w="954" w:type="pct"/>
            <w:shd w:val="clear" w:color="auto" w:fill="auto"/>
          </w:tcPr>
          <w:p w14:paraId="3E6EFCD5"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42E65352"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2730-й (две тысячи семьсот тридцатый) день с даты начала размещения Облигаций соответствующей серии</w:t>
            </w:r>
          </w:p>
        </w:tc>
        <w:tc>
          <w:tcPr>
            <w:tcW w:w="1985" w:type="pct"/>
            <w:shd w:val="clear" w:color="auto" w:fill="auto"/>
          </w:tcPr>
          <w:p w14:paraId="19173666"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2912-й (две тысячи девятьсот двенадцатый) день с даты начала размещения Облигаций соответствующей серии</w:t>
            </w:r>
          </w:p>
        </w:tc>
      </w:tr>
      <w:tr w:rsidR="00B16473" w:rsidRPr="005C53F5" w14:paraId="714DB750" w14:textId="77777777" w:rsidTr="00B16473">
        <w:tc>
          <w:tcPr>
            <w:tcW w:w="954" w:type="pct"/>
            <w:shd w:val="clear" w:color="auto" w:fill="auto"/>
          </w:tcPr>
          <w:p w14:paraId="401253CE"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1A25E200"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2912-й (две тысячи девятьсот двенадцатый) день с даты начала размещения Облигаций соответствующей серии</w:t>
            </w:r>
          </w:p>
        </w:tc>
        <w:tc>
          <w:tcPr>
            <w:tcW w:w="1985" w:type="pct"/>
            <w:shd w:val="clear" w:color="auto" w:fill="auto"/>
          </w:tcPr>
          <w:p w14:paraId="3A5BDD83"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3094-й (три тысячи девяносто четвертый) день с даты начала размещения Облигаций соответствующей серии</w:t>
            </w:r>
          </w:p>
        </w:tc>
      </w:tr>
      <w:tr w:rsidR="00B16473" w:rsidRPr="005C53F5" w14:paraId="65ED1ED1" w14:textId="77777777" w:rsidTr="00B16473">
        <w:tc>
          <w:tcPr>
            <w:tcW w:w="954" w:type="pct"/>
            <w:shd w:val="clear" w:color="auto" w:fill="auto"/>
          </w:tcPr>
          <w:p w14:paraId="4D7E7844"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07D89A74"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3094-й (три тысячи девяносто четвертый) день с даты начала размещения Облигаций соответствующей серии</w:t>
            </w:r>
          </w:p>
        </w:tc>
        <w:tc>
          <w:tcPr>
            <w:tcW w:w="1985" w:type="pct"/>
            <w:shd w:val="clear" w:color="auto" w:fill="auto"/>
          </w:tcPr>
          <w:p w14:paraId="1BAA0E23"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3276-й (три тысячи двести семьдесят шестой) день с даты начала размещения Облигаций соответствующей серии</w:t>
            </w:r>
          </w:p>
        </w:tc>
      </w:tr>
      <w:tr w:rsidR="00B16473" w:rsidRPr="005C53F5" w14:paraId="3D81C724" w14:textId="77777777" w:rsidTr="00B16473">
        <w:tc>
          <w:tcPr>
            <w:tcW w:w="954" w:type="pct"/>
            <w:shd w:val="clear" w:color="auto" w:fill="auto"/>
          </w:tcPr>
          <w:p w14:paraId="54C42A6A"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049C1355"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3276-й (три тысячи двести семьдесят шестой) день с даты начала размещения Облигаций соответствующей серии</w:t>
            </w:r>
          </w:p>
        </w:tc>
        <w:tc>
          <w:tcPr>
            <w:tcW w:w="1985" w:type="pct"/>
            <w:shd w:val="clear" w:color="auto" w:fill="auto"/>
          </w:tcPr>
          <w:p w14:paraId="729E49CA"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3458-й (три тысячи четыреста пятьдесят восьмой) день с даты начала размещения Облигаций соответствующей серии</w:t>
            </w:r>
          </w:p>
        </w:tc>
      </w:tr>
      <w:tr w:rsidR="00B16473" w:rsidRPr="005C53F5" w14:paraId="0FF2AA64" w14:textId="77777777" w:rsidTr="00B16473">
        <w:tc>
          <w:tcPr>
            <w:tcW w:w="954" w:type="pct"/>
            <w:shd w:val="clear" w:color="auto" w:fill="auto"/>
          </w:tcPr>
          <w:p w14:paraId="36C17430" w14:textId="77777777" w:rsidR="00B16473" w:rsidRPr="005C53F5" w:rsidRDefault="00B16473" w:rsidP="00057BE5">
            <w:pPr>
              <w:pStyle w:val="ConsPlusNormal"/>
              <w:numPr>
                <w:ilvl w:val="0"/>
                <w:numId w:val="37"/>
              </w:numPr>
              <w:jc w:val="center"/>
              <w:rPr>
                <w:rFonts w:ascii="Times New Roman" w:hAnsi="Times New Roman" w:cs="Times New Roman"/>
                <w:sz w:val="24"/>
              </w:rPr>
            </w:pPr>
          </w:p>
        </w:tc>
        <w:tc>
          <w:tcPr>
            <w:tcW w:w="2061" w:type="pct"/>
            <w:shd w:val="clear" w:color="auto" w:fill="auto"/>
          </w:tcPr>
          <w:p w14:paraId="3693338C"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3458-й (три тысячи четыреста пятьдесят восьмой) день с даты начала размещения Облигаций соответствующей серии</w:t>
            </w:r>
          </w:p>
        </w:tc>
        <w:tc>
          <w:tcPr>
            <w:tcW w:w="1985" w:type="pct"/>
            <w:shd w:val="clear" w:color="auto" w:fill="auto"/>
          </w:tcPr>
          <w:p w14:paraId="482D6118" w14:textId="77777777" w:rsidR="00B16473" w:rsidRPr="005C53F5" w:rsidRDefault="00B16473" w:rsidP="00057BE5">
            <w:pPr>
              <w:pStyle w:val="ConsPlusNormal"/>
              <w:jc w:val="both"/>
              <w:rPr>
                <w:rFonts w:ascii="Times New Roman" w:hAnsi="Times New Roman" w:cs="Times New Roman"/>
                <w:sz w:val="24"/>
              </w:rPr>
            </w:pPr>
            <w:r w:rsidRPr="005C53F5">
              <w:rPr>
                <w:rFonts w:ascii="Times New Roman" w:hAnsi="Times New Roman" w:cs="Times New Roman"/>
                <w:sz w:val="24"/>
              </w:rPr>
              <w:t>3640-й (три тысячи шестьсот сорокой) день с даты начала размещения Облигаций соответствующей серии</w:t>
            </w:r>
          </w:p>
        </w:tc>
      </w:tr>
    </w:tbl>
    <w:p w14:paraId="596880AA" w14:textId="77777777" w:rsidR="00A54BB9" w:rsidRPr="005C53F5" w:rsidRDefault="00A54BB9" w:rsidP="00057BE5">
      <w:pPr>
        <w:pStyle w:val="ConsPlusNormal"/>
        <w:ind w:firstLine="708"/>
        <w:jc w:val="both"/>
        <w:rPr>
          <w:rFonts w:ascii="Times New Roman" w:hAnsi="Times New Roman" w:cs="Times New Roman"/>
          <w:i/>
          <w:sz w:val="24"/>
        </w:rPr>
      </w:pPr>
      <w:r w:rsidRPr="005C53F5">
        <w:rPr>
          <w:rFonts w:ascii="Times New Roman" w:hAnsi="Times New Roman" w:cs="Times New Roman"/>
          <w:i/>
          <w:sz w:val="24"/>
        </w:rPr>
        <w:t>Размер купонного дохода или порядок его определения:</w:t>
      </w:r>
    </w:p>
    <w:p w14:paraId="191CEB94"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Процентная ставка по первому купону может определяться:</w:t>
      </w:r>
    </w:p>
    <w:p w14:paraId="05863CE0"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а) в ходе проведения Конкурса на Бирже среди потенциальных покупателей Облигаций в дату начала размещения Облигаций.</w:t>
      </w:r>
    </w:p>
    <w:p w14:paraId="09DA0205"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bCs/>
          <w:sz w:val="24"/>
        </w:rPr>
        <w:t xml:space="preserve">б) </w:t>
      </w:r>
      <w:r w:rsidRPr="005C53F5">
        <w:rPr>
          <w:rFonts w:ascii="Times New Roman" w:hAnsi="Times New Roman" w:cs="Times New Roman"/>
          <w:bCs/>
          <w:iCs/>
          <w:sz w:val="24"/>
        </w:rPr>
        <w:t>уполномоченным органом Эмитента</w:t>
      </w:r>
      <w:r w:rsidRPr="005C53F5">
        <w:rPr>
          <w:rFonts w:ascii="Times New Roman" w:hAnsi="Times New Roman" w:cs="Times New Roman"/>
          <w:sz w:val="24"/>
        </w:rPr>
        <w:t xml:space="preserve"> не позднее чем за один день до даты начала размещения Облигаций.</w:t>
      </w:r>
    </w:p>
    <w:p w14:paraId="0B8C267A" w14:textId="53BA65F8"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bCs/>
          <w:iCs/>
          <w:sz w:val="24"/>
        </w:rPr>
        <w:t>Процентная ставка по второму –</w:t>
      </w:r>
      <w:r w:rsidR="00B16473" w:rsidRPr="005C53F5">
        <w:rPr>
          <w:rFonts w:ascii="Times New Roman" w:hAnsi="Times New Roman" w:cs="Times New Roman"/>
          <w:bCs/>
          <w:iCs/>
          <w:sz w:val="24"/>
        </w:rPr>
        <w:t xml:space="preserve"> двадцатому </w:t>
      </w:r>
      <w:r w:rsidRPr="005C53F5">
        <w:rPr>
          <w:rFonts w:ascii="Times New Roman" w:hAnsi="Times New Roman" w:cs="Times New Roman"/>
          <w:bCs/>
          <w:iCs/>
          <w:sz w:val="24"/>
        </w:rPr>
        <w:t>купонам равна процентной ставке по первому купону.</w:t>
      </w:r>
    </w:p>
    <w:p w14:paraId="1AACD3B0" w14:textId="74047C29"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Информация о процентной ставке по первому купону раскрывается в порядке, предусмотренном </w:t>
      </w:r>
      <w:r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sz w:val="24"/>
        </w:rPr>
        <w:t>.</w:t>
      </w:r>
    </w:p>
    <w:p w14:paraId="7341D7B5"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Эмитент информирует Биржу и НРД о принятом решении о ставке первого купона не позднее, чем за один рабочий день до даты начала размещения Облигаций.</w:t>
      </w:r>
    </w:p>
    <w:p w14:paraId="3FFD339D"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Расчет суммы выплат по каждому i-му купону на одну Облигацию производится по следующей формуле:</w:t>
      </w:r>
    </w:p>
    <w:p w14:paraId="6FB1E76C" w14:textId="77777777" w:rsidR="00A54BB9" w:rsidRPr="005C53F5" w:rsidRDefault="00A54BB9" w:rsidP="00057BE5">
      <w:pPr>
        <w:pStyle w:val="ConsPlusNormal"/>
        <w:ind w:firstLine="709"/>
        <w:jc w:val="both"/>
        <w:rPr>
          <w:rFonts w:ascii="Times New Roman" w:hAnsi="Times New Roman" w:cs="Times New Roman"/>
          <w:sz w:val="24"/>
          <w:lang w:val="en-US"/>
        </w:rPr>
      </w:pPr>
      <w:r w:rsidRPr="005C53F5">
        <w:rPr>
          <w:rFonts w:ascii="Times New Roman" w:hAnsi="Times New Roman" w:cs="Times New Roman"/>
          <w:sz w:val="24"/>
        </w:rPr>
        <w:t>КД</w:t>
      </w:r>
      <w:r w:rsidRPr="005C53F5">
        <w:rPr>
          <w:rFonts w:ascii="Times New Roman" w:hAnsi="Times New Roman" w:cs="Times New Roman"/>
          <w:sz w:val="24"/>
          <w:lang w:val="en-US"/>
        </w:rPr>
        <w:t>i= Ci * Nom * (</w:t>
      </w:r>
      <w:r w:rsidRPr="005C53F5">
        <w:rPr>
          <w:rFonts w:ascii="Times New Roman" w:hAnsi="Times New Roman" w:cs="Times New Roman"/>
          <w:sz w:val="24"/>
        </w:rPr>
        <w:t>ДОКП</w:t>
      </w:r>
      <w:r w:rsidRPr="005C53F5">
        <w:rPr>
          <w:rFonts w:ascii="Times New Roman" w:hAnsi="Times New Roman" w:cs="Times New Roman"/>
          <w:sz w:val="24"/>
          <w:lang w:val="en-US"/>
        </w:rPr>
        <w:t xml:space="preserve">(i) - </w:t>
      </w:r>
      <w:r w:rsidRPr="005C53F5">
        <w:rPr>
          <w:rFonts w:ascii="Times New Roman" w:hAnsi="Times New Roman" w:cs="Times New Roman"/>
          <w:sz w:val="24"/>
        </w:rPr>
        <w:t>ДНКП</w:t>
      </w:r>
      <w:r w:rsidRPr="005C53F5">
        <w:rPr>
          <w:rFonts w:ascii="Times New Roman" w:hAnsi="Times New Roman" w:cs="Times New Roman"/>
          <w:sz w:val="24"/>
          <w:lang w:val="en-US"/>
        </w:rPr>
        <w:t>(i)) / (365 * 100%),</w:t>
      </w:r>
    </w:p>
    <w:p w14:paraId="17080ED3"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где</w:t>
      </w:r>
    </w:p>
    <w:p w14:paraId="2B2D8068"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«КДi» – величина купонного дохода по каждой Облигации по i-му купонному периоду в валюте, в которой выражена номинальная стоимость Облигации;</w:t>
      </w:r>
    </w:p>
    <w:p w14:paraId="0BA3E1C3"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«Nom» – номинальная стоимость одной Облигации;</w:t>
      </w:r>
    </w:p>
    <w:p w14:paraId="2918B05C"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«Ci» – размер процентной ставки по i-му купону, проценты годовых;</w:t>
      </w:r>
    </w:p>
    <w:p w14:paraId="33328DF1"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«ДНКП(i)» – дата начала i-го купонного периода;</w:t>
      </w:r>
    </w:p>
    <w:p w14:paraId="357C2C32"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«ДОКП(i)» – дата окончания i-го купонного периода.</w:t>
      </w:r>
    </w:p>
    <w:p w14:paraId="77B8453D"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«i» – порядковый номер купонного периода.</w:t>
      </w:r>
    </w:p>
    <w:p w14:paraId="4BCCCCE6" w14:textId="17BCD933" w:rsidR="003A1D6B"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КДi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766C7C0B" w14:textId="52637002"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491" w:name="_Toc39616411"/>
      <w:bookmarkStart w:id="492" w:name="_Toc36145650"/>
      <w:r w:rsidRPr="005C53F5">
        <w:rPr>
          <w:rFonts w:ascii="Times New Roman" w:hAnsi="Times New Roman" w:cs="Times New Roman"/>
          <w:b/>
          <w:sz w:val="24"/>
          <w:szCs w:val="24"/>
        </w:rPr>
        <w:t>8.9.4. Порядок и срок выплаты дохода по облигациям</w:t>
      </w:r>
      <w:bookmarkEnd w:id="491"/>
      <w:bookmarkEnd w:id="492"/>
    </w:p>
    <w:p w14:paraId="076EF043" w14:textId="40CF733A" w:rsidR="00DC0DD5" w:rsidRPr="005C53F5" w:rsidRDefault="00DC0DD5"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0A761671" w14:textId="77777777" w:rsidR="00A54BB9" w:rsidRPr="005C53F5" w:rsidRDefault="00A54BB9"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Срок (дата) выплаты дохода по облигациям или порядок его определения:</w:t>
      </w:r>
    </w:p>
    <w:p w14:paraId="6F47973C"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Купонный доход по Облигациям, начисляемый за каждый купонный период, выплачивается в дату окончания соответствующего купонного периода.</w:t>
      </w:r>
    </w:p>
    <w:p w14:paraId="2881BCC1"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Если любая из дат окончания соответствующего купонного периода приходится на день, не являющийся рабочим днем, то перечисление надлежащей суммы производится в первый рабочий день, следующий за такой датой. Владелец Облигаций не имеет права требовать начисления процентов или какой-либо иной компенсации за такую задержку в платеже.</w:t>
      </w:r>
    </w:p>
    <w:p w14:paraId="1432F795" w14:textId="77777777" w:rsidR="00A54BB9" w:rsidRPr="005C53F5" w:rsidRDefault="00A54BB9"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Порядок выплаты дохода по облигациям:</w:t>
      </w:r>
    </w:p>
    <w:p w14:paraId="0250BCD7"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Выплата купонного дохода по Облигациям производится денежными средствами в валюте, в которой выражена номинальная стоимость Облигации, в безналичном порядке.</w:t>
      </w:r>
    </w:p>
    <w:p w14:paraId="6E692FF0" w14:textId="4C5687FC"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Владельцы и иные лица, осуществляющие в соответствии с законодательством </w:t>
      </w:r>
      <w:r w:rsidRPr="005C53F5">
        <w:rPr>
          <w:rFonts w:ascii="Times New Roman" w:hAnsi="Times New Roman" w:cs="Times New Roman"/>
          <w:bCs/>
          <w:iCs/>
          <w:sz w:val="24"/>
        </w:rPr>
        <w:t xml:space="preserve">Российской Федерации </w:t>
      </w:r>
      <w:r w:rsidRPr="005C53F5">
        <w:rPr>
          <w:rFonts w:ascii="Times New Roman" w:hAnsi="Times New Roman" w:cs="Times New Roman"/>
          <w:sz w:val="24"/>
        </w:rPr>
        <w:t xml:space="preserve">права по Облигациям, получают доходы в денежной форме по Облигациям через </w:t>
      </w:r>
      <w:r w:rsidR="00D77515" w:rsidRPr="005C53F5">
        <w:rPr>
          <w:rFonts w:ascii="Times New Roman" w:hAnsi="Times New Roman" w:cs="Times New Roman"/>
          <w:sz w:val="24"/>
        </w:rPr>
        <w:t>депозитарий</w:t>
      </w:r>
      <w:r w:rsidRPr="005C53F5">
        <w:rPr>
          <w:rFonts w:ascii="Times New Roman" w:hAnsi="Times New Roman" w:cs="Times New Roman"/>
          <w:sz w:val="24"/>
        </w:rPr>
        <w:t>, осуществляющий учет прав на Облигации, депонентами которого они являются.</w:t>
      </w:r>
    </w:p>
    <w:p w14:paraId="5460EDFE"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Передача денежных выплат в счет уплаты купонного дохода по Облигациям осуществляется в соответствии с порядком, предусмотренным статьей 8.7 Закона о рынке ценных бумаг, с особенностями, предусмотренными для облигаций с централизованным учетом прав. Для получения выплат по Облигациям указанные лица должны иметь банковский счет в российских рублях. </w:t>
      </w:r>
    </w:p>
    <w:p w14:paraId="25971818" w14:textId="77777777"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Депозитарный договор между депозитарием, осуществляющим учет прав на Облигации, и депонентом должен содержать порядок передачи депоненту выплат по Облигациям. Эмитент исполняет обязанность по осуществлению выплаты доходов по Облигациям в денежной форме путем перечисления денежных средств НРД. Указанная обязанность считается исполненной Эмитентом с даты поступления денежных средств на счет НРД.</w:t>
      </w:r>
    </w:p>
    <w:p w14:paraId="30841CFF" w14:textId="3D248D5D" w:rsidR="00A54BB9" w:rsidRPr="005C53F5" w:rsidRDefault="00A54BB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случае если на момент совершения действий, связанных с исполнением обязательств Эмитентом по выплате купона по Облигациям, законодат</w:t>
      </w:r>
      <w:r w:rsidR="0094619D" w:rsidRPr="005C53F5">
        <w:rPr>
          <w:rFonts w:ascii="Times New Roman" w:hAnsi="Times New Roman" w:cs="Times New Roman"/>
          <w:sz w:val="24"/>
        </w:rPr>
        <w:t>ельством Российской Федерации и (</w:t>
      </w:r>
      <w:r w:rsidRPr="005C53F5">
        <w:rPr>
          <w:rFonts w:ascii="Times New Roman" w:hAnsi="Times New Roman" w:cs="Times New Roman"/>
          <w:sz w:val="24"/>
        </w:rPr>
        <w:t>или</w:t>
      </w:r>
      <w:r w:rsidR="0094619D" w:rsidRPr="005C53F5">
        <w:rPr>
          <w:rFonts w:ascii="Times New Roman" w:hAnsi="Times New Roman" w:cs="Times New Roman"/>
          <w:sz w:val="24"/>
        </w:rPr>
        <w:t>)</w:t>
      </w:r>
      <w:r w:rsidRPr="005C53F5">
        <w:rPr>
          <w:rFonts w:ascii="Times New Roman" w:hAnsi="Times New Roman" w:cs="Times New Roman"/>
          <w:sz w:val="24"/>
        </w:rPr>
        <w:t xml:space="preserve"> подзаконными нормативными правовыми актами будут установлены условия, порядок и (или) правила (требования), отличные от тех, которые содержатся в настоящем подпункте, исполнение обязательств Эмитентом по выплате купона по Облигациям будет осуществляться с учетом требований законода</w:t>
      </w:r>
      <w:r w:rsidR="0094619D" w:rsidRPr="005C53F5">
        <w:rPr>
          <w:rFonts w:ascii="Times New Roman" w:hAnsi="Times New Roman" w:cs="Times New Roman"/>
          <w:sz w:val="24"/>
        </w:rPr>
        <w:t>тельства Российской Федерации и (</w:t>
      </w:r>
      <w:r w:rsidRPr="005C53F5">
        <w:rPr>
          <w:rFonts w:ascii="Times New Roman" w:hAnsi="Times New Roman" w:cs="Times New Roman"/>
          <w:sz w:val="24"/>
        </w:rPr>
        <w:t>или</w:t>
      </w:r>
      <w:r w:rsidR="0094619D" w:rsidRPr="005C53F5">
        <w:rPr>
          <w:rFonts w:ascii="Times New Roman" w:hAnsi="Times New Roman" w:cs="Times New Roman"/>
          <w:sz w:val="24"/>
        </w:rPr>
        <w:t>)</w:t>
      </w:r>
      <w:r w:rsidRPr="005C53F5">
        <w:rPr>
          <w:rFonts w:ascii="Times New Roman" w:hAnsi="Times New Roman" w:cs="Times New Roman"/>
          <w:sz w:val="24"/>
        </w:rPr>
        <w:t xml:space="preserve"> подзаконных нормативных правовых актов, действующих на момент совершения соответствующих действий.</w:t>
      </w:r>
    </w:p>
    <w:p w14:paraId="54DD4A46" w14:textId="0F1DB70C" w:rsidR="003A1D6B" w:rsidRPr="005C53F5" w:rsidRDefault="00A54BB9"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szCs w:val="22"/>
        </w:rPr>
        <w:t>В связи с тем, что выплата доходов по Облигациям осуществляется в безналичном порядке, место выплаты доходов не указывается</w:t>
      </w:r>
      <w:r w:rsidR="00FB3EDA" w:rsidRPr="005C53F5">
        <w:rPr>
          <w:rFonts w:ascii="Times New Roman" w:hAnsi="Times New Roman" w:cs="Times New Roman"/>
          <w:sz w:val="24"/>
          <w:szCs w:val="22"/>
        </w:rPr>
        <w:t>.</w:t>
      </w:r>
    </w:p>
    <w:p w14:paraId="3ADFB1D3" w14:textId="6DC5B5D3"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493" w:name="_Toc39616412"/>
      <w:bookmarkStart w:id="494" w:name="_Toc36145651"/>
      <w:r w:rsidRPr="005C53F5">
        <w:rPr>
          <w:rFonts w:ascii="Times New Roman" w:hAnsi="Times New Roman" w:cs="Times New Roman"/>
          <w:b/>
          <w:sz w:val="24"/>
          <w:szCs w:val="24"/>
        </w:rPr>
        <w:t>8.9.5. Порядок и условия досрочного погашения облигаций</w:t>
      </w:r>
      <w:bookmarkEnd w:id="493"/>
      <w:bookmarkEnd w:id="494"/>
    </w:p>
    <w:p w14:paraId="09C6D1D4" w14:textId="79CBD571" w:rsidR="003A6F5A" w:rsidRPr="005C53F5" w:rsidRDefault="003A6F5A"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71170B8F" w14:textId="77777777" w:rsidR="003A6F5A" w:rsidRPr="005C53F5" w:rsidRDefault="003A6F5A"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Возможность досрочного погашения Облигаций по требованию их владельцев или по усмотрению Эмитента (в том числе возможность частичного досрочного погашения Облигаций по усмотрению Эмитента) не предусмотрена.</w:t>
      </w:r>
    </w:p>
    <w:p w14:paraId="32B5C0FF" w14:textId="239A3E2F"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495" w:name="_Toc39616413"/>
      <w:bookmarkStart w:id="496" w:name="_Toc36145652"/>
      <w:r w:rsidRPr="005C53F5">
        <w:rPr>
          <w:rFonts w:ascii="Times New Roman" w:hAnsi="Times New Roman" w:cs="Times New Roman"/>
          <w:b/>
          <w:sz w:val="24"/>
          <w:szCs w:val="24"/>
        </w:rPr>
        <w:t>8.9.6. Сведения о платежных агентах по облигациям</w:t>
      </w:r>
      <w:bookmarkEnd w:id="495"/>
      <w:bookmarkEnd w:id="496"/>
    </w:p>
    <w:p w14:paraId="53E4750F" w14:textId="77777777" w:rsidR="003A6F5A" w:rsidRPr="005C53F5" w:rsidRDefault="003A6F5A"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01AAF3D4" w14:textId="587A3C7D" w:rsidR="003A6F5A" w:rsidRPr="005C53F5" w:rsidRDefault="003A6F5A" w:rsidP="00057BE5">
      <w:pPr>
        <w:pStyle w:val="ConsPlusNormal"/>
        <w:ind w:firstLine="708"/>
        <w:jc w:val="both"/>
        <w:rPr>
          <w:rFonts w:ascii="Times New Roman" w:hAnsi="Times New Roman" w:cs="Times New Roman"/>
          <w:sz w:val="24"/>
        </w:rPr>
      </w:pPr>
      <w:r w:rsidRPr="005C53F5">
        <w:rPr>
          <w:rFonts w:ascii="Times New Roman" w:hAnsi="Times New Roman" w:cs="Times New Roman"/>
          <w:sz w:val="24"/>
        </w:rPr>
        <w:t xml:space="preserve">На дату утверждения </w:t>
      </w:r>
      <w:r w:rsidR="00AF365D" w:rsidRPr="005C53F5">
        <w:rPr>
          <w:rFonts w:ascii="Times New Roman" w:hAnsi="Times New Roman" w:cs="Times New Roman"/>
          <w:sz w:val="24"/>
        </w:rPr>
        <w:t>Условий выпуска и дату утверждения Проспекта ценных бумаг</w:t>
      </w:r>
      <w:r w:rsidRPr="005C53F5">
        <w:rPr>
          <w:rFonts w:ascii="Times New Roman" w:hAnsi="Times New Roman" w:cs="Times New Roman"/>
          <w:sz w:val="24"/>
        </w:rPr>
        <w:t xml:space="preserve"> платежный агент не назначен.</w:t>
      </w:r>
    </w:p>
    <w:p w14:paraId="1658C5DD" w14:textId="77777777" w:rsidR="003A6F5A" w:rsidRPr="005C53F5" w:rsidRDefault="003A6F5A" w:rsidP="00057BE5">
      <w:pPr>
        <w:pStyle w:val="ConsPlusNormal"/>
        <w:ind w:firstLine="708"/>
        <w:jc w:val="both"/>
        <w:rPr>
          <w:rFonts w:ascii="Times New Roman" w:hAnsi="Times New Roman" w:cs="Times New Roman"/>
          <w:sz w:val="24"/>
        </w:rPr>
      </w:pPr>
      <w:r w:rsidRPr="005C53F5">
        <w:rPr>
          <w:rFonts w:ascii="Times New Roman" w:hAnsi="Times New Roman" w:cs="Times New Roman"/>
          <w:sz w:val="24"/>
        </w:rPr>
        <w:t>Эмитент может назначать платежных агентов и отменять такие назначения при осуществлении адресных платежей в пользу владельцев Облигаций в случаях, предусмотренных применимым законодательством.</w:t>
      </w:r>
    </w:p>
    <w:p w14:paraId="66AB6B74" w14:textId="77777777" w:rsidR="003A6F5A" w:rsidRPr="005C53F5" w:rsidRDefault="003A6F5A" w:rsidP="00057BE5">
      <w:pPr>
        <w:pStyle w:val="ConsPlusNormal"/>
        <w:ind w:firstLine="708"/>
        <w:jc w:val="both"/>
        <w:rPr>
          <w:rFonts w:ascii="Times New Roman" w:hAnsi="Times New Roman" w:cs="Times New Roman"/>
          <w:sz w:val="24"/>
        </w:rPr>
      </w:pPr>
      <w:r w:rsidRPr="005C53F5">
        <w:rPr>
          <w:rFonts w:ascii="Times New Roman" w:hAnsi="Times New Roman" w:cs="Times New Roman"/>
          <w:sz w:val="24"/>
        </w:rPr>
        <w:t>Эмитент не может одновременно назначить нескольких платежных агентов по одному и тому же Выпуску.</w:t>
      </w:r>
    </w:p>
    <w:p w14:paraId="75286B21" w14:textId="6B1C2422" w:rsidR="003A1D6B" w:rsidRPr="005C53F5" w:rsidRDefault="003A6F5A" w:rsidP="00057BE5">
      <w:pPr>
        <w:pStyle w:val="ConsPlusNormal"/>
        <w:ind w:firstLine="708"/>
        <w:jc w:val="both"/>
        <w:rPr>
          <w:rFonts w:ascii="Times New Roman" w:hAnsi="Times New Roman" w:cs="Times New Roman"/>
          <w:sz w:val="24"/>
        </w:rPr>
      </w:pPr>
      <w:r w:rsidRPr="005C53F5">
        <w:rPr>
          <w:rFonts w:ascii="Times New Roman" w:hAnsi="Times New Roman" w:cs="Times New Roman"/>
          <w:sz w:val="24"/>
        </w:rPr>
        <w:t xml:space="preserve">Информация о назначении Эмитентом платежных агентов и отмене таких назначений раскрывается Эмитентом в порядке, указанном в </w:t>
      </w:r>
      <w:r w:rsidR="00B176AC" w:rsidRPr="005C53F5">
        <w:rPr>
          <w:rFonts w:ascii="Times New Roman" w:hAnsi="Times New Roman" w:cs="Times New Roman"/>
          <w:bCs/>
          <w:iCs/>
          <w:sz w:val="24"/>
        </w:rPr>
        <w:t>пункте</w:t>
      </w:r>
      <w:r w:rsidRPr="005C53F5">
        <w:rPr>
          <w:rFonts w:ascii="Times New Roman" w:hAnsi="Times New Roman" w:cs="Times New Roman"/>
          <w:bCs/>
          <w:iCs/>
          <w:sz w:val="24"/>
        </w:rPr>
        <w:t xml:space="preserve"> 8.11 Проспекта ценных бумаг</w:t>
      </w:r>
      <w:r w:rsidRPr="005C53F5">
        <w:rPr>
          <w:rFonts w:ascii="Times New Roman" w:hAnsi="Times New Roman" w:cs="Times New Roman"/>
          <w:sz w:val="24"/>
        </w:rPr>
        <w:t>.</w:t>
      </w:r>
    </w:p>
    <w:p w14:paraId="4FDBD15D" w14:textId="56221910"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97" w:name="_Toc39616414"/>
      <w:bookmarkStart w:id="498" w:name="_Toc36145653"/>
      <w:r w:rsidRPr="005C53F5">
        <w:rPr>
          <w:rFonts w:ascii="Times New Roman" w:hAnsi="Times New Roman" w:cs="Times New Roman"/>
          <w:b/>
          <w:sz w:val="24"/>
          <w:szCs w:val="24"/>
        </w:rPr>
        <w:t>8.10. Сведения о приобретении облигаций</w:t>
      </w:r>
      <w:bookmarkEnd w:id="497"/>
      <w:bookmarkEnd w:id="498"/>
    </w:p>
    <w:p w14:paraId="19321770" w14:textId="7943E1FB" w:rsidR="003A1D6B" w:rsidRPr="005C53F5" w:rsidRDefault="00B176AC"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45114E80" w14:textId="77777777"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Возможность приобретения Облигаций Эмитентом по требованию их владельцев с возможностью последующего обращения Облигаций не предусмотрена.</w:t>
      </w:r>
    </w:p>
    <w:p w14:paraId="43FD67A1" w14:textId="77777777"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Предусмотрена возможность приобретения Облигаций Эмитентом по соглашению с их владельцами с возможностью последующего обращения Облигаций.</w:t>
      </w:r>
    </w:p>
    <w:p w14:paraId="6B7D713D" w14:textId="77777777"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Приобретение Облигаций Эмитентом осуществляется на одинаковых для всех владельцев Облигаций условиях.</w:t>
      </w:r>
    </w:p>
    <w:p w14:paraId="466E24A0" w14:textId="77777777"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Приобретение Облигаций Эмитентом допускается только после даты представления в Банк России уведомления о завершении размещения Облигаций.</w:t>
      </w:r>
    </w:p>
    <w:p w14:paraId="0A7FE485" w14:textId="77777777"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Оплата Облигаций при их приобретении Эмитентом производится денежными средствами в безналичном порядке в валюте, в которой выражена номинальная стоимость Облигации.</w:t>
      </w:r>
    </w:p>
    <w:p w14:paraId="676E8659" w14:textId="77777777"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Эмитент имеет право приобретать Облигации путем заключения договоров купли - продажи Облигаций в соответствии с законодательством Российской Федерации, в том числе на основании публичных безотзывных оферт Эмитента, публикуемых в средствах массовой информации и/или на Странице в сети Интернет либо Ленте новостей.</w:t>
      </w:r>
    </w:p>
    <w:p w14:paraId="162501D7" w14:textId="74AF276E"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Решение о приобретении Облигаций, в том числе на основании публичных безотзывных оферт, принимается уполномоченным органом Эмитента. При принятии указанного решения Эмитентом должны быть установлены условия, порядок и сроки приобретения Облигаций, которые будут опубликованы в Ленте новостей и на Странице в сети Интернет</w:t>
      </w:r>
      <w:r w:rsidRPr="005C53F5">
        <w:rPr>
          <w:rFonts w:ascii="Times New Roman" w:hAnsi="Times New Roman" w:cs="Times New Roman"/>
          <w:sz w:val="24"/>
        </w:rPr>
        <w:t>.</w:t>
      </w:r>
      <w:r w:rsidRPr="005C53F5">
        <w:rPr>
          <w:rFonts w:ascii="Times New Roman" w:hAnsi="Times New Roman" w:cs="Times New Roman"/>
          <w:bCs/>
          <w:iCs/>
          <w:sz w:val="24"/>
        </w:rPr>
        <w:t xml:space="preserve"> При этом срок приобретения Облигаций не может наступить ранее даты </w:t>
      </w:r>
      <w:r w:rsidRPr="005C53F5">
        <w:rPr>
          <w:rFonts w:ascii="Times New Roman" w:hAnsi="Times New Roman" w:cs="Times New Roman"/>
          <w:sz w:val="24"/>
        </w:rPr>
        <w:t>представления в Банк России уведомления о завершении размещения Облигаций</w:t>
      </w:r>
      <w:r w:rsidRPr="005C53F5">
        <w:rPr>
          <w:rFonts w:ascii="Times New Roman" w:hAnsi="Times New Roman" w:cs="Times New Roman"/>
          <w:bCs/>
          <w:iCs/>
          <w:sz w:val="24"/>
        </w:rPr>
        <w:t>.</w:t>
      </w:r>
    </w:p>
    <w:p w14:paraId="6DA0034A" w14:textId="31A31447"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Эмитент может назначать агентов по приобретению Облигаций и отменять такие назначения. Официальное сообщение Эмитента об указанных действиях осуществляется Эмитентом в порядке раскрытия информации, установленном </w:t>
      </w:r>
      <w:r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sz w:val="24"/>
        </w:rPr>
        <w:t>.</w:t>
      </w:r>
    </w:p>
    <w:p w14:paraId="3EFBBAE6" w14:textId="3F1B6658"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499" w:name="_Toc39616415"/>
      <w:bookmarkStart w:id="500" w:name="_Toc36145654"/>
      <w:r w:rsidRPr="005C53F5">
        <w:rPr>
          <w:rFonts w:ascii="Times New Roman" w:hAnsi="Times New Roman" w:cs="Times New Roman"/>
          <w:b/>
          <w:sz w:val="24"/>
          <w:szCs w:val="24"/>
        </w:rPr>
        <w:t>8.11. Порядок раскрытия эмитентом информации о выпуске (дополнительном выпуске) ценных бумаг</w:t>
      </w:r>
      <w:bookmarkEnd w:id="499"/>
      <w:bookmarkEnd w:id="500"/>
    </w:p>
    <w:p w14:paraId="1852BEBF" w14:textId="77777777" w:rsidR="00B176AC" w:rsidRPr="005C53F5" w:rsidRDefault="00B176AC"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44D6F017"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У Эмитента отсутствует обязанность по раскрытию информации в форме отчета эмитента и сообщений о существенных фактах.</w:t>
      </w:r>
    </w:p>
    <w:p w14:paraId="218A0DA2" w14:textId="27784D2E" w:rsidR="002542F8" w:rsidRPr="005C53F5" w:rsidRDefault="002542F8"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Эмитент обязуется раскрывать информацию в процессе эмиссии Облигаций, а также в процессе их обращения в соответствии с требованиями законодательства Российской Федерации о ценных бумагах в порядке и сроки, предусмотренные законодательством Российской Федерации и </w:t>
      </w:r>
      <w:r w:rsidR="00685E7A" w:rsidRPr="005C53F5">
        <w:rPr>
          <w:rFonts w:ascii="Times New Roman" w:hAnsi="Times New Roman" w:cs="Times New Roman"/>
          <w:sz w:val="24"/>
        </w:rPr>
        <w:t>П</w:t>
      </w:r>
      <w:r w:rsidRPr="005C53F5">
        <w:rPr>
          <w:rFonts w:ascii="Times New Roman" w:hAnsi="Times New Roman" w:cs="Times New Roman"/>
          <w:sz w:val="24"/>
        </w:rPr>
        <w:t>роспектом</w:t>
      </w:r>
      <w:r w:rsidR="00685E7A" w:rsidRPr="005C53F5">
        <w:rPr>
          <w:rFonts w:ascii="Times New Roman" w:hAnsi="Times New Roman" w:cs="Times New Roman"/>
          <w:sz w:val="24"/>
        </w:rPr>
        <w:t xml:space="preserve"> ценных бумаг</w:t>
      </w:r>
      <w:r w:rsidRPr="005C53F5">
        <w:rPr>
          <w:rFonts w:ascii="Times New Roman" w:hAnsi="Times New Roman" w:cs="Times New Roman"/>
          <w:sz w:val="24"/>
        </w:rPr>
        <w:t>, а также в соответствии с применимыми требованиями законодательства Республики Казахстан, включая действующее право Международного финансового центра «Астана».</w:t>
      </w:r>
    </w:p>
    <w:p w14:paraId="24A259B6" w14:textId="77777777"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В случаях, когда Эмитент обязан опубликовать информацию в Ленте новостей, такое опубликование должно осуществляться не позднее последнего дня, в течение которого должно быть осуществлено такое опубликование. </w:t>
      </w:r>
    </w:p>
    <w:p w14:paraId="03586D64" w14:textId="155E25A4" w:rsidR="00B176AC" w:rsidRPr="005C53F5" w:rsidRDefault="00B176AC" w:rsidP="00057BE5">
      <w:pPr>
        <w:pStyle w:val="ConsPlusNormal"/>
        <w:ind w:firstLine="709"/>
        <w:jc w:val="both"/>
        <w:rPr>
          <w:rFonts w:ascii="Times New Roman" w:hAnsi="Times New Roman" w:cs="Times New Roman"/>
          <w:sz w:val="24"/>
          <w:u w:val="single"/>
        </w:rPr>
      </w:pPr>
      <w:r w:rsidRPr="005C53F5">
        <w:rPr>
          <w:rFonts w:ascii="Times New Roman" w:hAnsi="Times New Roman" w:cs="Times New Roman"/>
          <w:sz w:val="24"/>
        </w:rPr>
        <w:t xml:space="preserve">Для раскрытия информации на Странице в сети Интернет Эмитент использует страницу в сети Интернет, предоставляемую одним из распространителей информации на рынке ценных бумаг. Раскрытие информации на Странице в сети Интернет означает раскрытие информации на странице в сети Интернет, предоставляемой распространителем информации на рынке ценных бумаг – </w:t>
      </w:r>
      <w:r w:rsidR="005C53F5" w:rsidRPr="005C53F5">
        <w:rPr>
          <w:rFonts w:ascii="Times New Roman" w:hAnsi="Times New Roman" w:cs="Times New Roman"/>
          <w:sz w:val="24"/>
        </w:rPr>
        <w:t xml:space="preserve"> </w:t>
      </w:r>
      <w:r w:rsidR="00A12642" w:rsidRPr="00A12642">
        <w:rPr>
          <w:rFonts w:ascii="Times New Roman" w:hAnsi="Times New Roman" w:cs="Times New Roman"/>
          <w:sz w:val="24"/>
        </w:rPr>
        <w:t>http://e-disclosure.ru/portal/company.aspx?id=38193</w:t>
      </w:r>
      <w:r w:rsidRPr="005C53F5">
        <w:rPr>
          <w:rFonts w:ascii="Times New Roman" w:hAnsi="Times New Roman" w:cs="Times New Roman"/>
          <w:sz w:val="24"/>
        </w:rPr>
        <w:t>.</w:t>
      </w:r>
    </w:p>
    <w:p w14:paraId="726959BC" w14:textId="732A52A5" w:rsidR="00B176AC" w:rsidRPr="005C53F5" w:rsidRDefault="00B176AC" w:rsidP="00057BE5">
      <w:pPr>
        <w:spacing w:after="0" w:line="240" w:lineRule="auto"/>
        <w:ind w:firstLine="709"/>
        <w:jc w:val="both"/>
        <w:rPr>
          <w:rFonts w:ascii="Times New Roman" w:eastAsia="Times New Roman" w:hAnsi="Times New Roman" w:cs="Times New Roman"/>
          <w:color w:val="000000"/>
          <w:sz w:val="24"/>
          <w:szCs w:val="24"/>
          <w:lang w:val="kk-KZ" w:eastAsia="ru-RU"/>
        </w:rPr>
      </w:pPr>
      <w:r w:rsidRPr="005C53F5">
        <w:rPr>
          <w:rFonts w:ascii="Times New Roman" w:eastAsia="Times New Roman" w:hAnsi="Times New Roman" w:cs="Times New Roman"/>
          <w:sz w:val="24"/>
          <w:lang w:eastAsia="ru-RU"/>
        </w:rPr>
        <w:t xml:space="preserve">В случае если ценные бумаги Эмитента допущены к организованным торгам, при опубликовании информации в сети Интернет, помимо раскрытия информации на Странице в сети Интернет, Эмитент должен на странице Эмитента в сети Интернет, электронный адрес которой включает доменное имя, права на которое принадлежат Эмитенту, по адресу: </w:t>
      </w:r>
      <w:hyperlink r:id="rId20" w:history="1">
        <w:r w:rsidR="005F135C" w:rsidRPr="005C53F5">
          <w:rPr>
            <w:rStyle w:val="ae"/>
            <w:rFonts w:ascii="Times New Roman" w:hAnsi="Times New Roman" w:cs="Times New Roman"/>
            <w:sz w:val="24"/>
            <w:szCs w:val="24"/>
            <w:lang w:val="kk-KZ"/>
          </w:rPr>
          <w:t>http://www.minfin.gov.kz/</w:t>
        </w:r>
      </w:hyperlink>
      <w:r w:rsidRPr="005C53F5">
        <w:rPr>
          <w:rFonts w:ascii="Times New Roman" w:eastAsia="Times New Roman" w:hAnsi="Times New Roman" w:cs="Times New Roman"/>
          <w:sz w:val="24"/>
          <w:lang w:eastAsia="ru-RU"/>
        </w:rPr>
        <w:t>, разместить ссылку на Страницу в сети Интернет, предоставляемую одним из распространителей информации на рынке ценных бумаг, по адресу</w:t>
      </w:r>
      <w:r w:rsidR="004231EB">
        <w:rPr>
          <w:rFonts w:ascii="Times New Roman" w:eastAsia="Times New Roman" w:hAnsi="Times New Roman" w:cs="Times New Roman"/>
          <w:sz w:val="24"/>
          <w:lang w:eastAsia="ru-RU"/>
        </w:rPr>
        <w:t xml:space="preserve"> </w:t>
      </w:r>
      <w:r w:rsidR="00A12642" w:rsidRPr="00A12642">
        <w:rPr>
          <w:rFonts w:ascii="Times New Roman" w:eastAsia="Times New Roman" w:hAnsi="Times New Roman" w:cs="Times New Roman"/>
          <w:sz w:val="24"/>
          <w:lang w:eastAsia="ru-RU"/>
        </w:rPr>
        <w:t>http://e-disclosure.ru/portal/company.aspx?id=38193</w:t>
      </w:r>
      <w:r w:rsidRPr="005C53F5">
        <w:rPr>
          <w:rFonts w:ascii="Times New Roman" w:eastAsia="Times New Roman" w:hAnsi="Times New Roman" w:cs="Times New Roman"/>
          <w:sz w:val="24"/>
          <w:lang w:eastAsia="ru-RU"/>
        </w:rPr>
        <w:t>, на которой осуществляется опубликование информации Эмитента.</w:t>
      </w:r>
    </w:p>
    <w:p w14:paraId="4EA47B48" w14:textId="77777777"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случае, когда информация должна быть раскрыта путем опубликования в Ленте новостей, раскрытие такой информации иными способами, в том числе путем опубликования на Странице в сети Интернет, осуществляется после ее опубликования в Ленте новостей.</w:t>
      </w:r>
    </w:p>
    <w:p w14:paraId="27F18D12" w14:textId="2257CDB2" w:rsidR="00A75E84" w:rsidRPr="005C53F5" w:rsidRDefault="00A75E84"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Эмитент или уполномоченное им лицо одновременно с опубликованием информации в Ленте новостей обязаны уведомить Биржу о содержании такой информации в порядке, согласованном с Биржей.</w:t>
      </w:r>
    </w:p>
    <w:p w14:paraId="66456572" w14:textId="61DCA625"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В случае когда последний день срока, в который в соответствии с </w:t>
      </w:r>
      <w:r w:rsidR="0032134C" w:rsidRPr="005C53F5">
        <w:rPr>
          <w:rFonts w:ascii="Times New Roman" w:hAnsi="Times New Roman" w:cs="Times New Roman"/>
          <w:bCs/>
          <w:iCs/>
          <w:sz w:val="24"/>
        </w:rPr>
        <w:t>пунктом 8.11 Проспекта ценных бумаг</w:t>
      </w:r>
      <w:r w:rsidRPr="005C53F5">
        <w:rPr>
          <w:rFonts w:ascii="Times New Roman" w:hAnsi="Times New Roman" w:cs="Times New Roman"/>
          <w:bCs/>
          <w:iCs/>
          <w:sz w:val="24"/>
        </w:rPr>
        <w:t xml:space="preserve"> Эмитент обязан раскрыть информацию или предоставить копию документа, содержащего подлежащую раскрытию информацию, приходится на выходной или нерабочий праздничный день, днем окончания такого срока считается ближайший следующий за ним рабочий день.</w:t>
      </w:r>
    </w:p>
    <w:p w14:paraId="0F51C246"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 принятии Банком России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(далее – «</w:t>
      </w:r>
      <w:r w:rsidRPr="005C53F5">
        <w:rPr>
          <w:rFonts w:ascii="Times New Roman" w:hAnsi="Times New Roman" w:cs="Times New Roman"/>
          <w:b/>
          <w:bCs/>
          <w:i/>
          <w:iCs/>
          <w:sz w:val="24"/>
        </w:rPr>
        <w:t>Сообщение о регистрации проспекта Облигаций</w:t>
      </w:r>
      <w:r w:rsidRPr="005C53F5">
        <w:rPr>
          <w:rFonts w:ascii="Times New Roman" w:hAnsi="Times New Roman" w:cs="Times New Roman"/>
          <w:bCs/>
          <w:i/>
          <w:iCs/>
          <w:sz w:val="24"/>
        </w:rPr>
        <w:t>»)</w:t>
      </w:r>
    </w:p>
    <w:p w14:paraId="4E96B492"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о регистрации проспекта Облигаций раскрывается Эмитентом в следующие сроки с даты опубликования информации о принятых решениях на странице Банка России в сети Интернет или получения Эмитентом письменного уведомления Банка России о принятых решениях посредством почтовой, факсимильной, электронной связи, вручения под роспись в зависимости от того, какая из указанных дат наступит раньше:</w:t>
      </w:r>
    </w:p>
    <w:p w14:paraId="069A2746" w14:textId="77777777" w:rsidR="00B176AC" w:rsidRPr="005C53F5" w:rsidRDefault="00B176AC" w:rsidP="00057BE5">
      <w:pPr>
        <w:pStyle w:val="ConsPlusNormal"/>
        <w:numPr>
          <w:ilvl w:val="0"/>
          <w:numId w:val="17"/>
        </w:numPr>
        <w:ind w:left="709" w:firstLine="0"/>
        <w:jc w:val="both"/>
        <w:rPr>
          <w:rFonts w:ascii="Times New Roman" w:hAnsi="Times New Roman" w:cs="Times New Roman"/>
          <w:sz w:val="24"/>
        </w:rPr>
      </w:pPr>
      <w:r w:rsidRPr="005C53F5">
        <w:rPr>
          <w:rFonts w:ascii="Times New Roman" w:hAnsi="Times New Roman" w:cs="Times New Roman"/>
          <w:bCs/>
          <w:iCs/>
          <w:sz w:val="24"/>
        </w:rPr>
        <w:t xml:space="preserve">в Ленте </w:t>
      </w:r>
      <w:r w:rsidRPr="005C53F5">
        <w:rPr>
          <w:rFonts w:ascii="Times New Roman" w:hAnsi="Times New Roman" w:cs="Times New Roman"/>
          <w:sz w:val="24"/>
        </w:rPr>
        <w:t xml:space="preserve">новостей </w:t>
      </w:r>
      <w:r w:rsidRPr="005C53F5">
        <w:rPr>
          <w:rFonts w:ascii="Times New Roman" w:hAnsi="Times New Roman" w:cs="Times New Roman"/>
          <w:bCs/>
          <w:iCs/>
          <w:sz w:val="24"/>
        </w:rPr>
        <w:t xml:space="preserve">– </w:t>
      </w:r>
      <w:r w:rsidRPr="005C53F5">
        <w:rPr>
          <w:rFonts w:ascii="Times New Roman" w:hAnsi="Times New Roman" w:cs="Times New Roman"/>
          <w:sz w:val="24"/>
        </w:rPr>
        <w:t>не позднее 1 (одного) дня;</w:t>
      </w:r>
    </w:p>
    <w:p w14:paraId="62E160EC"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sz w:val="24"/>
        </w:rPr>
        <w:t>на Страни</w:t>
      </w:r>
      <w:r w:rsidRPr="005C53F5">
        <w:rPr>
          <w:rFonts w:ascii="Times New Roman" w:hAnsi="Times New Roman" w:cs="Times New Roman"/>
          <w:bCs/>
          <w:iCs/>
          <w:sz w:val="24"/>
        </w:rPr>
        <w:t>це в сети Интернет – не позднее 2 (двух) дней.</w:t>
      </w:r>
    </w:p>
    <w:p w14:paraId="7B503C49"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sz w:val="24"/>
        </w:rPr>
        <w:t>Сообщение должно содержать следующие сведения:</w:t>
      </w:r>
      <w:r w:rsidRPr="005C53F5">
        <w:rPr>
          <w:rFonts w:ascii="Times New Roman" w:hAnsi="Times New Roman" w:cs="Times New Roman"/>
          <w:bCs/>
          <w:iCs/>
          <w:sz w:val="24"/>
        </w:rPr>
        <w:t xml:space="preserve"> сведения об Облигациях (вид, категория (тип), серия и иные идентификационные признаки Облигаций), срок погашения Облигаций, международный код (номер) идентификации ценных бумаг (ISIN), дата принятия решений </w:t>
      </w:r>
      <w:r w:rsidRPr="005C53F5">
        <w:rPr>
          <w:rFonts w:ascii="Times New Roman" w:hAnsi="Times New Roman" w:cs="Times New Roman"/>
          <w:sz w:val="24"/>
        </w:rPr>
        <w:t>о регистрации проспекта Облигаций и о допуске Облигаций к публичному размещению (публичному размещению и публичному обращению) в Российской Федерации</w:t>
      </w:r>
      <w:r w:rsidRPr="005C53F5">
        <w:rPr>
          <w:rFonts w:ascii="Times New Roman" w:hAnsi="Times New Roman" w:cs="Times New Roman"/>
          <w:bCs/>
          <w:iCs/>
          <w:sz w:val="24"/>
        </w:rPr>
        <w:t xml:space="preserve">, указание на Банк России как орган, принявший решения </w:t>
      </w:r>
      <w:r w:rsidRPr="005C53F5">
        <w:rPr>
          <w:rFonts w:ascii="Times New Roman" w:hAnsi="Times New Roman" w:cs="Times New Roman"/>
          <w:sz w:val="24"/>
        </w:rPr>
        <w:t>о регистрации проспекта Облигаций и о допуске Облигаций к публичному размещению (публичному размещению и публичному обращению) в Российской Федерации</w:t>
      </w:r>
      <w:r w:rsidRPr="005C53F5">
        <w:rPr>
          <w:rFonts w:ascii="Times New Roman" w:hAnsi="Times New Roman" w:cs="Times New Roman"/>
          <w:bCs/>
          <w:iCs/>
          <w:sz w:val="24"/>
        </w:rPr>
        <w:t>, количество размещаемых в Российской Федерации Облигаций и номинальная стоимость каждой Облигации, срок (даты начала и окончания) размещения Облигаций или порядок его определения, цена размещения Облигаций или порядок ее определения, порядок обеспечения доступа к информации, содержащейся в проспекте Облигаций.</w:t>
      </w:r>
    </w:p>
    <w:p w14:paraId="5025B4B4"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Проспект Облигаций</w:t>
      </w:r>
    </w:p>
    <w:p w14:paraId="519244B7" w14:textId="77777777" w:rsidR="00B176AC" w:rsidRPr="005C53F5" w:rsidRDefault="00B176AC" w:rsidP="00057BE5">
      <w:pPr>
        <w:pStyle w:val="ConsPlusNormal"/>
        <w:ind w:firstLine="709"/>
        <w:jc w:val="both"/>
        <w:rPr>
          <w:rFonts w:ascii="Times New Roman" w:hAnsi="Times New Roman" w:cs="Times New Roman"/>
          <w:i/>
          <w:iCs/>
          <w:sz w:val="24"/>
        </w:rPr>
      </w:pPr>
      <w:r w:rsidRPr="005C53F5">
        <w:rPr>
          <w:rFonts w:ascii="Times New Roman" w:hAnsi="Times New Roman" w:cs="Times New Roman"/>
          <w:bCs/>
          <w:iCs/>
          <w:sz w:val="24"/>
        </w:rPr>
        <w:t>Эмитент обеспечивает доступ к информации, содержащейся в проспекте Облигаций.</w:t>
      </w:r>
    </w:p>
    <w:p w14:paraId="73630CD3" w14:textId="71295A92"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В срок не ранее даты </w:t>
      </w:r>
      <w:r w:rsidRPr="005C53F5">
        <w:rPr>
          <w:rFonts w:ascii="Times New Roman" w:hAnsi="Times New Roman" w:cs="Times New Roman"/>
          <w:iCs/>
          <w:sz w:val="24"/>
        </w:rPr>
        <w:t>опубликования информации о регистрации</w:t>
      </w:r>
      <w:r w:rsidR="0032134C" w:rsidRPr="005C53F5">
        <w:rPr>
          <w:rFonts w:ascii="Times New Roman" w:hAnsi="Times New Roman" w:cs="Times New Roman"/>
          <w:iCs/>
          <w:sz w:val="24"/>
        </w:rPr>
        <w:t xml:space="preserve"> </w:t>
      </w:r>
      <w:r w:rsidRPr="005C53F5">
        <w:rPr>
          <w:rFonts w:ascii="Times New Roman" w:hAnsi="Times New Roman" w:cs="Times New Roman"/>
          <w:iCs/>
          <w:sz w:val="24"/>
        </w:rPr>
        <w:t xml:space="preserve">проспекта Облигаций на странице Банка России в сети Интернет или получения Эмитентом письменного уведомления Банка России о регистрации проспекта Облигаций </w:t>
      </w:r>
      <w:r w:rsidRPr="005C53F5">
        <w:rPr>
          <w:rFonts w:ascii="Times New Roman" w:hAnsi="Times New Roman" w:cs="Times New Roman"/>
          <w:bCs/>
          <w:iCs/>
          <w:sz w:val="24"/>
        </w:rPr>
        <w:t xml:space="preserve">посредством почтовой, факсимильной, электронной связи, вручения под роспись в зависимости от того, какая из указанных дат наступит раньше, но </w:t>
      </w:r>
      <w:r w:rsidRPr="005C53F5">
        <w:rPr>
          <w:rFonts w:ascii="Times New Roman" w:hAnsi="Times New Roman" w:cs="Times New Roman"/>
          <w:iCs/>
          <w:sz w:val="24"/>
        </w:rPr>
        <w:t>не позднее даты начала размещения Облигаций,</w:t>
      </w:r>
      <w:r w:rsidRPr="005C53F5">
        <w:rPr>
          <w:rFonts w:ascii="Times New Roman" w:hAnsi="Times New Roman" w:cs="Times New Roman"/>
          <w:bCs/>
          <w:iCs/>
          <w:sz w:val="24"/>
        </w:rPr>
        <w:t xml:space="preserve"> Эмитент публикует текст зарегистрированного проспекта Облигаций на Странице в сети Интернет. </w:t>
      </w:r>
    </w:p>
    <w:p w14:paraId="39EFED85"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При опубликовании текста проспекта Облигаций на Странице в сети Интернет должны быть указаны </w:t>
      </w:r>
      <w:r w:rsidRPr="005C53F5">
        <w:rPr>
          <w:rFonts w:ascii="Times New Roman" w:hAnsi="Times New Roman" w:cs="Times New Roman"/>
          <w:iCs/>
          <w:sz w:val="24"/>
        </w:rPr>
        <w:t>дата его регистрации, международный код (номер) идентификации ценных бумаг (ISIN) иностранного эмитента и международный код классификации финансовых инструментов (CFI)</w:t>
      </w:r>
      <w:r w:rsidRPr="005C53F5">
        <w:rPr>
          <w:rFonts w:ascii="Times New Roman" w:hAnsi="Times New Roman" w:cs="Times New Roman"/>
          <w:bCs/>
          <w:iCs/>
          <w:sz w:val="24"/>
        </w:rPr>
        <w:t>.</w:t>
      </w:r>
    </w:p>
    <w:p w14:paraId="4477CC53"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Текст зарегистрированного проспекта Облигаций должен быть доступен на Странице в сети Интернет с даты истечения срока, установленного настоящим пунктом для его опубликования на Странице в сети Интернет, а если он опубликован на Странице в сети Интернет после истечения такого срока – с даты его опубликования в сети Интернет и до истечения не менее 12 месяцев с даты опубликования на Странице в сети Интернет текста представленного в Банк России уведомления о завершении публичного размещения Облигаций, а если одновременно с допуском к публичному размещению в Российской Федерации Облигации были допущены к публичному обращению в Российской Федерации – до истечения срока, в течение которого Облигации считаются допущенными к публичному обращению в Российской Федерации</w:t>
      </w:r>
      <w:r w:rsidRPr="005C53F5">
        <w:rPr>
          <w:rFonts w:ascii="Times New Roman" w:hAnsi="Times New Roman" w:cs="Times New Roman"/>
          <w:sz w:val="24"/>
        </w:rPr>
        <w:t>.</w:t>
      </w:r>
    </w:p>
    <w:p w14:paraId="42E67128" w14:textId="01DA2C24"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bCs/>
          <w:iCs/>
          <w:sz w:val="24"/>
        </w:rPr>
        <w:t xml:space="preserve">Все заинтересованные лица могут ознакомиться с проспектом Облигаций и получить его копию за плату, не превышающую затраты на ее изготовление, в срок не более 14 (четырнадцати) дней с даты получения (предъявления) требования, по следующему адресу: </w:t>
      </w:r>
    </w:p>
    <w:p w14:paraId="29DC2531" w14:textId="45C5739D" w:rsidR="00BF082F" w:rsidRPr="005C53F5" w:rsidRDefault="00E02519" w:rsidP="00057BE5">
      <w:pPr>
        <w:pStyle w:val="ConsPlusNormal"/>
        <w:ind w:firstLine="709"/>
        <w:jc w:val="both"/>
        <w:rPr>
          <w:rFonts w:ascii="Times New Roman" w:eastAsia="Calibri" w:hAnsi="Times New Roman" w:cs="Times New Roman"/>
          <w:sz w:val="24"/>
          <w:szCs w:val="24"/>
          <w:lang w:eastAsia="en-US"/>
        </w:rPr>
      </w:pPr>
      <w:r w:rsidRPr="005C53F5">
        <w:rPr>
          <w:rFonts w:ascii="Times New Roman" w:eastAsia="Calibri" w:hAnsi="Times New Roman" w:cs="Times New Roman"/>
          <w:sz w:val="24"/>
          <w:szCs w:val="24"/>
          <w:lang w:eastAsia="en-US"/>
        </w:rPr>
        <w:t>Министерство</w:t>
      </w:r>
      <w:r w:rsidR="00BF082F" w:rsidRPr="005C53F5">
        <w:rPr>
          <w:rFonts w:ascii="Times New Roman" w:eastAsia="Calibri" w:hAnsi="Times New Roman" w:cs="Times New Roman"/>
          <w:sz w:val="24"/>
          <w:szCs w:val="24"/>
          <w:lang w:eastAsia="en-US"/>
        </w:rPr>
        <w:t xml:space="preserve"> финансов Республики Казахстан: </w:t>
      </w:r>
      <w:r w:rsidR="00BF082F" w:rsidRPr="005C53F5">
        <w:rPr>
          <w:rFonts w:ascii="Times New Roman" w:eastAsia="Calibri" w:hAnsi="Times New Roman" w:cs="Times New Roman"/>
          <w:sz w:val="24"/>
          <w:szCs w:val="24"/>
          <w:lang w:val="kk-KZ" w:eastAsia="en-US"/>
        </w:rPr>
        <w:t xml:space="preserve">010000, </w:t>
      </w:r>
      <w:r w:rsidR="00BF082F" w:rsidRPr="005C53F5">
        <w:rPr>
          <w:rFonts w:ascii="Times New Roman" w:hAnsi="Times New Roman" w:cs="Times New Roman"/>
          <w:color w:val="000000"/>
          <w:sz w:val="24"/>
          <w:szCs w:val="24"/>
          <w:lang w:val="kk-KZ"/>
        </w:rPr>
        <w:t>Республика Казахстан, г. Нур-Султан, проспект Мангилик Ел, д. 8, подъезд 4.</w:t>
      </w:r>
    </w:p>
    <w:p w14:paraId="1D8FDFAE"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Бюджетная отчетность</w:t>
      </w:r>
    </w:p>
    <w:p w14:paraId="3384C903" w14:textId="4907B5FC"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bCs/>
          <w:iCs/>
          <w:sz w:val="24"/>
        </w:rPr>
        <w:t>Эмитент обязан осуществлять раскрытие г</w:t>
      </w:r>
      <w:r w:rsidRPr="005C53F5">
        <w:rPr>
          <w:rFonts w:ascii="Times New Roman" w:hAnsi="Times New Roman" w:cs="Times New Roman"/>
          <w:sz w:val="24"/>
        </w:rPr>
        <w:t>одовой государственной бюджетной отчетности (отчетности об исполнении государственного бюджета Эмитента за соответствующий завершенный отчетный год),</w:t>
      </w:r>
      <w:r w:rsidR="00BF082F" w:rsidRPr="005C53F5">
        <w:rPr>
          <w:rFonts w:ascii="Times New Roman" w:hAnsi="Times New Roman" w:cs="Times New Roman"/>
          <w:sz w:val="24"/>
        </w:rPr>
        <w:t xml:space="preserve"> </w:t>
      </w:r>
      <w:r w:rsidRPr="005C53F5">
        <w:rPr>
          <w:rFonts w:ascii="Times New Roman" w:hAnsi="Times New Roman" w:cs="Times New Roman"/>
          <w:sz w:val="24"/>
        </w:rPr>
        <w:t xml:space="preserve">начиная с отчетного года, следующего за последним завершенным отчетным годом, государственная бюджетная отчетность за который содержится в проспекте </w:t>
      </w:r>
      <w:r w:rsidRPr="005C53F5">
        <w:rPr>
          <w:rFonts w:ascii="Times New Roman" w:hAnsi="Times New Roman" w:cs="Times New Roman"/>
          <w:bCs/>
          <w:iCs/>
          <w:sz w:val="24"/>
        </w:rPr>
        <w:t>Облигаций</w:t>
      </w:r>
      <w:r w:rsidRPr="005C53F5">
        <w:rPr>
          <w:rFonts w:ascii="Times New Roman" w:hAnsi="Times New Roman" w:cs="Times New Roman"/>
          <w:sz w:val="24"/>
        </w:rPr>
        <w:t xml:space="preserve">. </w:t>
      </w:r>
    </w:p>
    <w:p w14:paraId="082057C7"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Эмитент раскрывает г</w:t>
      </w:r>
      <w:r w:rsidRPr="005C53F5">
        <w:rPr>
          <w:rFonts w:ascii="Times New Roman" w:hAnsi="Times New Roman" w:cs="Times New Roman"/>
          <w:sz w:val="24"/>
        </w:rPr>
        <w:t xml:space="preserve">одовую государственную бюджетную отчетность (отчетность об исполнении государственного бюджета Эмитента за соответствующий завершенный отчетный год) </w:t>
      </w:r>
      <w:r w:rsidRPr="005C53F5">
        <w:rPr>
          <w:rFonts w:ascii="Times New Roman" w:hAnsi="Times New Roman" w:cs="Times New Roman"/>
          <w:bCs/>
          <w:iCs/>
          <w:sz w:val="24"/>
        </w:rPr>
        <w:t>на Странице в сети Интернет не позднее 30 (тридцати) дней с даты утверждения годовой государственной бюджетной отчетности.</w:t>
      </w:r>
    </w:p>
    <w:p w14:paraId="5BD41F0B"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Текст </w:t>
      </w:r>
      <w:r w:rsidRPr="005C53F5">
        <w:rPr>
          <w:rFonts w:ascii="Times New Roman" w:hAnsi="Times New Roman" w:cs="Times New Roman"/>
          <w:sz w:val="24"/>
        </w:rPr>
        <w:t>г</w:t>
      </w:r>
      <w:r w:rsidRPr="005C53F5">
        <w:rPr>
          <w:rFonts w:ascii="Times New Roman" w:hAnsi="Times New Roman" w:cs="Times New Roman"/>
          <w:bCs/>
          <w:iCs/>
          <w:sz w:val="24"/>
        </w:rPr>
        <w:t>одовой государственной бюджетной отчетности (отчетности об исполнении государственного бюджета Эмитента за соответствующий завершенный отчетный год) должен быть доступен на Странице в сети Интернет с даты истечения срока, установленного настоящим пунктом для ее опубликования на Странице в сети Интернет, а если она опубликована на Странице в сети Интернет после истечения такого срока - с даты ее опубликования в сети Интернет и до истечения не менее 12 (двенадцати) месяцев с даты ее опубликования в сети Интернет.</w:t>
      </w:r>
    </w:p>
    <w:p w14:paraId="47BC6723" w14:textId="77777777" w:rsidR="00BF082F"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Все заинтересованные лица могут ознакомиться с г</w:t>
      </w:r>
      <w:r w:rsidRPr="005C53F5">
        <w:rPr>
          <w:rFonts w:ascii="Times New Roman" w:hAnsi="Times New Roman" w:cs="Times New Roman"/>
          <w:sz w:val="24"/>
        </w:rPr>
        <w:t>одовой государственной бюджетной отчетностью (отчетностью об исполнении государственного бюджета Эмитента за соответствующий завершенный отчетный год)</w:t>
      </w:r>
      <w:r w:rsidRPr="005C53F5">
        <w:rPr>
          <w:rFonts w:ascii="Times New Roman" w:hAnsi="Times New Roman" w:cs="Times New Roman"/>
          <w:bCs/>
          <w:iCs/>
          <w:sz w:val="24"/>
        </w:rPr>
        <w:t xml:space="preserve"> и получить ее копию за плату, не превышающую затраты на ее изготовление, в срок не более 14 (четырнадцати) дней с даты получения (предъявления) требования, по следующему адресу: </w:t>
      </w:r>
    </w:p>
    <w:p w14:paraId="73B7DA36" w14:textId="11C41E3B" w:rsidR="00B176AC" w:rsidRPr="005C53F5" w:rsidRDefault="00E02519" w:rsidP="00057BE5">
      <w:pPr>
        <w:pStyle w:val="ConsPlusNormal"/>
        <w:ind w:firstLine="709"/>
        <w:jc w:val="both"/>
        <w:rPr>
          <w:rFonts w:ascii="Times New Roman" w:eastAsia="Calibri" w:hAnsi="Times New Roman" w:cs="Times New Roman"/>
          <w:sz w:val="24"/>
          <w:szCs w:val="24"/>
          <w:lang w:eastAsia="en-US"/>
        </w:rPr>
      </w:pPr>
      <w:r w:rsidRPr="005C53F5">
        <w:rPr>
          <w:rFonts w:ascii="Times New Roman" w:eastAsia="Calibri" w:hAnsi="Times New Roman" w:cs="Times New Roman"/>
          <w:sz w:val="24"/>
          <w:szCs w:val="24"/>
          <w:lang w:eastAsia="en-US"/>
        </w:rPr>
        <w:t>Министерство</w:t>
      </w:r>
      <w:r w:rsidR="00BF082F" w:rsidRPr="005C53F5">
        <w:rPr>
          <w:rFonts w:ascii="Times New Roman" w:eastAsia="Calibri" w:hAnsi="Times New Roman" w:cs="Times New Roman"/>
          <w:sz w:val="24"/>
          <w:szCs w:val="24"/>
          <w:lang w:eastAsia="en-US"/>
        </w:rPr>
        <w:t xml:space="preserve"> финансов Республики Казахстан: </w:t>
      </w:r>
      <w:r w:rsidR="00BF082F" w:rsidRPr="005C53F5">
        <w:rPr>
          <w:rFonts w:ascii="Times New Roman" w:eastAsia="Calibri" w:hAnsi="Times New Roman" w:cs="Times New Roman"/>
          <w:sz w:val="24"/>
          <w:szCs w:val="24"/>
          <w:lang w:val="kk-KZ" w:eastAsia="en-US"/>
        </w:rPr>
        <w:t xml:space="preserve">010000, </w:t>
      </w:r>
      <w:r w:rsidR="00BF082F" w:rsidRPr="005C53F5">
        <w:rPr>
          <w:rFonts w:ascii="Times New Roman" w:hAnsi="Times New Roman" w:cs="Times New Roman"/>
          <w:color w:val="000000"/>
          <w:sz w:val="24"/>
          <w:szCs w:val="24"/>
          <w:lang w:val="kk-KZ"/>
        </w:rPr>
        <w:t>Республика Казахстан, г. Нур-Султан, проспект Мангилик Ел, д. 8, подъезд 4.</w:t>
      </w:r>
    </w:p>
    <w:p w14:paraId="6F3B3510"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 дате начала публичного размещения Облигаций</w:t>
      </w:r>
    </w:p>
    <w:p w14:paraId="4D6F92EF" w14:textId="6CA78A8B"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Сообщение о дате начала размещения Облигаций раскрывается в форме сообщения после </w:t>
      </w:r>
      <w:r w:rsidRPr="005C53F5">
        <w:rPr>
          <w:rFonts w:ascii="Times New Roman" w:hAnsi="Times New Roman" w:cs="Times New Roman"/>
          <w:bCs/>
          <w:iCs/>
          <w:sz w:val="24"/>
        </w:rPr>
        <w:t xml:space="preserve">раскрытия </w:t>
      </w:r>
      <w:r w:rsidRPr="005C53F5">
        <w:rPr>
          <w:rFonts w:ascii="Times New Roman" w:hAnsi="Times New Roman" w:cs="Times New Roman"/>
          <w:sz w:val="24"/>
        </w:rPr>
        <w:t>Сообщения о регистрации проспе</w:t>
      </w:r>
      <w:r w:rsidR="00BF082F" w:rsidRPr="005C53F5">
        <w:rPr>
          <w:rFonts w:ascii="Times New Roman" w:hAnsi="Times New Roman" w:cs="Times New Roman"/>
          <w:sz w:val="24"/>
        </w:rPr>
        <w:t>кта Облигаций следующим образом:</w:t>
      </w:r>
    </w:p>
    <w:p w14:paraId="4C64B8DC" w14:textId="77777777" w:rsidR="00B176AC" w:rsidRPr="005C53F5" w:rsidRDefault="00B176AC" w:rsidP="00057BE5">
      <w:pPr>
        <w:pStyle w:val="ConsPlusNormal"/>
        <w:numPr>
          <w:ilvl w:val="0"/>
          <w:numId w:val="17"/>
        </w:numPr>
        <w:ind w:left="1418" w:hanging="709"/>
        <w:jc w:val="both"/>
        <w:rPr>
          <w:rFonts w:ascii="Times New Roman" w:hAnsi="Times New Roman" w:cs="Times New Roman"/>
          <w:bCs/>
          <w:iCs/>
          <w:sz w:val="24"/>
        </w:rPr>
      </w:pPr>
      <w:r w:rsidRPr="005C53F5">
        <w:rPr>
          <w:rFonts w:ascii="Times New Roman" w:hAnsi="Times New Roman" w:cs="Times New Roman"/>
          <w:bCs/>
          <w:iCs/>
          <w:sz w:val="24"/>
        </w:rPr>
        <w:t>не позднее чем за 5 (пять) дней до даты начала публичного размещения Облигаций путем публикации Эмитентом соответствующего сообщения в Ленте новостей;</w:t>
      </w:r>
    </w:p>
    <w:p w14:paraId="4F14A830" w14:textId="77777777" w:rsidR="00B176AC" w:rsidRPr="005C53F5" w:rsidRDefault="00B176AC" w:rsidP="00057BE5">
      <w:pPr>
        <w:pStyle w:val="ConsPlusNormal"/>
        <w:numPr>
          <w:ilvl w:val="0"/>
          <w:numId w:val="17"/>
        </w:numPr>
        <w:ind w:left="1418" w:hanging="709"/>
        <w:jc w:val="both"/>
        <w:rPr>
          <w:rFonts w:ascii="Times New Roman" w:hAnsi="Times New Roman" w:cs="Times New Roman"/>
          <w:bCs/>
          <w:iCs/>
          <w:sz w:val="24"/>
        </w:rPr>
      </w:pPr>
      <w:r w:rsidRPr="005C53F5">
        <w:rPr>
          <w:rFonts w:ascii="Times New Roman" w:hAnsi="Times New Roman" w:cs="Times New Roman"/>
          <w:bCs/>
          <w:iCs/>
          <w:sz w:val="24"/>
        </w:rPr>
        <w:t>не позднее чем за 4 (четыре) дня до даты начала публичного размещения Облигаций путем публикации Эмитентом соответствующего сообщения на Странице в сети Интернет (но после опубликования сообщения в Ленте новостей).</w:t>
      </w:r>
    </w:p>
    <w:p w14:paraId="6685123A"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должно содержать следующие сведения: сведения об Облигациях (вид, категория (тип), серия и иные идентификационные признаки Облигаций), срок погашения Облигаций, международный код (номер) идентификации ценных бумаг (ISIN), дата принятия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указание на Банк России как орган, принявший решения о регистрации проспекта Облигаций и о допуске Облигаций к публичному размещению (публичному размещению и публичному обращению) в Российской Федерации, количество размещаемых в Российской Федерации Облигаций и номинальная стоимость каждой Облигации, цена размещения Облигаций, дата начала размещения Облигаций, указание на то, что дата начала размещения может быть изменена при условии опубликования информации об этом в Ленте новостей и на Странице в сети Интернет не позднее чем за 1 (один) день до опубликованной в данном сообщении даты начала размещения Облигаций, дата окончания публичного размещения Облигаций или порядок ее определения.</w:t>
      </w:r>
    </w:p>
    <w:p w14:paraId="1A191E47" w14:textId="26A7D982"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Эмитент информирует Биржу и НРД о принятых решениях не позднее 1 (одного) </w:t>
      </w:r>
      <w:r w:rsidR="00BA5E1C" w:rsidRPr="005C53F5">
        <w:rPr>
          <w:rFonts w:ascii="Times New Roman" w:hAnsi="Times New Roman" w:cs="Times New Roman"/>
          <w:bCs/>
          <w:iCs/>
          <w:sz w:val="24"/>
        </w:rPr>
        <w:t xml:space="preserve">рабочего </w:t>
      </w:r>
      <w:r w:rsidRPr="005C53F5">
        <w:rPr>
          <w:rFonts w:ascii="Times New Roman" w:hAnsi="Times New Roman" w:cs="Times New Roman"/>
          <w:bCs/>
          <w:iCs/>
          <w:sz w:val="24"/>
        </w:rPr>
        <w:t>дня с даты принятия уполномоченным органом Эмитента решения о дате начала размещения Облигаций и не позднее чем за 5 (пять) рабочих дней до даты начала размещения Облигаций.</w:t>
      </w:r>
    </w:p>
    <w:p w14:paraId="50AB5026"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об изменении даты начала публичного размещения Облигаций</w:t>
      </w:r>
    </w:p>
    <w:p w14:paraId="572EB126"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В случае принятия уполномоченным органом Эмитента решения об изменении даты начала публичного размещения Облигаций Эмитент обязан опубликовать сообщение об изменении даты начала публичного размещения Облигаций в следующие сроки:</w:t>
      </w:r>
    </w:p>
    <w:p w14:paraId="354ED57F"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в Ленте новостей – не позднее 1 (одного) дня до наступления такой даты;</w:t>
      </w:r>
    </w:p>
    <w:p w14:paraId="2C61490C"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 xml:space="preserve">на Странице в сети Интернет – не позднее 1 (одного) дня до наступления такой даты (но после опубликования сообщения в Ленте новостей). </w:t>
      </w:r>
    </w:p>
    <w:p w14:paraId="2B3C1805"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должно содержать следующие сведения: сведения об Облигациях (вид, категория (тип), серия и иные идентификационные признаки Облигаций), срок погашения Облигаций, международный код (номер) идентификации ценных бумаг (ISIN), дата принятия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указание на Банк России как орган, принявший решения о регистрации проспекта Облигаций и о допуске Облигаций к публичному размещению (публичному размещению и публичному обращению) в Российской Федерации, количество размещаемых в Российской Федерации Облигаций и номинальная стоимость каждой Облигации, цена размещения Облигаций или порядок ее определения, дата начала публичного размещения Облигаций до изменения, дата начала публичного размещения Облигаций после изменения.</w:t>
      </w:r>
    </w:p>
    <w:p w14:paraId="3B72364F" w14:textId="23C89C45"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Эмитент информирует Биржу и НРД о принятых решениях не позднее 1 (одного) </w:t>
      </w:r>
      <w:r w:rsidR="00BA5E1C" w:rsidRPr="005C53F5">
        <w:rPr>
          <w:rFonts w:ascii="Times New Roman" w:hAnsi="Times New Roman" w:cs="Times New Roman"/>
          <w:bCs/>
          <w:iCs/>
          <w:sz w:val="24"/>
        </w:rPr>
        <w:t xml:space="preserve">рабочего </w:t>
      </w:r>
      <w:r w:rsidRPr="005C53F5">
        <w:rPr>
          <w:rFonts w:ascii="Times New Roman" w:hAnsi="Times New Roman" w:cs="Times New Roman"/>
          <w:bCs/>
          <w:iCs/>
          <w:sz w:val="24"/>
        </w:rPr>
        <w:t>дня с даты принятия уполномоченным органом Эмитента решения об изменении даты начала размещения Облигаций и не позднее 1 (одного) рабочего дня до наступления такой даты.</w:t>
      </w:r>
    </w:p>
    <w:p w14:paraId="279A3AE9"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 цене (порядке определения цены) размещения Облигаций</w:t>
      </w:r>
    </w:p>
    <w:p w14:paraId="62D2B7B0" w14:textId="613F9E94"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Требование об опубликовании в Ленте новостей и на Странице в сети Интернет сообщения, предусмотренного настоящим пунктом, не применяется в случае, если сведения о цене (порядке определения цены) размещения Облигаций были раскрыты в составе сообщения о принятии Банком России решения о допуске Облигаций к публичному размещению в Российской Федерации в соответствии с пунктом</w:t>
      </w:r>
      <w:r w:rsidR="00BF082F" w:rsidRPr="005C53F5">
        <w:rPr>
          <w:rFonts w:ascii="Times New Roman" w:hAnsi="Times New Roman" w:cs="Times New Roman"/>
          <w:bCs/>
          <w:iCs/>
          <w:sz w:val="24"/>
        </w:rPr>
        <w:t xml:space="preserve"> 8.</w:t>
      </w:r>
      <w:r w:rsidRPr="005C53F5">
        <w:rPr>
          <w:rFonts w:ascii="Times New Roman" w:hAnsi="Times New Roman" w:cs="Times New Roman"/>
          <w:bCs/>
          <w:iCs/>
          <w:sz w:val="24"/>
        </w:rPr>
        <w:t xml:space="preserve">11.1 </w:t>
      </w:r>
      <w:r w:rsidR="00BF082F" w:rsidRPr="005C53F5">
        <w:rPr>
          <w:rFonts w:ascii="Times New Roman" w:hAnsi="Times New Roman" w:cs="Times New Roman"/>
          <w:bCs/>
          <w:iCs/>
          <w:sz w:val="24"/>
        </w:rPr>
        <w:t>Проспекта ценных бумаг</w:t>
      </w:r>
      <w:r w:rsidRPr="005C53F5">
        <w:rPr>
          <w:rFonts w:ascii="Times New Roman" w:hAnsi="Times New Roman" w:cs="Times New Roman"/>
          <w:bCs/>
          <w:iCs/>
          <w:sz w:val="24"/>
        </w:rPr>
        <w:t xml:space="preserve"> или сообщения о дате начала публичного размещения Облигаций в соответствии с пунктом </w:t>
      </w:r>
      <w:r w:rsidR="00BF082F" w:rsidRPr="005C53F5">
        <w:rPr>
          <w:rFonts w:ascii="Times New Roman" w:hAnsi="Times New Roman" w:cs="Times New Roman"/>
          <w:bCs/>
          <w:iCs/>
          <w:sz w:val="24"/>
        </w:rPr>
        <w:t>8.</w:t>
      </w:r>
      <w:r w:rsidRPr="005C53F5">
        <w:rPr>
          <w:rFonts w:ascii="Times New Roman" w:hAnsi="Times New Roman" w:cs="Times New Roman"/>
          <w:bCs/>
          <w:iCs/>
          <w:sz w:val="24"/>
        </w:rPr>
        <w:t xml:space="preserve">11.4 </w:t>
      </w:r>
      <w:r w:rsidR="00BF082F" w:rsidRPr="005C53F5">
        <w:rPr>
          <w:rFonts w:ascii="Times New Roman" w:hAnsi="Times New Roman" w:cs="Times New Roman"/>
          <w:bCs/>
          <w:iCs/>
          <w:sz w:val="24"/>
        </w:rPr>
        <w:t>Проспекта ценных бумаг</w:t>
      </w:r>
      <w:r w:rsidRPr="005C53F5">
        <w:rPr>
          <w:rFonts w:ascii="Times New Roman" w:hAnsi="Times New Roman" w:cs="Times New Roman"/>
          <w:bCs/>
          <w:iCs/>
          <w:sz w:val="24"/>
        </w:rPr>
        <w:t>.</w:t>
      </w:r>
    </w:p>
    <w:p w14:paraId="48DDB9DF"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Сообщение </w:t>
      </w:r>
      <w:r w:rsidRPr="005C53F5">
        <w:rPr>
          <w:rFonts w:ascii="Times New Roman" w:hAnsi="Times New Roman" w:cs="Times New Roman"/>
          <w:sz w:val="24"/>
        </w:rPr>
        <w:t>о цене (порядке определения цены) размещения Облигаций</w:t>
      </w:r>
      <w:r w:rsidRPr="005C53F5">
        <w:rPr>
          <w:rFonts w:ascii="Times New Roman" w:hAnsi="Times New Roman" w:cs="Times New Roman"/>
          <w:bCs/>
          <w:iCs/>
          <w:sz w:val="24"/>
        </w:rPr>
        <w:t xml:space="preserve"> должно быть опубликовано Эмитентом: </w:t>
      </w:r>
    </w:p>
    <w:p w14:paraId="7D307F2B"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в Ленте новостей – не позднее даты начала публичного размещения Облигаций;</w:t>
      </w:r>
    </w:p>
    <w:p w14:paraId="488B88AF"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на Странице в сети Интернет – не позднее даты начала публичного размещения Облигаций (но после опубликования сообщения в Ленте новостей).</w:t>
      </w:r>
    </w:p>
    <w:p w14:paraId="2C07895A"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должно содержать следующие сведения: сведения об Облигациях (вид, категория (тип), серия и иные идентификационные признаки Облигаций), срок погашения Облигаций, международный код (номер) идентификации ценных бумаг (ISIN), дата принятия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указание на Банк России как орган, принявший решения о регистрации проспекта Облигаций и о допуске Облигаций к публичному размещению (публичному размещению и публичному обращению) в Российской Федерации, количество размещаемых в Российской Федерации Облигаций и номинальная стоимость каждой Облигации, срок (дата начала и окончания) публичного размещения Облигаций или порядок его определения, форма оплаты размещаемых Облигаций, цена размещения Облигаций или порядок ее определения.</w:t>
      </w:r>
    </w:p>
    <w:p w14:paraId="382D0B20"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 приостановлении публичного размещения Облигаций</w:t>
      </w:r>
    </w:p>
    <w:p w14:paraId="3310A4C4"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должно быть опубликовано в следующие сроки с даты принятия уполномоченным органом иностранного эмитента решения о внесении изменений в проспект Облигаций либо даты опубликования информации о принятом Банком России решении о приостановлении размещения Облигаций на странице Банка России в сети Интернет или даты получения иностранным эмитентом письменного уведомления Банка России о приостановлении размещения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14:paraId="208DBA63"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в Ленте новостей – не позднее 1 (одного) дня;</w:t>
      </w:r>
    </w:p>
    <w:p w14:paraId="783430DE"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на Странице в сети Интернет – не позднее 2 (двух) дней.</w:t>
      </w:r>
    </w:p>
    <w:p w14:paraId="0543AABD"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должно содержать следующие сведения: сведения об Облигациях (вид, категория (тип), серия и иные идентификационные признаки Облигаций), срок погашения Облигаций, международный код (номер) идентификации ценных бумаг (ISIN), дата принятия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указание на Банк России как орган, принявший решения о регистрации проспекта Облигаций и о допуске Облигаций к публичному размещению (публичному размещению и публичному обращению) в Российской Федерации, количество размещаемых в Российской Федерации Облигаций и номинальная стоимость каждой Облигации, срок (дата начала и окончания) публичного размещения Облигаций или порядок его определения, форма оплаты размещаемых Облигаций, цена размещения Облигаций или порядок ее определения, дата с которой приостановлено публичное размещение Облигаций, основания приостановления публичного размещения Облигаций, ограничения, связанные с приостановлением публичного размещения Облигаций.</w:t>
      </w:r>
    </w:p>
    <w:p w14:paraId="0FF9D254"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 возобновлении публичного размещения Облигаций</w:t>
      </w:r>
    </w:p>
    <w:p w14:paraId="7E06A6CB"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должно быть опубликовано в следующие сроки с даты опубликования информации о принятом Банком России решении о регистрации изменений в проспект Облигаций либо о возобновлении размещения Облигаций на странице Банка России в сети Интернет или даты получения иностранным эмитентом письменного уведомления Банка России о регистрации изменений в проспект Облигаций либо о возобновлении размещения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14:paraId="6039C87C"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в Ленте новостей – не позднее 1 (одного) дня;</w:t>
      </w:r>
    </w:p>
    <w:p w14:paraId="23CD17F0"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на Странице в сети Интернет – не позднее 2 (двух) дней.</w:t>
      </w:r>
    </w:p>
    <w:p w14:paraId="0E1C1254" w14:textId="012D1036"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bCs/>
          <w:iCs/>
          <w:sz w:val="24"/>
        </w:rPr>
        <w:t>Сообщение должно содержать следующие сведения: сведения об Облигациях (вид, категория (тип), серия и иные идентификационные признаки Облигаций), срок погашения Облигаций, международный код (номер) идентификации ценных бумаг (ISIN), дата принятия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указание на Банк России как орган, принявший решения о регистрации проспекта Облигаций и о допуске Облигаций к публичному размещению (публичному размещению и публичному обращению) в Российской Федерации, количество размещаемых в Российской Федерации Облигаций и номинальная стоимость каждой Облигации, срок (дата начала и окончания) публичного размещения Облигаций или порядок его определения, форма оплаты размещаемых Облигаций, цена размещения Облигаций или порядок ее определения, дата с которой публичное размещение Облигаций было приостановлено, основания приостановления публичного размещения Облигаций, основания возобновления публичного размещения Облигаций, дата с которой публичное размещение Облигаций возобновляется или порядок ее определения, указание на прекращение действия ограничений, связанных с приостановлением публичного размещения Облигаций, в</w:t>
      </w:r>
      <w:r w:rsidRPr="005C53F5">
        <w:rPr>
          <w:rFonts w:ascii="Times New Roman" w:hAnsi="Times New Roman" w:cs="Times New Roman"/>
          <w:sz w:val="24"/>
        </w:rPr>
        <w:t xml:space="preserve"> случае регистрации изменений в проспект Облигаций</w:t>
      </w:r>
      <w:r w:rsidR="00327FE2" w:rsidRPr="005C53F5">
        <w:rPr>
          <w:rFonts w:ascii="Times New Roman" w:hAnsi="Times New Roman" w:cs="Times New Roman"/>
          <w:sz w:val="24"/>
        </w:rPr>
        <w:t> </w:t>
      </w:r>
      <w:r w:rsidRPr="005C53F5">
        <w:rPr>
          <w:rFonts w:ascii="Times New Roman" w:hAnsi="Times New Roman" w:cs="Times New Roman"/>
          <w:sz w:val="24"/>
        </w:rPr>
        <w:t>– краткое содержание зарегистрированных изменений в проспект Облигаций и порядок доступа к зарегистрированным изменениям в проспект Облигаций.</w:t>
      </w:r>
    </w:p>
    <w:p w14:paraId="65F7E692"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 завершении публичного размещения Облигаций</w:t>
      </w:r>
    </w:p>
    <w:p w14:paraId="725568DF"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о завершении размещения Облигаций публикуется Эмитентом в следующие сроки с даты истечения установленного срока размещения Облигаций или даты размещения последней подлежавшей размещению Облигации, если все подлежавшие размещению Облигации были размещены до истечения указанного срока:</w:t>
      </w:r>
    </w:p>
    <w:p w14:paraId="51A51A30"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в Ленте новостей – не позднее 1 (одного) дня;</w:t>
      </w:r>
    </w:p>
    <w:p w14:paraId="45EA81EC"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на Странице в сети Интернет – не позднее 2 (двух) дней.</w:t>
      </w:r>
    </w:p>
    <w:p w14:paraId="50871672"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Сообщение должно содержать следующие сведения: сведения об Облигациях (вид, категория (тип), серия и иные идентификационные признаки Облигаций), срок погашения Облигаций, международный код (номер) идентификации ценных бумаг (ISIN), дата принятия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указание на Банк России как орган, принявший решения о регистрации проспекта Облигаций и о допуске Облигаций к публичному размещению (публичному размещению и публичному обращению) в Российской Федерации, количество размещаемых в Российской Федерации Облигаций и номинальная стоимость каждой Облигации, цена размещения Облигаций или порядок ее определения, дата начала публичного размещения Облигаций, дата окончания публичного размещения Облигаций. </w:t>
      </w:r>
    </w:p>
    <w:p w14:paraId="6974F9D7"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 представлении в Банк России уведомления о завершении публичного размещения Облигаций</w:t>
      </w:r>
    </w:p>
    <w:p w14:paraId="47A1928F"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о представлении в Банк России уведомления о завершении публичного размещения Облигаций раскрывается в следующем порядке и сроки:</w:t>
      </w:r>
    </w:p>
    <w:p w14:paraId="1C804F8B"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 xml:space="preserve">в Ленте новостей – не позднее 1 (одного) дня с даты </w:t>
      </w:r>
      <w:r w:rsidRPr="005C53F5">
        <w:rPr>
          <w:rFonts w:ascii="Times New Roman" w:hAnsi="Times New Roman" w:cs="Times New Roman"/>
          <w:sz w:val="24"/>
        </w:rPr>
        <w:t xml:space="preserve">представления (направления) уведомления </w:t>
      </w:r>
      <w:r w:rsidRPr="005C53F5">
        <w:rPr>
          <w:rFonts w:ascii="Times New Roman" w:hAnsi="Times New Roman" w:cs="Times New Roman"/>
          <w:bCs/>
          <w:iCs/>
          <w:sz w:val="24"/>
        </w:rPr>
        <w:t>о завершении размещения Облигаций в Банк России;</w:t>
      </w:r>
    </w:p>
    <w:p w14:paraId="017847F0"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 xml:space="preserve">на Странице в сети Интернет – не позднее 2 (двух) дней с даты </w:t>
      </w:r>
      <w:r w:rsidRPr="005C53F5">
        <w:rPr>
          <w:rFonts w:ascii="Times New Roman" w:hAnsi="Times New Roman" w:cs="Times New Roman"/>
          <w:sz w:val="24"/>
        </w:rPr>
        <w:t xml:space="preserve">представления (направления) уведомления </w:t>
      </w:r>
      <w:r w:rsidRPr="005C53F5">
        <w:rPr>
          <w:rFonts w:ascii="Times New Roman" w:hAnsi="Times New Roman" w:cs="Times New Roman"/>
          <w:bCs/>
          <w:iCs/>
          <w:sz w:val="24"/>
        </w:rPr>
        <w:t>о завершении размещения Облигаций</w:t>
      </w:r>
      <w:r w:rsidRPr="005C53F5">
        <w:rPr>
          <w:rFonts w:ascii="Times New Roman" w:hAnsi="Times New Roman" w:cs="Times New Roman"/>
          <w:sz w:val="24"/>
        </w:rPr>
        <w:t xml:space="preserve"> в Банк России</w:t>
      </w:r>
      <w:r w:rsidRPr="005C53F5">
        <w:rPr>
          <w:rFonts w:ascii="Times New Roman" w:hAnsi="Times New Roman" w:cs="Times New Roman"/>
          <w:bCs/>
          <w:iCs/>
          <w:sz w:val="24"/>
        </w:rPr>
        <w:t>.</w:t>
      </w:r>
    </w:p>
    <w:p w14:paraId="7231F288" w14:textId="38D396BF" w:rsidR="00327FE2" w:rsidRPr="005C53F5" w:rsidRDefault="00B176AC" w:rsidP="00057BE5">
      <w:pPr>
        <w:pStyle w:val="ConsPlusNormal"/>
        <w:ind w:firstLine="709"/>
        <w:jc w:val="both"/>
        <w:rPr>
          <w:rFonts w:ascii="Times New Roman" w:hAnsi="Times New Roman" w:cs="Times New Roman"/>
          <w:b/>
          <w:bCs/>
          <w:i/>
          <w:iCs/>
          <w:sz w:val="24"/>
        </w:rPr>
      </w:pPr>
      <w:r w:rsidRPr="005C53F5">
        <w:rPr>
          <w:rFonts w:ascii="Times New Roman" w:hAnsi="Times New Roman" w:cs="Times New Roman"/>
          <w:sz w:val="24"/>
        </w:rPr>
        <w:t>Сообщение</w:t>
      </w:r>
      <w:r w:rsidRPr="005C53F5">
        <w:rPr>
          <w:rFonts w:ascii="Times New Roman" w:hAnsi="Times New Roman" w:cs="Times New Roman"/>
          <w:bCs/>
          <w:iCs/>
          <w:sz w:val="24"/>
        </w:rPr>
        <w:t xml:space="preserve"> должно содержать следующие сведения: сведения об Облигациях (вид, категория (тип), серия и иные идентификационные признаки Облигаций), срок погашения Облигаций, международный код (номер) идентификации ценных бумаг (ISIN), дата принятия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указание на Банк России как орган, принявший решения о регистрации проспекта Облигаций и о допуске Облигаций к публичному размещению (публичному размещению и публичному обращению) в Российской Федерации, количество размещенных в Российской Федерации Облигаций и номинальная стоимость Облигаций, доля фактически размещенных в Российской Федерации Облигаций от общего количества Облигаций, подлежавших размещению в Российской Федерации, дата фактического начала размещения Облигаций (дата совершения первой сделки, направленной на отчуждение Облигаций первому владельцу), дата фактического окончания размещения Облигаций, дата направления (представления) в Банк России уведомления о завершении публичного размещения Облигаций, наименование биржи, осуществившей листинг размещенных Облигаций, порядок обеспечения доступа к информации, содержащейся в уведомлении о завершении публичного размещения Облигаций.</w:t>
      </w:r>
    </w:p>
    <w:p w14:paraId="1107C1E3" w14:textId="284B00E5" w:rsidR="00327FE2"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Текст представленного в Банк России уведомления о завершении публичного размещения Облигаций должен быть опубликован на Странице в сети Интернет в срок не более 2 (двух) дней с даты представления (направления) указанного уведомления в Банк России.</w:t>
      </w:r>
    </w:p>
    <w:p w14:paraId="4C9DD0D7" w14:textId="606E1886" w:rsidR="00327FE2"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Текст представленного в Банк России уведомления о завершении публичного размещения Облигаций должен быть доступен на Странице в сети Интернет в течение не менее 12 месяцев с даты истечения срока, установленного настоящим пунктом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14:paraId="6342D9E7" w14:textId="48312A02"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bCs/>
          <w:iCs/>
          <w:sz w:val="24"/>
        </w:rPr>
        <w:t xml:space="preserve">Эмитент обязуется предоставить Бирже копию </w:t>
      </w:r>
      <w:r w:rsidRPr="005C53F5">
        <w:rPr>
          <w:rFonts w:ascii="Times New Roman" w:hAnsi="Times New Roman" w:cs="Times New Roman"/>
          <w:sz w:val="24"/>
        </w:rPr>
        <w:t xml:space="preserve">уведомления о завершении размещения </w:t>
      </w:r>
      <w:r w:rsidRPr="005C53F5">
        <w:rPr>
          <w:rFonts w:ascii="Times New Roman" w:hAnsi="Times New Roman" w:cs="Times New Roman"/>
          <w:bCs/>
          <w:iCs/>
          <w:sz w:val="24"/>
        </w:rPr>
        <w:t>Облигаций</w:t>
      </w:r>
      <w:r w:rsidR="00C4028C" w:rsidRPr="005C53F5">
        <w:rPr>
          <w:rFonts w:ascii="Times New Roman" w:hAnsi="Times New Roman" w:cs="Times New Roman"/>
          <w:sz w:val="24"/>
        </w:rPr>
        <w:t>.</w:t>
      </w:r>
    </w:p>
    <w:p w14:paraId="3CCB3D1F" w14:textId="77777777" w:rsidR="00E02519"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Все заинтересованные лица могут ознакомиться с представленным в Банк России уведомлением о завершении размещения Облигаций и получить соответствующую копию за плату, не превышающую затраты на ее изготовление, по следующему адресу: </w:t>
      </w:r>
    </w:p>
    <w:p w14:paraId="16AE5381" w14:textId="5BF49777" w:rsidR="00B176AC" w:rsidRPr="005C53F5" w:rsidRDefault="00E02519"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Министерство финансов Республики Казахстан: 010000, Республика Казахстан, г. Нур-Султан, проспект Мангилик Ел, д. 8, подъезд 4.</w:t>
      </w:r>
    </w:p>
    <w:p w14:paraId="38C63483"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 принятии Эмитентом решения о порядке публичного размещения Облигаций</w:t>
      </w:r>
    </w:p>
    <w:p w14:paraId="26D9455B"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Не позднее чем за 1 (один) рабочий день до даты начала размещения Облигаций Эмитент принимает решение о порядке размещения Облигаций (размещение Облигаций в форме Конкурса либо размещение Облигаций путем Формирования книги заявок).</w:t>
      </w:r>
    </w:p>
    <w:p w14:paraId="78467DA3"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о принятии Эмитентом решения о порядке размещения Облигаций публикуется следующим образом:</w:t>
      </w:r>
    </w:p>
    <w:p w14:paraId="434EBE4A" w14:textId="77777777" w:rsidR="00B176AC" w:rsidRPr="005C53F5" w:rsidRDefault="00B176AC" w:rsidP="00057BE5">
      <w:pPr>
        <w:pStyle w:val="ConsPlusNormal"/>
        <w:numPr>
          <w:ilvl w:val="0"/>
          <w:numId w:val="17"/>
        </w:numPr>
        <w:ind w:left="709" w:firstLine="0"/>
        <w:jc w:val="both"/>
        <w:rPr>
          <w:rFonts w:ascii="Times New Roman" w:hAnsi="Times New Roman" w:cs="Times New Roman"/>
          <w:sz w:val="24"/>
        </w:rPr>
      </w:pPr>
      <w:r w:rsidRPr="005C53F5">
        <w:rPr>
          <w:rFonts w:ascii="Times New Roman" w:hAnsi="Times New Roman" w:cs="Times New Roman"/>
          <w:bCs/>
          <w:iCs/>
          <w:sz w:val="24"/>
        </w:rPr>
        <w:t xml:space="preserve">в Ленте </w:t>
      </w:r>
      <w:r w:rsidRPr="005C53F5">
        <w:rPr>
          <w:rFonts w:ascii="Times New Roman" w:hAnsi="Times New Roman" w:cs="Times New Roman"/>
          <w:sz w:val="24"/>
        </w:rPr>
        <w:t xml:space="preserve">новостей </w:t>
      </w:r>
      <w:r w:rsidRPr="005C53F5">
        <w:rPr>
          <w:rFonts w:ascii="Times New Roman" w:hAnsi="Times New Roman" w:cs="Times New Roman"/>
          <w:bCs/>
          <w:iCs/>
          <w:sz w:val="24"/>
        </w:rPr>
        <w:t>–</w:t>
      </w:r>
      <w:r w:rsidRPr="005C53F5">
        <w:rPr>
          <w:rFonts w:ascii="Times New Roman" w:hAnsi="Times New Roman" w:cs="Times New Roman"/>
          <w:sz w:val="24"/>
        </w:rPr>
        <w:t xml:space="preserve"> не позднее 1 (одного) дня с даты принятия уполномоченным органом Эмитента решения о порядке размещения Облигаций и не позднее чем за 1 (один) день до даты начала размещения Облигаций;</w:t>
      </w:r>
    </w:p>
    <w:p w14:paraId="3EE70243"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sz w:val="24"/>
        </w:rPr>
        <w:t xml:space="preserve">на Странице в сети Интернет </w:t>
      </w:r>
      <w:r w:rsidRPr="005C53F5">
        <w:rPr>
          <w:rFonts w:ascii="Times New Roman" w:hAnsi="Times New Roman" w:cs="Times New Roman"/>
          <w:bCs/>
          <w:iCs/>
          <w:sz w:val="24"/>
        </w:rPr>
        <w:t>–</w:t>
      </w:r>
      <w:r w:rsidRPr="005C53F5">
        <w:rPr>
          <w:rFonts w:ascii="Times New Roman" w:hAnsi="Times New Roman" w:cs="Times New Roman"/>
          <w:sz w:val="24"/>
        </w:rPr>
        <w:t xml:space="preserve"> не позднее 2 (двух) дней с даты принятия уполномоченным органом Эмитента решения</w:t>
      </w:r>
      <w:r w:rsidRPr="005C53F5">
        <w:rPr>
          <w:rFonts w:ascii="Times New Roman" w:hAnsi="Times New Roman" w:cs="Times New Roman"/>
          <w:bCs/>
          <w:iCs/>
          <w:sz w:val="24"/>
        </w:rPr>
        <w:t xml:space="preserve"> о порядке размещения Облигаций и не позднее чем за 1 (один) день до даты начала размещения Облигаций.</w:t>
      </w:r>
    </w:p>
    <w:p w14:paraId="3F4E94F7"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должно содержать следующие сведения: сведения об Облигациях (вид, категория (тип), серия и иные идентификационные признаки Облигаций), срок погашения Облигаций, международный код (номер) идентификации ценных бумаг (ISIN), дата принятия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указание на Банк России как орган, принявший решения о регистрации проспекта Облигаций и о допуске Облигаций к публичному размещению (публичному размещению и публичному обращению) в Российской Федерации, количество размещаемых в Российской Федерации Облигаций и номинальная стоимость Облигаций, способ размещения Облигаций, цена размещения Облигаций, дата начала публичного размещения Облигаций, порядок размещения Облигаций.</w:t>
      </w:r>
    </w:p>
    <w:p w14:paraId="44B58C4A" w14:textId="689CF58F"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Эмитент информирует Биржу и НРД о принятых решениях не позднее 1 (одного) </w:t>
      </w:r>
      <w:r w:rsidR="00BA5E1C" w:rsidRPr="005C53F5">
        <w:rPr>
          <w:rFonts w:ascii="Times New Roman" w:hAnsi="Times New Roman" w:cs="Times New Roman"/>
          <w:bCs/>
          <w:iCs/>
          <w:sz w:val="24"/>
        </w:rPr>
        <w:t xml:space="preserve">рабочего </w:t>
      </w:r>
      <w:r w:rsidRPr="005C53F5">
        <w:rPr>
          <w:rFonts w:ascii="Times New Roman" w:hAnsi="Times New Roman" w:cs="Times New Roman"/>
          <w:bCs/>
          <w:iCs/>
          <w:sz w:val="24"/>
        </w:rPr>
        <w:t>дня с даты принятия уполномоченным органом Эмитента решения о порядке размещения Облигаций и не позднее чем за 1 (один) рабочий день до даты начала размещения Облигаций.</w:t>
      </w:r>
    </w:p>
    <w:p w14:paraId="03D3D472"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об установленной Эмитентом ставке купона на первый купонный период</w:t>
      </w:r>
    </w:p>
    <w:p w14:paraId="7089B98E"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В случае если Эмитент принимает решение о размещении Облигаций путем Формирования книги заявок, Эмитент также принимает решение об установлении ставки купона на первый купонный период. Величина процентной ставки по первому купонному периоду определяется Эмитентом не позднее чем за 1 (один) день до даты начала публичного размещения Облигаций. Сообщение об установленной Эмитентом ставке купона публикуется в следующие сроки с даты установления уполномоченным органом Эмитента ставки купона первого купонного периода и не позднее чем за 1 (один) день до даты начала публичного размещения Облигаций:</w:t>
      </w:r>
    </w:p>
    <w:p w14:paraId="6EA079DD" w14:textId="77777777" w:rsidR="00B176AC" w:rsidRPr="005C53F5" w:rsidRDefault="00B176AC" w:rsidP="00057BE5">
      <w:pPr>
        <w:pStyle w:val="ConsPlusNormal"/>
        <w:numPr>
          <w:ilvl w:val="0"/>
          <w:numId w:val="17"/>
        </w:numPr>
        <w:ind w:left="709" w:firstLine="0"/>
        <w:jc w:val="both"/>
        <w:rPr>
          <w:rFonts w:ascii="Times New Roman" w:hAnsi="Times New Roman" w:cs="Times New Roman"/>
          <w:sz w:val="24"/>
        </w:rPr>
      </w:pPr>
      <w:r w:rsidRPr="005C53F5">
        <w:rPr>
          <w:rFonts w:ascii="Times New Roman" w:hAnsi="Times New Roman" w:cs="Times New Roman"/>
          <w:bCs/>
          <w:iCs/>
          <w:sz w:val="24"/>
        </w:rPr>
        <w:t xml:space="preserve">в Ленте </w:t>
      </w:r>
      <w:r w:rsidRPr="005C53F5">
        <w:rPr>
          <w:rFonts w:ascii="Times New Roman" w:hAnsi="Times New Roman" w:cs="Times New Roman"/>
          <w:sz w:val="24"/>
        </w:rPr>
        <w:t xml:space="preserve">новостей </w:t>
      </w:r>
      <w:r w:rsidRPr="005C53F5">
        <w:rPr>
          <w:rFonts w:ascii="Times New Roman" w:hAnsi="Times New Roman" w:cs="Times New Roman"/>
          <w:bCs/>
          <w:iCs/>
          <w:sz w:val="24"/>
        </w:rPr>
        <w:t>–</w:t>
      </w:r>
      <w:r w:rsidRPr="005C53F5">
        <w:rPr>
          <w:rFonts w:ascii="Times New Roman" w:hAnsi="Times New Roman" w:cs="Times New Roman"/>
          <w:sz w:val="24"/>
        </w:rPr>
        <w:t xml:space="preserve"> не позднее 1 (одного) дня;</w:t>
      </w:r>
    </w:p>
    <w:p w14:paraId="1D70081A"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sz w:val="24"/>
        </w:rPr>
        <w:t>на Странице</w:t>
      </w:r>
      <w:r w:rsidRPr="005C53F5">
        <w:rPr>
          <w:rFonts w:ascii="Times New Roman" w:hAnsi="Times New Roman" w:cs="Times New Roman"/>
          <w:bCs/>
          <w:iCs/>
          <w:sz w:val="24"/>
        </w:rPr>
        <w:t xml:space="preserve"> в сети Интернет – не позднее 2 (двух) дней.</w:t>
      </w:r>
    </w:p>
    <w:p w14:paraId="6DF387D0"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Эмитент информирует Биржу и НРД о ставке купона на первый купонный период не позднее чем за 1 (один) рабочий день до даты начала публичного размещения Облигаций. </w:t>
      </w:r>
    </w:p>
    <w:p w14:paraId="32AE2382" w14:textId="1597D4F0"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должно содержать следующие сведения: сведения об Облигациях (вид, категория (тип), серия и иные идентификационные признаки Облигаций), срок погашения Облигаций, международный код (номер) идентификации ценных бумаг (ISIN), дата принятия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указание на Банк России как орган, принявший решения о регистрации проспекта Облигаций и о допуске Облигаций к публичному размещению (публичному размещению и публичному обращению) в Российской Федерации, количество размещаемых в Российской Федерации Облигаций и номинальная стоимость каждой Облигации, способ размещения Облигаций, цена размещения Облигаций или порядок ее определения, дата начала размещения Облигаций, ставка купона на первый купонный период</w:t>
      </w:r>
      <w:r w:rsidR="00E02519" w:rsidRPr="005C53F5">
        <w:rPr>
          <w:rFonts w:ascii="Times New Roman" w:hAnsi="Times New Roman" w:cs="Times New Roman"/>
          <w:bCs/>
          <w:iCs/>
          <w:sz w:val="24"/>
        </w:rPr>
        <w:t>.</w:t>
      </w:r>
    </w:p>
    <w:p w14:paraId="5D951043"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 величине процентной ставки по первому купону Облигаций, установленной уполномоченным органом Эмитента по результатам проведенного Конкурса</w:t>
      </w:r>
    </w:p>
    <w:p w14:paraId="3A9DB29B"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В случае если Эмитент принимает решение о размещении Облигаций в форме Конкурса, Эмитент раскрывает сообщение о величине процентной ставки по первому купону Облигаций, установленной уполномоченным органом Эмитента по результатам проведенного Конкурса, в следующие сроки с даты утверждения уполномоченным органом Эмитента процентной ставки по первому купону Облигаций:</w:t>
      </w:r>
    </w:p>
    <w:p w14:paraId="4ED9BD19"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в Ленте новостей - в течение 1 (одного) дня;</w:t>
      </w:r>
    </w:p>
    <w:p w14:paraId="12384B4A" w14:textId="77777777" w:rsidR="00B176AC" w:rsidRPr="005C53F5" w:rsidRDefault="00B176AC" w:rsidP="00057BE5">
      <w:pPr>
        <w:pStyle w:val="ConsPlusNormal"/>
        <w:numPr>
          <w:ilvl w:val="0"/>
          <w:numId w:val="17"/>
        </w:numPr>
        <w:ind w:left="709" w:firstLine="0"/>
        <w:jc w:val="both"/>
        <w:rPr>
          <w:rFonts w:ascii="Times New Roman" w:hAnsi="Times New Roman" w:cs="Times New Roman"/>
          <w:b/>
          <w:bCs/>
          <w:i/>
          <w:iCs/>
          <w:sz w:val="24"/>
        </w:rPr>
      </w:pPr>
      <w:r w:rsidRPr="005C53F5">
        <w:rPr>
          <w:rFonts w:ascii="Times New Roman" w:hAnsi="Times New Roman" w:cs="Times New Roman"/>
          <w:bCs/>
          <w:iCs/>
          <w:sz w:val="24"/>
        </w:rPr>
        <w:t>на Странице в сети Интернет - в течение 2 (двух) дней.</w:t>
      </w:r>
    </w:p>
    <w:p w14:paraId="14AD1C3E"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должно содержать следующие сведения: сведения об Облигациях (вид, категория (тип), серия и иные идентификационные признаки Облигаций), срок погашения Облигаций, международный код (номер) идентификации ценных бумаг (ISIN), дата принятия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указание на Банк России как орган, принявший решения о регистрации проспекта Облигаций и о допуске Облигаций к публичному размещению (публичному размещению и публичному обращению) в Российской Федерации, количество размещаемых в Российской Федерации Облигаций и номинальная стоимость каждой Облигации, способ размещения Облигаций, цена размещения Облигаций или порядок ее определения, дата начала размещения Облигаций, ставка купона на первый купонный период.</w:t>
      </w:r>
    </w:p>
    <w:p w14:paraId="50213F81" w14:textId="10F807DD"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Дополнительно </w:t>
      </w:r>
      <w:r w:rsidRPr="005C53F5">
        <w:rPr>
          <w:rFonts w:ascii="Times New Roman" w:hAnsi="Times New Roman" w:cs="Times New Roman"/>
          <w:sz w:val="24"/>
        </w:rPr>
        <w:t>Агент по размещению</w:t>
      </w:r>
      <w:r w:rsidR="00E02519" w:rsidRPr="005C53F5">
        <w:rPr>
          <w:rFonts w:ascii="Times New Roman" w:hAnsi="Times New Roman" w:cs="Times New Roman"/>
          <w:sz w:val="24"/>
        </w:rPr>
        <w:t xml:space="preserve"> </w:t>
      </w:r>
      <w:r w:rsidRPr="005C53F5">
        <w:rPr>
          <w:rFonts w:ascii="Times New Roman" w:hAnsi="Times New Roman" w:cs="Times New Roman"/>
          <w:bCs/>
          <w:iCs/>
          <w:sz w:val="24"/>
        </w:rPr>
        <w:t>в дату начала размещения публикует сообщение о величине процентной ставки по первому купону при помощи Системы торгов путем отправки электронного сообщения всем Участникам торгов.</w:t>
      </w:r>
    </w:p>
    <w:p w14:paraId="268E0E8F"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 начале размещения Облигаций</w:t>
      </w:r>
    </w:p>
    <w:p w14:paraId="32D13D7F"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о начале размещения Облигаций публикуется Эмитентом в следующие сроки с даты начала размещения Облигаций:</w:t>
      </w:r>
    </w:p>
    <w:p w14:paraId="2030F7CC"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в Ленте новостей – не позднее 1 (одного) дня;</w:t>
      </w:r>
    </w:p>
    <w:p w14:paraId="119F0B9A" w14:textId="77777777" w:rsidR="00B176AC" w:rsidRPr="005C53F5" w:rsidRDefault="00B176AC" w:rsidP="00057BE5">
      <w:pPr>
        <w:pStyle w:val="ConsPlusNormal"/>
        <w:numPr>
          <w:ilvl w:val="0"/>
          <w:numId w:val="17"/>
        </w:numPr>
        <w:ind w:left="709" w:firstLine="0"/>
        <w:jc w:val="both"/>
        <w:rPr>
          <w:rFonts w:ascii="Times New Roman" w:hAnsi="Times New Roman" w:cs="Times New Roman"/>
          <w:b/>
          <w:bCs/>
          <w:i/>
          <w:iCs/>
          <w:sz w:val="24"/>
        </w:rPr>
      </w:pPr>
      <w:r w:rsidRPr="005C53F5">
        <w:rPr>
          <w:rFonts w:ascii="Times New Roman" w:hAnsi="Times New Roman" w:cs="Times New Roman"/>
          <w:bCs/>
          <w:iCs/>
          <w:sz w:val="24"/>
        </w:rPr>
        <w:t>на Странице в сети Интернет – не позднее 2 (двух) дней.</w:t>
      </w:r>
    </w:p>
    <w:p w14:paraId="1D8CD928"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должно содержать следующие сведения: сведения об Облигациях (вид, категория (тип), серия и иные идентификационные признаки Облигаций), срок погашения Облигаций, международный код (номер) идентификации ценных бумаг (ISIN), дата принятия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указание на Банк России как орган, принявший решения о регистрации проспекта Облигаций и о допуске Облигаций к публичному размещению (публичному размещению и публичному обращению) в Российской Федерации, количество размещаемых в Российской Федерации Облигаций и номинальная стоимость каждой Облигации, способ размещения Облигаций, цена размещения Облигаций или порядок ее определения, дата начала размещения Облигаций, дата окончания размещения Облигаций или порядок ее определения.</w:t>
      </w:r>
    </w:p>
    <w:p w14:paraId="3F738E93"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 неисполнении или ненадлежащем исполнении обязательств по Облигациям</w:t>
      </w:r>
    </w:p>
    <w:p w14:paraId="4F317C56"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о дефолте (техническим дефолте) Эмитента перед владельцами Облигаций публикуется Эмитентом в следующие сроки с даты неисполнения или ненадлежащего исполнения Эмитентом обязательств перед владельцами Облигаций:</w:t>
      </w:r>
    </w:p>
    <w:p w14:paraId="387BCE67"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в Ленте новостей – не позднее 1 (одного) дня;</w:t>
      </w:r>
    </w:p>
    <w:p w14:paraId="00AA131F"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на Странице в сети Интернет – не позднее 2 (двух) дней.</w:t>
      </w:r>
    </w:p>
    <w:p w14:paraId="17AC4D9A"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должно содержать следующие сведения: сведения об Облигациях (вид, категория (тип), серия и иные идентификационные признаки Облигаций),  международный код (номер) идентификации ценных бумаг (ISIN), дата принятия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указание на Банк России как орган, принявший решения о регистрации проспекта Облигаций и о допуске Облигаций к публичному размещению (публичному размещению и публичному обращению) в Российской Федерации, содержание обязательства Эмитента, а для денежного обязательства или иного обязательства, которое может быть выражено в денежном выражении,</w:t>
      </w:r>
      <w:r w:rsidRPr="005C53F5">
        <w:rPr>
          <w:rFonts w:ascii="Times New Roman" w:hAnsi="Times New Roman" w:cs="Times New Roman"/>
          <w:sz w:val="24"/>
        </w:rPr>
        <w:t> </w:t>
      </w:r>
      <w:r w:rsidRPr="005C53F5">
        <w:rPr>
          <w:rFonts w:ascii="Times New Roman" w:hAnsi="Times New Roman" w:cs="Times New Roman"/>
          <w:bCs/>
          <w:iCs/>
          <w:sz w:val="24"/>
        </w:rPr>
        <w:t>– также размер такого обязательства в денежном выражении, дата, в которую обязательство Эмитента должно быть исполнено, а в случае если обязательство должно быть исполнено Эмитентом в течение определенного срока (периода времени) – дата окончания этого срока, факт неисполнения (частичного неисполнения) обязательства Эмитента, причина такого неисполнения, а для денежного обязательства или иного обязательства, которое может быть выражено в денежном выражении, – также размер такого обязательства в денежном выражении, в котором оно не исполнено.</w:t>
      </w:r>
    </w:p>
    <w:p w14:paraId="4829CF68"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 назначении Эмитентом платежных агентов и (или) агентов по приобретению Облигаций и отмене таких назначений</w:t>
      </w:r>
    </w:p>
    <w:p w14:paraId="0706B28C" w14:textId="77777777" w:rsidR="00B176AC" w:rsidRPr="005C53F5" w:rsidRDefault="00B176AC" w:rsidP="00057BE5">
      <w:pPr>
        <w:pStyle w:val="ConsPlusNormal"/>
        <w:ind w:firstLine="709"/>
        <w:jc w:val="both"/>
        <w:rPr>
          <w:rFonts w:ascii="Times New Roman" w:hAnsi="Times New Roman" w:cs="Times New Roman"/>
          <w:sz w:val="24"/>
        </w:rPr>
      </w:pPr>
      <w:r w:rsidRPr="005C53F5">
        <w:rPr>
          <w:rFonts w:ascii="Times New Roman" w:hAnsi="Times New Roman" w:cs="Times New Roman"/>
          <w:bCs/>
          <w:iCs/>
          <w:sz w:val="24"/>
        </w:rPr>
        <w:t xml:space="preserve">Сообщение о назначении Эмитентом платежных агентов и (или) агентов по приобретению Облигаций и отмене таких назначений раскрывается Эмитентом следующим образом </w:t>
      </w:r>
      <w:r w:rsidRPr="005C53F5">
        <w:rPr>
          <w:rFonts w:ascii="Times New Roman" w:hAnsi="Times New Roman" w:cs="Times New Roman"/>
          <w:sz w:val="24"/>
        </w:rPr>
        <w:t>с даты совершения таких назначений либо их отмены</w:t>
      </w:r>
      <w:r w:rsidRPr="005C53F5">
        <w:rPr>
          <w:rFonts w:ascii="Times New Roman" w:hAnsi="Times New Roman" w:cs="Times New Roman"/>
          <w:bCs/>
          <w:iCs/>
          <w:sz w:val="24"/>
        </w:rPr>
        <w:t>:</w:t>
      </w:r>
    </w:p>
    <w:p w14:paraId="26FC53EB"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в Ленте новостей – в течение 5 (пяти) дней;</w:t>
      </w:r>
    </w:p>
    <w:p w14:paraId="392C148C" w14:textId="77777777" w:rsidR="00B176AC" w:rsidRPr="005C53F5" w:rsidRDefault="00B176AC" w:rsidP="00057BE5">
      <w:pPr>
        <w:pStyle w:val="ConsPlusNormal"/>
        <w:numPr>
          <w:ilvl w:val="0"/>
          <w:numId w:val="17"/>
        </w:numPr>
        <w:ind w:left="709" w:firstLine="0"/>
        <w:jc w:val="both"/>
        <w:rPr>
          <w:rFonts w:ascii="Times New Roman" w:hAnsi="Times New Roman" w:cs="Times New Roman"/>
          <w:sz w:val="24"/>
        </w:rPr>
      </w:pPr>
      <w:r w:rsidRPr="005C53F5">
        <w:rPr>
          <w:rFonts w:ascii="Times New Roman" w:hAnsi="Times New Roman" w:cs="Times New Roman"/>
          <w:bCs/>
          <w:iCs/>
          <w:sz w:val="24"/>
        </w:rPr>
        <w:t>на Странице</w:t>
      </w:r>
      <w:r w:rsidRPr="005C53F5">
        <w:rPr>
          <w:rFonts w:ascii="Times New Roman" w:hAnsi="Times New Roman" w:cs="Times New Roman"/>
          <w:sz w:val="24"/>
        </w:rPr>
        <w:t xml:space="preserve"> в сети Интернет </w:t>
      </w:r>
      <w:r w:rsidRPr="005C53F5">
        <w:rPr>
          <w:rFonts w:ascii="Times New Roman" w:hAnsi="Times New Roman" w:cs="Times New Roman"/>
          <w:bCs/>
          <w:iCs/>
          <w:sz w:val="24"/>
        </w:rPr>
        <w:t>–</w:t>
      </w:r>
      <w:r w:rsidRPr="005C53F5">
        <w:rPr>
          <w:rFonts w:ascii="Times New Roman" w:hAnsi="Times New Roman" w:cs="Times New Roman"/>
          <w:sz w:val="24"/>
        </w:rPr>
        <w:t xml:space="preserve"> в течение 5 (пяти) дней.</w:t>
      </w:r>
    </w:p>
    <w:p w14:paraId="6B1CFED9"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Сообщение о назначении или отмене назначения платежных агентов и/или агентов по приобретению Облигаций публикуется Эмитентом на Странице в сети Интернет после публикации в Ленте новостей.</w:t>
      </w:r>
    </w:p>
    <w:p w14:paraId="5269A951"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Сообщение должно содержать следующие сведения: сведения об Облигациях (вид, категория (тип), серия и иные идентификационные признаки Облигаций), международный код (номер) идентификации ценных бумаг (ISIN), дата принятия решений о регистрации проспекта Облигаций и о допуске Облигаций к публичному размещению (публичному размещению и публичному обращению) в Российской Федерации, указание на Банк России как орган, принявший решения о регистрации проспекта Облигаций и о допуске Облигаций к публичному размещению (публичному размещению и публичному обращению) в Российской Федерации, в отношении назначенного платежного агента </w:t>
      </w:r>
      <w:r w:rsidRPr="005C53F5">
        <w:rPr>
          <w:rFonts w:ascii="Times New Roman" w:hAnsi="Times New Roman" w:cs="Times New Roman"/>
          <w:sz w:val="24"/>
        </w:rPr>
        <w:t>(платежного агента, чье назначение отменено)</w:t>
      </w:r>
      <w:r w:rsidRPr="005C53F5">
        <w:rPr>
          <w:rFonts w:ascii="Times New Roman" w:hAnsi="Times New Roman" w:cs="Times New Roman"/>
          <w:bCs/>
          <w:iCs/>
          <w:sz w:val="24"/>
        </w:rPr>
        <w:t xml:space="preserve"> такие сведения как: полное и сокращенное фирменные наименования, место нахождения платежного агента; номер и дата лицензии, на основании которой лицо может осуществлять функции платежного агента, орган, выдавший указанную лицензию; функции платежного агента; в отношении назначенного агента по приобретению Облигаций (агента по приобретению Облигаций, чье назначение отменено) такие сведения как: полное и сокращенное фирменные наименования, место нахождения агента по приобретению Облигаций, </w:t>
      </w:r>
      <w:r w:rsidRPr="005C53F5">
        <w:rPr>
          <w:rFonts w:ascii="Times New Roman" w:hAnsi="Times New Roman" w:cs="Times New Roman"/>
          <w:iCs/>
          <w:sz w:val="24"/>
        </w:rPr>
        <w:t xml:space="preserve">номер </w:t>
      </w:r>
      <w:r w:rsidRPr="005C53F5">
        <w:rPr>
          <w:rFonts w:ascii="Times New Roman" w:hAnsi="Times New Roman" w:cs="Times New Roman"/>
          <w:bCs/>
          <w:iCs/>
          <w:sz w:val="24"/>
        </w:rPr>
        <w:t xml:space="preserve">и дата </w:t>
      </w:r>
      <w:r w:rsidRPr="005C53F5">
        <w:rPr>
          <w:rFonts w:ascii="Times New Roman" w:hAnsi="Times New Roman" w:cs="Times New Roman"/>
          <w:iCs/>
          <w:sz w:val="24"/>
        </w:rPr>
        <w:t xml:space="preserve">лицензии профессионального участника рынка ценных бумаг на осуществление брокерский деятельности, </w:t>
      </w:r>
      <w:r w:rsidRPr="005C53F5">
        <w:rPr>
          <w:rFonts w:ascii="Times New Roman" w:hAnsi="Times New Roman" w:cs="Times New Roman"/>
          <w:bCs/>
          <w:iCs/>
          <w:sz w:val="24"/>
        </w:rPr>
        <w:t>орган, выдавший указанную лицензию, срок действия указанной лицензии.</w:t>
      </w:r>
    </w:p>
    <w:p w14:paraId="3A916437" w14:textId="77777777"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Сообщение о приобретении Облигаций по соглашению с их владельцем (владельцами)</w:t>
      </w:r>
    </w:p>
    <w:p w14:paraId="76BE5902" w14:textId="7777777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В случае принятия Эмитентом решения о приобретении Облигаций по соглашению с их владельцем (владельцами), в том числе на основании публичных безотзывных оферт, сообщение о соответствующем решении раскрывается:</w:t>
      </w:r>
    </w:p>
    <w:p w14:paraId="7F69A96B" w14:textId="77777777"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 xml:space="preserve">в Ленте новостей – не позднее 1 (одного) дня; </w:t>
      </w:r>
    </w:p>
    <w:p w14:paraId="13956C47" w14:textId="1C213782" w:rsidR="00B176AC" w:rsidRPr="005C53F5" w:rsidRDefault="00B176AC" w:rsidP="00057BE5">
      <w:pPr>
        <w:pStyle w:val="ConsPlusNormal"/>
        <w:numPr>
          <w:ilvl w:val="0"/>
          <w:numId w:val="17"/>
        </w:numPr>
        <w:ind w:left="709" w:firstLine="0"/>
        <w:jc w:val="both"/>
        <w:rPr>
          <w:rFonts w:ascii="Times New Roman" w:hAnsi="Times New Roman" w:cs="Times New Roman"/>
          <w:bCs/>
          <w:iCs/>
          <w:sz w:val="24"/>
        </w:rPr>
      </w:pPr>
      <w:r w:rsidRPr="005C53F5">
        <w:rPr>
          <w:rFonts w:ascii="Times New Roman" w:hAnsi="Times New Roman" w:cs="Times New Roman"/>
          <w:bCs/>
          <w:iCs/>
          <w:sz w:val="24"/>
        </w:rPr>
        <w:t>на Странице в сети Интернет – не позднее 2 (двух) дней</w:t>
      </w:r>
      <w:r w:rsidR="000E1C54" w:rsidRPr="005C53F5">
        <w:rPr>
          <w:rFonts w:ascii="Times New Roman" w:hAnsi="Times New Roman" w:cs="Times New Roman"/>
          <w:bCs/>
          <w:iCs/>
          <w:sz w:val="24"/>
        </w:rPr>
        <w:t xml:space="preserve"> с даты принятия решения уполномоченным органом Эмитента, но не позднее 14 (четырнадцати) дней до даты начала приобретения Облигаций. </w:t>
      </w:r>
    </w:p>
    <w:p w14:paraId="3101F34A" w14:textId="3773FDB7"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Сообщение должно содержать следующие сведения: дата принятия решения о приобретении (выкупе) Облигаций; </w:t>
      </w:r>
      <w:r w:rsidRPr="005C53F5">
        <w:rPr>
          <w:rFonts w:ascii="Times New Roman" w:hAnsi="Times New Roman" w:cs="Times New Roman"/>
          <w:sz w:val="24"/>
        </w:rPr>
        <w:t xml:space="preserve">сведения об Облигациях (вид, категория (тип), серия и иные идентификационные признаки Облигаций); </w:t>
      </w:r>
      <w:r w:rsidRPr="005C53F5">
        <w:rPr>
          <w:rFonts w:ascii="Times New Roman" w:hAnsi="Times New Roman" w:cs="Times New Roman"/>
          <w:bCs/>
          <w:iCs/>
          <w:sz w:val="24"/>
        </w:rPr>
        <w:t>международный код (номер) идентификации ценных бумаг (ISIN); количество приобретаемых Облигаций; срок, в течение которого владельцу Облигации может передать агенту Эмитента письменное уведомление о намерении продать Эмитенту определенное количество Облигаций на установленных в решении Эмитента о приобретении Облигаций и изложенных в опубликованном сообщении о приобретении Облигаций условиях; дата начала приобретения Эмитентом Облигаций; дата окончания приобретения Облигаций; цена приобретения Облигаций</w:t>
      </w:r>
      <w:r w:rsidR="00604060" w:rsidRPr="005C53F5">
        <w:rPr>
          <w:rFonts w:ascii="Times New Roman" w:hAnsi="Times New Roman" w:cs="Times New Roman"/>
          <w:bCs/>
          <w:iCs/>
          <w:sz w:val="24"/>
        </w:rPr>
        <w:t xml:space="preserve"> </w:t>
      </w:r>
      <w:r w:rsidRPr="005C53F5">
        <w:rPr>
          <w:rFonts w:ascii="Times New Roman" w:hAnsi="Times New Roman" w:cs="Times New Roman"/>
          <w:bCs/>
          <w:iCs/>
          <w:sz w:val="24"/>
        </w:rPr>
        <w:t>или порядок ее определения; порядок приобретения Облигаций; форма и срок оплаты; наименование агента, уполномоченного Эмитентом на приобретение (выкуп) Облигаций, его место нахождения, сведения о реквизитах его лицензии профессионального участника рынка ценных бумаг.</w:t>
      </w:r>
    </w:p>
    <w:p w14:paraId="32DF1EFF" w14:textId="6F43703A"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Эмитент информирует Биржу и НРД о принятых решениях не позднее 1 (одного) </w:t>
      </w:r>
      <w:r w:rsidR="00BA5E1C" w:rsidRPr="005C53F5">
        <w:rPr>
          <w:rFonts w:ascii="Times New Roman" w:hAnsi="Times New Roman" w:cs="Times New Roman"/>
          <w:bCs/>
          <w:iCs/>
          <w:sz w:val="24"/>
        </w:rPr>
        <w:t xml:space="preserve">рабочего </w:t>
      </w:r>
      <w:r w:rsidRPr="005C53F5">
        <w:rPr>
          <w:rFonts w:ascii="Times New Roman" w:hAnsi="Times New Roman" w:cs="Times New Roman"/>
          <w:bCs/>
          <w:iCs/>
          <w:sz w:val="24"/>
        </w:rPr>
        <w:t>дня с даты принятия решения уполномоченным органом Эмитента, но не позднее 14 (четырнадцати) дней до даты начала приобретения Облигаций.</w:t>
      </w:r>
    </w:p>
    <w:p w14:paraId="34B4F08F" w14:textId="6090A45A" w:rsidR="00B176AC" w:rsidRPr="005C53F5" w:rsidRDefault="00B176AC" w:rsidP="00057BE5">
      <w:pPr>
        <w:pStyle w:val="ConsPlusNormal"/>
        <w:numPr>
          <w:ilvl w:val="1"/>
          <w:numId w:val="5"/>
        </w:numPr>
        <w:ind w:left="0" w:firstLine="709"/>
        <w:jc w:val="both"/>
        <w:rPr>
          <w:rFonts w:ascii="Times New Roman" w:hAnsi="Times New Roman" w:cs="Times New Roman"/>
          <w:bCs/>
          <w:i/>
          <w:iCs/>
          <w:sz w:val="24"/>
        </w:rPr>
      </w:pPr>
      <w:r w:rsidRPr="005C53F5">
        <w:rPr>
          <w:rFonts w:ascii="Times New Roman" w:hAnsi="Times New Roman" w:cs="Times New Roman"/>
          <w:bCs/>
          <w:i/>
          <w:iCs/>
          <w:sz w:val="24"/>
        </w:rPr>
        <w:t xml:space="preserve">Копии </w:t>
      </w:r>
      <w:r w:rsidR="00327FE2" w:rsidRPr="005C53F5">
        <w:rPr>
          <w:rFonts w:ascii="Times New Roman" w:hAnsi="Times New Roman" w:cs="Times New Roman"/>
          <w:bCs/>
          <w:i/>
          <w:iCs/>
          <w:sz w:val="24"/>
        </w:rPr>
        <w:t xml:space="preserve">Условий выпуска, </w:t>
      </w:r>
      <w:r w:rsidRPr="005C53F5">
        <w:rPr>
          <w:rFonts w:ascii="Times New Roman" w:hAnsi="Times New Roman" w:cs="Times New Roman"/>
          <w:bCs/>
          <w:i/>
          <w:iCs/>
          <w:sz w:val="24"/>
        </w:rPr>
        <w:t>проспекта Облигаций, уведомления о завершении размещения Облигаций:</w:t>
      </w:r>
    </w:p>
    <w:p w14:paraId="1C7D6236" w14:textId="43D6FF8A"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Эмитент обязан предоставить заинтересованному лицу копии </w:t>
      </w:r>
      <w:r w:rsidR="00327FE2" w:rsidRPr="005C53F5">
        <w:rPr>
          <w:rFonts w:ascii="Times New Roman" w:hAnsi="Times New Roman" w:cs="Times New Roman"/>
          <w:bCs/>
          <w:iCs/>
          <w:sz w:val="24"/>
        </w:rPr>
        <w:t xml:space="preserve">Условий выпуска, </w:t>
      </w:r>
      <w:r w:rsidRPr="005C53F5">
        <w:rPr>
          <w:rFonts w:ascii="Times New Roman" w:hAnsi="Times New Roman" w:cs="Times New Roman"/>
          <w:bCs/>
          <w:iCs/>
          <w:sz w:val="24"/>
        </w:rPr>
        <w:t xml:space="preserve">проспекта Облигаций и уведомления о завершении размещения Облигаций. </w:t>
      </w:r>
    </w:p>
    <w:p w14:paraId="112D774E" w14:textId="2FA5C3AB" w:rsidR="00B176AC" w:rsidRPr="005C53F5" w:rsidRDefault="00B176AC" w:rsidP="00057BE5">
      <w:pPr>
        <w:pStyle w:val="ConsPlusNormal"/>
        <w:ind w:firstLine="709"/>
        <w:jc w:val="both"/>
        <w:rPr>
          <w:rFonts w:ascii="Times New Roman" w:hAnsi="Times New Roman" w:cs="Times New Roman"/>
          <w:bCs/>
          <w:iCs/>
          <w:sz w:val="24"/>
        </w:rPr>
      </w:pPr>
      <w:r w:rsidRPr="005C53F5">
        <w:rPr>
          <w:rFonts w:ascii="Times New Roman" w:hAnsi="Times New Roman" w:cs="Times New Roman"/>
          <w:bCs/>
          <w:iCs/>
          <w:sz w:val="24"/>
        </w:rPr>
        <w:t xml:space="preserve">За предоставление копий </w:t>
      </w:r>
      <w:r w:rsidR="00E22AD5" w:rsidRPr="005C53F5">
        <w:rPr>
          <w:rFonts w:ascii="Times New Roman" w:hAnsi="Times New Roman" w:cs="Times New Roman"/>
          <w:bCs/>
          <w:iCs/>
          <w:sz w:val="24"/>
        </w:rPr>
        <w:t xml:space="preserve">Условий выпуска, </w:t>
      </w:r>
      <w:r w:rsidRPr="005C53F5">
        <w:rPr>
          <w:rFonts w:ascii="Times New Roman" w:hAnsi="Times New Roman" w:cs="Times New Roman"/>
          <w:bCs/>
          <w:iCs/>
          <w:sz w:val="24"/>
        </w:rPr>
        <w:t>проспекта Облигаций и уведомления о завершении размещения Облигаций может взиматься плата, размер которой не должен превышать затраты на их изготовление.</w:t>
      </w:r>
    </w:p>
    <w:p w14:paraId="5A3DD96D" w14:textId="40CDFFF3"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01" w:name="_Toc39616416"/>
      <w:bookmarkStart w:id="502" w:name="_Toc36145655"/>
      <w:r w:rsidRPr="005C53F5">
        <w:rPr>
          <w:rFonts w:ascii="Times New Roman" w:hAnsi="Times New Roman" w:cs="Times New Roman"/>
          <w:b/>
          <w:sz w:val="24"/>
          <w:szCs w:val="24"/>
        </w:rPr>
        <w:t>8.12. Сведения об обеспечении исполнения обязательств по облигациям выпуска (дополнительного выпуска)</w:t>
      </w:r>
      <w:bookmarkEnd w:id="501"/>
      <w:bookmarkEnd w:id="502"/>
    </w:p>
    <w:p w14:paraId="0BE67C76" w14:textId="77777777" w:rsidR="0043518C" w:rsidRPr="005C53F5" w:rsidRDefault="0043518C"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2E519C50" w14:textId="34CE2A91" w:rsidR="0043518C" w:rsidRPr="005C53F5" w:rsidRDefault="0043518C" w:rsidP="00057BE5">
      <w:pPr>
        <w:pStyle w:val="ConsPlusNormal"/>
        <w:ind w:firstLine="709"/>
        <w:rPr>
          <w:rFonts w:ascii="Times New Roman" w:hAnsi="Times New Roman" w:cs="Times New Roman"/>
          <w:sz w:val="24"/>
        </w:rPr>
      </w:pPr>
      <w:r w:rsidRPr="005C53F5">
        <w:rPr>
          <w:rFonts w:ascii="Times New Roman" w:hAnsi="Times New Roman" w:cs="Times New Roman"/>
          <w:sz w:val="24"/>
        </w:rPr>
        <w:t>Предоставление обеспечения по Облигациям не предусмотрено.</w:t>
      </w:r>
    </w:p>
    <w:p w14:paraId="7096051A" w14:textId="4DEAB51C"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03" w:name="_Toc39616417"/>
      <w:bookmarkStart w:id="504" w:name="_Toc36145656"/>
      <w:r w:rsidRPr="005C53F5">
        <w:rPr>
          <w:rFonts w:ascii="Times New Roman" w:hAnsi="Times New Roman" w:cs="Times New Roman"/>
          <w:b/>
          <w:sz w:val="24"/>
          <w:szCs w:val="24"/>
        </w:rPr>
        <w:t>8.13. Сведения о представителе владельцев облигаций</w:t>
      </w:r>
      <w:bookmarkEnd w:id="503"/>
      <w:bookmarkEnd w:id="504"/>
    </w:p>
    <w:p w14:paraId="191C1C8B" w14:textId="4C8FA479" w:rsidR="0043518C" w:rsidRPr="005C53F5" w:rsidRDefault="0043518C"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3D01DAE2" w14:textId="32C6D8D5" w:rsidR="003A1D6B" w:rsidRPr="005C53F5" w:rsidRDefault="0043518C" w:rsidP="00057BE5">
      <w:pPr>
        <w:pStyle w:val="ConsPlusNormal"/>
        <w:ind w:firstLine="709"/>
        <w:rPr>
          <w:rFonts w:ascii="Times New Roman" w:hAnsi="Times New Roman" w:cs="Times New Roman"/>
          <w:sz w:val="24"/>
        </w:rPr>
      </w:pPr>
      <w:r w:rsidRPr="005C53F5">
        <w:rPr>
          <w:rFonts w:ascii="Times New Roman" w:hAnsi="Times New Roman" w:cs="Times New Roman"/>
          <w:sz w:val="24"/>
        </w:rPr>
        <w:t>Привлечение Эмитентом представителя владельцев Облигаций не предусмотрено.</w:t>
      </w:r>
    </w:p>
    <w:p w14:paraId="464EB47A" w14:textId="6C3B60EA"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05" w:name="_Toc39616418"/>
      <w:bookmarkStart w:id="506" w:name="_Toc36145657"/>
      <w:r w:rsidRPr="005C53F5">
        <w:rPr>
          <w:rFonts w:ascii="Times New Roman" w:hAnsi="Times New Roman" w:cs="Times New Roman"/>
          <w:b/>
          <w:sz w:val="24"/>
          <w:szCs w:val="24"/>
        </w:rPr>
        <w:t>8.14. Сведения об отнесении приобретения облигаций к категории инвестиций с повышенным риском</w:t>
      </w:r>
      <w:bookmarkEnd w:id="505"/>
      <w:bookmarkEnd w:id="506"/>
    </w:p>
    <w:p w14:paraId="66A53200" w14:textId="5B3F923F" w:rsidR="000535DD" w:rsidRPr="005C53F5" w:rsidRDefault="000535DD"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7E76F8D2" w14:textId="158F520A" w:rsidR="002F0CD9" w:rsidRPr="005C53F5" w:rsidRDefault="002F0CD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В соответствии с пунктом 8.14 части Б приложения 2 к Положению Банка России №</w:t>
      </w:r>
      <w:r w:rsidR="00E22AD5" w:rsidRPr="005C53F5">
        <w:rPr>
          <w:rFonts w:ascii="Times New Roman" w:hAnsi="Times New Roman" w:cs="Times New Roman"/>
          <w:sz w:val="24"/>
        </w:rPr>
        <w:t> </w:t>
      </w:r>
      <w:r w:rsidRPr="005C53F5">
        <w:rPr>
          <w:rFonts w:ascii="Times New Roman" w:hAnsi="Times New Roman" w:cs="Times New Roman"/>
          <w:sz w:val="24"/>
        </w:rPr>
        <w:t>454-П в настоящем пункте приводится расчет суммы показателей, предусмотренных пунктом 8.15 Положения Банка России № 454-П, и в случае, когда такая сумма меньше суммарной величины обязательств эмитента по облигациям, указывается на то, что приобретение таких облигаций относится к категории инвестиций с повышенным риском. В случае</w:t>
      </w:r>
      <w:r w:rsidR="006E66F7" w:rsidRPr="005C53F5">
        <w:rPr>
          <w:rFonts w:ascii="Times New Roman" w:hAnsi="Times New Roman" w:cs="Times New Roman"/>
          <w:sz w:val="24"/>
        </w:rPr>
        <w:t>,</w:t>
      </w:r>
      <w:r w:rsidRPr="005C53F5">
        <w:rPr>
          <w:rFonts w:ascii="Times New Roman" w:hAnsi="Times New Roman" w:cs="Times New Roman"/>
          <w:sz w:val="24"/>
        </w:rPr>
        <w:t xml:space="preserve"> когда сумма показателей, предусмотренных пунктом 8.15 Положения Банка России №</w:t>
      </w:r>
      <w:r w:rsidR="00E22AD5" w:rsidRPr="005C53F5">
        <w:rPr>
          <w:rFonts w:ascii="Times New Roman" w:hAnsi="Times New Roman" w:cs="Times New Roman"/>
          <w:sz w:val="24"/>
        </w:rPr>
        <w:t> </w:t>
      </w:r>
      <w:r w:rsidRPr="005C53F5">
        <w:rPr>
          <w:rFonts w:ascii="Times New Roman" w:hAnsi="Times New Roman" w:cs="Times New Roman"/>
          <w:sz w:val="24"/>
        </w:rPr>
        <w:t>454-П, больше или равна суммарной величине обязательств эмитента по облигациям, указывается на то, что приобретение таких облигаций не относится к категории инвестиций с повышенным риском.</w:t>
      </w:r>
    </w:p>
    <w:p w14:paraId="1902C174" w14:textId="77777777" w:rsidR="002F0CD9" w:rsidRPr="005C53F5" w:rsidRDefault="002F0CD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Вместе с тем пунктом 8.15 Положения Банка России № 454-П (в редакции, действующей на момент утверждения Проспекта ценных бумаг) не предусмотрены показатели для оценки принадлежности облигаций к категории инвестиций с повышенным риском. </w:t>
      </w:r>
    </w:p>
    <w:p w14:paraId="7A9C2F1E" w14:textId="74FD485F" w:rsidR="003A1D6B" w:rsidRPr="005C53F5" w:rsidRDefault="002F0CD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В связи с вышеуказанными обстоятельствами в настоящем пункте сведения об отнесении приобретения Облигаций к категории инвестиций с повышенным риском не </w:t>
      </w:r>
      <w:r w:rsidRPr="005C53F5">
        <w:rPr>
          <w:rFonts w:ascii="Times New Roman" w:hAnsi="Times New Roman" w:cs="Times New Roman"/>
          <w:sz w:val="24"/>
          <w:szCs w:val="22"/>
        </w:rPr>
        <w:t>указываются.</w:t>
      </w:r>
    </w:p>
    <w:p w14:paraId="546E73E0" w14:textId="52C56AB9"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07" w:name="_Toc39616419"/>
      <w:bookmarkStart w:id="508" w:name="_Toc36145658"/>
      <w:r w:rsidRPr="005C53F5">
        <w:rPr>
          <w:rFonts w:ascii="Times New Roman" w:hAnsi="Times New Roman" w:cs="Times New Roman"/>
          <w:b/>
          <w:sz w:val="24"/>
          <w:szCs w:val="24"/>
        </w:rPr>
        <w:t>8.15. Дополнительные сведения о размещаемых российских депозитарных расписках</w:t>
      </w:r>
      <w:bookmarkEnd w:id="507"/>
      <w:bookmarkEnd w:id="508"/>
    </w:p>
    <w:p w14:paraId="1051CB24" w14:textId="56D6BD89" w:rsidR="003A1D6B" w:rsidRPr="005C53F5" w:rsidRDefault="000535D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Сведения не указываются, поскольку размещаемые ценные бумаги (Облигации) не </w:t>
      </w:r>
      <w:r w:rsidRPr="005C53F5">
        <w:rPr>
          <w:rFonts w:ascii="Times New Roman" w:hAnsi="Times New Roman" w:cs="Times New Roman"/>
          <w:sz w:val="24"/>
          <w:szCs w:val="22"/>
        </w:rPr>
        <w:t>являются российскими депозитарными расписками.</w:t>
      </w:r>
    </w:p>
    <w:p w14:paraId="303470ED" w14:textId="2D96E166"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09" w:name="_Toc39616420"/>
      <w:bookmarkStart w:id="510" w:name="_Toc36145659"/>
      <w:r w:rsidRPr="005C53F5">
        <w:rPr>
          <w:rFonts w:ascii="Times New Roman" w:hAnsi="Times New Roman" w:cs="Times New Roman"/>
          <w:b/>
          <w:sz w:val="24"/>
          <w:szCs w:val="24"/>
        </w:rPr>
        <w:t>8.16. Наличие ограничений на приобретение и обращение размещаемых эмиссионных ценных бумаг</w:t>
      </w:r>
      <w:bookmarkEnd w:id="509"/>
      <w:bookmarkEnd w:id="510"/>
    </w:p>
    <w:p w14:paraId="2663DDBC" w14:textId="77777777" w:rsidR="000535DD" w:rsidRPr="005C53F5" w:rsidRDefault="000535DD"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52DDBAE8" w14:textId="15BCE126" w:rsidR="003A1D6B" w:rsidRPr="005C53F5" w:rsidRDefault="000535D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Приобретение и обращение размещаемых Облигаций являются валютными операциями и подлежат валютному регулированию с соблюдением правил валютного </w:t>
      </w:r>
      <w:r w:rsidRPr="005C53F5">
        <w:rPr>
          <w:rFonts w:ascii="Times New Roman" w:hAnsi="Times New Roman" w:cs="Times New Roman"/>
          <w:sz w:val="24"/>
          <w:szCs w:val="22"/>
        </w:rPr>
        <w:t>законодательства Российской Федерации.</w:t>
      </w:r>
    </w:p>
    <w:p w14:paraId="66DD0F22" w14:textId="4B13D4F6"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11" w:name="_Toc39616421"/>
      <w:bookmarkStart w:id="512" w:name="_Toc36145660"/>
      <w:r w:rsidRPr="005C53F5">
        <w:rPr>
          <w:rFonts w:ascii="Times New Roman" w:hAnsi="Times New Roman" w:cs="Times New Roman"/>
          <w:b/>
          <w:sz w:val="24"/>
          <w:szCs w:val="24"/>
        </w:rPr>
        <w:t>8.17. Сведения о динамике изменения цен на эмиссионные ценные бумаги эмитента</w:t>
      </w:r>
      <w:bookmarkEnd w:id="511"/>
      <w:bookmarkEnd w:id="512"/>
    </w:p>
    <w:p w14:paraId="499A7FCA" w14:textId="77777777" w:rsidR="00390563" w:rsidRPr="005C53F5" w:rsidRDefault="00390563" w:rsidP="00057BE5">
      <w:pPr>
        <w:pStyle w:val="ConsPlusNormal"/>
        <w:ind w:firstLine="709"/>
        <w:jc w:val="both"/>
        <w:rPr>
          <w:rFonts w:ascii="Times New Roman" w:hAnsi="Times New Roman" w:cs="Times New Roman"/>
          <w:sz w:val="24"/>
          <w:szCs w:val="24"/>
        </w:rPr>
      </w:pPr>
      <w:bookmarkStart w:id="513" w:name="_Toc521609741"/>
      <w:bookmarkStart w:id="514" w:name="_Toc533785559"/>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513"/>
      <w:bookmarkEnd w:id="514"/>
    </w:p>
    <w:p w14:paraId="47254C90"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15" w:name="_Toc39616422"/>
      <w:bookmarkStart w:id="516" w:name="_Toc36145661"/>
      <w:r w:rsidRPr="005C53F5">
        <w:rPr>
          <w:rFonts w:ascii="Times New Roman" w:hAnsi="Times New Roman" w:cs="Times New Roman"/>
          <w:b/>
          <w:sz w:val="24"/>
          <w:szCs w:val="24"/>
        </w:rPr>
        <w:t>8.18. Сведения об организаторах торговли, на которых предполагается размещение и (или) обращение размещаемых эмиссионных ценных бумаг</w:t>
      </w:r>
      <w:bookmarkEnd w:id="515"/>
      <w:bookmarkEnd w:id="516"/>
    </w:p>
    <w:p w14:paraId="3741E660" w14:textId="64B4A9F7" w:rsidR="000535DD" w:rsidRPr="005C53F5" w:rsidRDefault="000535DD"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0FA5FA8A" w14:textId="0BAB0B82" w:rsidR="000535DD" w:rsidRPr="005C53F5" w:rsidRDefault="002F0CD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На территории Российской Федерации </w:t>
      </w:r>
      <w:r w:rsidR="000535DD" w:rsidRPr="005C53F5">
        <w:rPr>
          <w:rFonts w:ascii="Times New Roman" w:hAnsi="Times New Roman" w:cs="Times New Roman"/>
          <w:sz w:val="24"/>
        </w:rPr>
        <w:t>Облигации размещаются посредством открытой подписки путем проведения торгов на Бирже, организующей проведение торгов:</w:t>
      </w:r>
    </w:p>
    <w:p w14:paraId="6D892811" w14:textId="77777777" w:rsidR="000535DD" w:rsidRPr="005C53F5" w:rsidRDefault="000535DD"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Полное фирменное наименование: </w:t>
      </w:r>
      <w:r w:rsidRPr="005C53F5">
        <w:rPr>
          <w:rFonts w:ascii="Times New Roman" w:hAnsi="Times New Roman" w:cs="Times New Roman"/>
          <w:sz w:val="24"/>
        </w:rPr>
        <w:t>Публичное акционерное общество «Московская Биржа ММВБ-РТС»</w:t>
      </w:r>
    </w:p>
    <w:p w14:paraId="41D30D43" w14:textId="77777777" w:rsidR="000535DD" w:rsidRPr="005C53F5" w:rsidRDefault="000535D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Сокращенное фирменное наименование: </w:t>
      </w:r>
      <w:r w:rsidRPr="005C53F5">
        <w:rPr>
          <w:rFonts w:ascii="Times New Roman" w:hAnsi="Times New Roman" w:cs="Times New Roman"/>
          <w:sz w:val="24"/>
        </w:rPr>
        <w:t>ПАО Московская Биржа</w:t>
      </w:r>
    </w:p>
    <w:p w14:paraId="58B08B32" w14:textId="77777777" w:rsidR="000535DD" w:rsidRPr="005C53F5" w:rsidRDefault="000535DD"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Место нахождения: </w:t>
      </w:r>
      <w:r w:rsidRPr="005C53F5">
        <w:rPr>
          <w:rFonts w:ascii="Times New Roman" w:hAnsi="Times New Roman" w:cs="Times New Roman"/>
          <w:sz w:val="24"/>
        </w:rPr>
        <w:t>Российская Федерация, г. Москва</w:t>
      </w:r>
    </w:p>
    <w:p w14:paraId="07D8DE6D" w14:textId="77777777" w:rsidR="000535DD" w:rsidRPr="005C53F5" w:rsidRDefault="000535DD"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 xml:space="preserve">Почтовый адрес: </w:t>
      </w:r>
      <w:r w:rsidRPr="005C53F5">
        <w:rPr>
          <w:rFonts w:ascii="Times New Roman" w:hAnsi="Times New Roman" w:cs="Times New Roman"/>
          <w:sz w:val="24"/>
        </w:rPr>
        <w:t>Российская Федерация, 125009, г. Москва, Большой Кисловский переулок, дом 13</w:t>
      </w:r>
    </w:p>
    <w:p w14:paraId="25D9A63C" w14:textId="77777777" w:rsidR="000535DD" w:rsidRPr="005C53F5" w:rsidRDefault="000535D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Номер лицензии биржи: </w:t>
      </w:r>
      <w:r w:rsidRPr="005C53F5">
        <w:rPr>
          <w:rFonts w:ascii="Times New Roman" w:hAnsi="Times New Roman" w:cs="Times New Roman"/>
          <w:sz w:val="24"/>
        </w:rPr>
        <w:t>077-001</w:t>
      </w:r>
    </w:p>
    <w:p w14:paraId="29CB0CD6" w14:textId="5E5B15CB" w:rsidR="000535DD" w:rsidRPr="005C53F5" w:rsidRDefault="000535D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Дата выдачи</w:t>
      </w:r>
      <w:r w:rsidR="00DA1F23" w:rsidRPr="005C53F5">
        <w:rPr>
          <w:rFonts w:ascii="Times New Roman" w:hAnsi="Times New Roman" w:cs="Times New Roman"/>
          <w:i/>
          <w:sz w:val="24"/>
        </w:rPr>
        <w:t xml:space="preserve"> лицензии биржи</w:t>
      </w:r>
      <w:r w:rsidRPr="005C53F5">
        <w:rPr>
          <w:rFonts w:ascii="Times New Roman" w:hAnsi="Times New Roman" w:cs="Times New Roman"/>
          <w:i/>
          <w:sz w:val="24"/>
        </w:rPr>
        <w:t xml:space="preserve">: </w:t>
      </w:r>
      <w:r w:rsidRPr="005C53F5">
        <w:rPr>
          <w:rFonts w:ascii="Times New Roman" w:hAnsi="Times New Roman" w:cs="Times New Roman"/>
          <w:sz w:val="24"/>
        </w:rPr>
        <w:t>29.08.2013</w:t>
      </w:r>
    </w:p>
    <w:p w14:paraId="6DB83AB1" w14:textId="4A91117C" w:rsidR="000535DD" w:rsidRPr="005C53F5" w:rsidRDefault="000535DD"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Срок действия</w:t>
      </w:r>
      <w:r w:rsidR="00DA1F23" w:rsidRPr="005C53F5">
        <w:rPr>
          <w:rFonts w:ascii="Times New Roman" w:hAnsi="Times New Roman" w:cs="Times New Roman"/>
          <w:i/>
          <w:sz w:val="24"/>
        </w:rPr>
        <w:t xml:space="preserve"> лицензии биржи</w:t>
      </w:r>
      <w:r w:rsidRPr="005C53F5">
        <w:rPr>
          <w:rFonts w:ascii="Times New Roman" w:hAnsi="Times New Roman" w:cs="Times New Roman"/>
          <w:i/>
          <w:sz w:val="24"/>
        </w:rPr>
        <w:t xml:space="preserve">: </w:t>
      </w:r>
      <w:r w:rsidRPr="005C53F5">
        <w:rPr>
          <w:rFonts w:ascii="Times New Roman" w:hAnsi="Times New Roman" w:cs="Times New Roman"/>
          <w:sz w:val="24"/>
        </w:rPr>
        <w:t>без ограничения срока действия</w:t>
      </w:r>
    </w:p>
    <w:p w14:paraId="4FB0870B" w14:textId="6C814135" w:rsidR="000535DD" w:rsidRPr="005C53F5" w:rsidRDefault="00DA1F23"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Орган, выдавший лицензию биржи</w:t>
      </w:r>
      <w:r w:rsidR="000535DD" w:rsidRPr="005C53F5">
        <w:rPr>
          <w:rFonts w:ascii="Times New Roman" w:hAnsi="Times New Roman" w:cs="Times New Roman"/>
          <w:i/>
          <w:sz w:val="24"/>
        </w:rPr>
        <w:t xml:space="preserve">: </w:t>
      </w:r>
      <w:r w:rsidR="000535DD" w:rsidRPr="005C53F5">
        <w:rPr>
          <w:rFonts w:ascii="Times New Roman" w:hAnsi="Times New Roman" w:cs="Times New Roman"/>
          <w:sz w:val="24"/>
        </w:rPr>
        <w:t>ФСФР России</w:t>
      </w:r>
    </w:p>
    <w:p w14:paraId="4B0F6814" w14:textId="77777777" w:rsidR="00965E4A" w:rsidRDefault="000535D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 xml:space="preserve">В случае реорганизации ПАО Московская Биржа размещение Облигаций будет осуществляться на организованных торгах организатора торговли, являющегося его правопреемником, в соответствии с законодательством Российской Федерации и внутренними документами, регулирующими деятельность такого организатора торговли. В тех случаях, когда в </w:t>
      </w:r>
      <w:r w:rsidR="0038079C" w:rsidRPr="005C53F5">
        <w:rPr>
          <w:rFonts w:ascii="Times New Roman" w:hAnsi="Times New Roman" w:cs="Times New Roman"/>
          <w:sz w:val="24"/>
        </w:rPr>
        <w:t>Проспекте ценных бумаг</w:t>
      </w:r>
      <w:r w:rsidRPr="005C53F5">
        <w:rPr>
          <w:rFonts w:ascii="Times New Roman" w:hAnsi="Times New Roman" w:cs="Times New Roman"/>
          <w:sz w:val="24"/>
        </w:rPr>
        <w:t xml:space="preserve"> упоминается ПАО Московская Биржа или «Биржа» подразумевается ПАО Московская Биржа или его правопреемник.</w:t>
      </w:r>
    </w:p>
    <w:p w14:paraId="30559CC3" w14:textId="2EF32C43" w:rsidR="002F0CD9" w:rsidRPr="005C53F5" w:rsidRDefault="00965E4A" w:rsidP="00057BE5">
      <w:pPr>
        <w:pStyle w:val="ConsPlusNormal"/>
        <w:ind w:firstLine="709"/>
        <w:jc w:val="both"/>
        <w:rPr>
          <w:rFonts w:ascii="Times New Roman" w:hAnsi="Times New Roman" w:cs="Times New Roman"/>
          <w:sz w:val="24"/>
        </w:rPr>
      </w:pPr>
      <w:r w:rsidRPr="00965E4A">
        <w:rPr>
          <w:rFonts w:ascii="Times New Roman" w:hAnsi="Times New Roman" w:cs="Times New Roman"/>
          <w:sz w:val="24"/>
        </w:rPr>
        <w:t xml:space="preserve">Эмитент предполагает обратиться </w:t>
      </w:r>
      <w:r>
        <w:rPr>
          <w:rFonts w:ascii="Times New Roman" w:hAnsi="Times New Roman" w:cs="Times New Roman"/>
          <w:sz w:val="24"/>
        </w:rPr>
        <w:t>на Биржу</w:t>
      </w:r>
      <w:r w:rsidRPr="00965E4A">
        <w:rPr>
          <w:rFonts w:ascii="Times New Roman" w:hAnsi="Times New Roman" w:cs="Times New Roman"/>
          <w:sz w:val="24"/>
        </w:rPr>
        <w:t xml:space="preserve"> с заявлением о допуске </w:t>
      </w:r>
      <w:r>
        <w:rPr>
          <w:rFonts w:ascii="Times New Roman" w:hAnsi="Times New Roman" w:cs="Times New Roman"/>
          <w:sz w:val="24"/>
        </w:rPr>
        <w:t>Облигаций</w:t>
      </w:r>
      <w:r w:rsidRPr="00965E4A">
        <w:rPr>
          <w:rFonts w:ascii="Times New Roman" w:hAnsi="Times New Roman" w:cs="Times New Roman"/>
          <w:sz w:val="24"/>
        </w:rPr>
        <w:t xml:space="preserve"> к организованным торгам не позднее 31 декабря 2020 года.</w:t>
      </w:r>
    </w:p>
    <w:p w14:paraId="79B3DD44" w14:textId="2FEC5898" w:rsidR="00E659FC" w:rsidRPr="005C53F5" w:rsidRDefault="002F0CD9"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Размещение Облигаций за пределами Российской Федерации предполагается осуществить на AIX</w:t>
      </w:r>
      <w:r w:rsidR="00E659FC" w:rsidRPr="005C53F5">
        <w:rPr>
          <w:rFonts w:ascii="Times New Roman" w:hAnsi="Times New Roman" w:cs="Times New Roman"/>
          <w:sz w:val="24"/>
        </w:rPr>
        <w:t>:</w:t>
      </w:r>
    </w:p>
    <w:p w14:paraId="1F42A007" w14:textId="3CCB42EB" w:rsidR="00E659FC" w:rsidRPr="005C53F5" w:rsidRDefault="004E1EB2" w:rsidP="00057BE5">
      <w:pPr>
        <w:pStyle w:val="ConsPlusNormal"/>
        <w:ind w:firstLine="709"/>
        <w:jc w:val="both"/>
        <w:rPr>
          <w:rFonts w:ascii="Times New Roman" w:hAnsi="Times New Roman" w:cs="Times New Roman"/>
          <w:bCs/>
          <w:iCs/>
          <w:sz w:val="24"/>
          <w:lang w:val="en-US"/>
        </w:rPr>
      </w:pPr>
      <w:r w:rsidRPr="005C53F5">
        <w:rPr>
          <w:rFonts w:ascii="Times New Roman" w:hAnsi="Times New Roman" w:cs="Times New Roman"/>
          <w:i/>
          <w:sz w:val="24"/>
        </w:rPr>
        <w:t>Ф</w:t>
      </w:r>
      <w:r w:rsidR="00E659FC" w:rsidRPr="005C53F5">
        <w:rPr>
          <w:rFonts w:ascii="Times New Roman" w:hAnsi="Times New Roman" w:cs="Times New Roman"/>
          <w:i/>
          <w:sz w:val="24"/>
        </w:rPr>
        <w:t>ирменное</w:t>
      </w:r>
      <w:r w:rsidR="00E659FC" w:rsidRPr="005C53F5">
        <w:rPr>
          <w:rFonts w:ascii="Times New Roman" w:hAnsi="Times New Roman" w:cs="Times New Roman"/>
          <w:i/>
          <w:sz w:val="24"/>
          <w:lang w:val="en-US"/>
        </w:rPr>
        <w:t xml:space="preserve"> </w:t>
      </w:r>
      <w:r w:rsidR="00E659FC" w:rsidRPr="005C53F5">
        <w:rPr>
          <w:rFonts w:ascii="Times New Roman" w:hAnsi="Times New Roman" w:cs="Times New Roman"/>
          <w:i/>
          <w:sz w:val="24"/>
        </w:rPr>
        <w:t>наименование</w:t>
      </w:r>
      <w:r w:rsidR="00E659FC" w:rsidRPr="005C53F5">
        <w:rPr>
          <w:rFonts w:ascii="Times New Roman" w:hAnsi="Times New Roman" w:cs="Times New Roman"/>
          <w:i/>
          <w:sz w:val="24"/>
          <w:lang w:val="en-US"/>
        </w:rPr>
        <w:t xml:space="preserve">: </w:t>
      </w:r>
      <w:r w:rsidR="00E659FC" w:rsidRPr="005C53F5">
        <w:rPr>
          <w:rFonts w:ascii="Times New Roman" w:hAnsi="Times New Roman" w:cs="Times New Roman"/>
          <w:bCs/>
          <w:iCs/>
          <w:sz w:val="24"/>
          <w:lang w:val="en-US"/>
        </w:rPr>
        <w:t>Astana International Exchange Limited</w:t>
      </w:r>
    </w:p>
    <w:p w14:paraId="2FA14451" w14:textId="5FF8D4E0" w:rsidR="004E1EB2" w:rsidRPr="005C53F5" w:rsidRDefault="004E1EB2" w:rsidP="00057BE5">
      <w:pPr>
        <w:pStyle w:val="ConsPlusNormal"/>
        <w:ind w:firstLine="709"/>
        <w:jc w:val="both"/>
        <w:rPr>
          <w:rFonts w:ascii="Times New Roman" w:hAnsi="Times New Roman" w:cs="Times New Roman"/>
          <w:sz w:val="24"/>
        </w:rPr>
      </w:pPr>
      <w:r w:rsidRPr="005C53F5">
        <w:rPr>
          <w:rFonts w:ascii="Times New Roman" w:hAnsi="Times New Roman" w:cs="Times New Roman"/>
          <w:i/>
          <w:sz w:val="24"/>
        </w:rPr>
        <w:t>Бизнес-идентификационный номер:</w:t>
      </w:r>
      <w:r w:rsidRPr="005C53F5">
        <w:rPr>
          <w:rFonts w:ascii="Times New Roman" w:hAnsi="Times New Roman" w:cs="Times New Roman"/>
          <w:bCs/>
          <w:iCs/>
          <w:sz w:val="24"/>
        </w:rPr>
        <w:t xml:space="preserve"> 171140900016</w:t>
      </w:r>
    </w:p>
    <w:p w14:paraId="19F55833" w14:textId="7B2CC86F" w:rsidR="00E659FC" w:rsidRPr="005C53F5" w:rsidRDefault="004E1EB2" w:rsidP="00057BE5">
      <w:pPr>
        <w:pStyle w:val="ConsPlusNormal"/>
        <w:ind w:firstLine="709"/>
        <w:jc w:val="both"/>
        <w:rPr>
          <w:rFonts w:ascii="Times New Roman" w:hAnsi="Times New Roman" w:cs="Times New Roman"/>
          <w:color w:val="000000"/>
          <w:sz w:val="24"/>
          <w:szCs w:val="24"/>
        </w:rPr>
      </w:pPr>
      <w:r w:rsidRPr="005C53F5">
        <w:rPr>
          <w:rFonts w:ascii="Times New Roman" w:hAnsi="Times New Roman" w:cs="Times New Roman"/>
          <w:i/>
          <w:sz w:val="24"/>
        </w:rPr>
        <w:t>Адрес</w:t>
      </w:r>
      <w:r w:rsidR="00E659FC" w:rsidRPr="005C53F5">
        <w:rPr>
          <w:rFonts w:ascii="Times New Roman" w:hAnsi="Times New Roman" w:cs="Times New Roman"/>
          <w:i/>
          <w:sz w:val="24"/>
        </w:rPr>
        <w:t>:</w:t>
      </w:r>
      <w:r w:rsidR="00E659FC" w:rsidRPr="005C53F5">
        <w:rPr>
          <w:rFonts w:ascii="Times New Roman" w:hAnsi="Times New Roman" w:cs="Times New Roman"/>
          <w:color w:val="000000"/>
          <w:sz w:val="24"/>
          <w:szCs w:val="24"/>
          <w:lang w:val="kk-KZ"/>
        </w:rPr>
        <w:t xml:space="preserve"> Республика Казахстан, г. Нур-Султан, проспект Мангилик Ел, д. </w:t>
      </w:r>
      <w:r w:rsidR="00DA1F23" w:rsidRPr="005C53F5">
        <w:rPr>
          <w:rFonts w:ascii="Times New Roman" w:hAnsi="Times New Roman" w:cs="Times New Roman"/>
          <w:color w:val="000000"/>
          <w:sz w:val="24"/>
          <w:szCs w:val="24"/>
          <w:lang w:val="kk-KZ"/>
        </w:rPr>
        <w:t>55/19, блок C </w:t>
      </w:r>
      <w:r w:rsidR="00E659FC" w:rsidRPr="005C53F5">
        <w:rPr>
          <w:rFonts w:ascii="Times New Roman" w:hAnsi="Times New Roman" w:cs="Times New Roman"/>
          <w:color w:val="000000"/>
          <w:sz w:val="24"/>
          <w:szCs w:val="24"/>
          <w:lang w:val="kk-KZ"/>
        </w:rPr>
        <w:t>3.4</w:t>
      </w:r>
      <w:r w:rsidR="00E659FC" w:rsidRPr="005C53F5">
        <w:rPr>
          <w:rFonts w:ascii="Times New Roman" w:hAnsi="Times New Roman" w:cs="Times New Roman"/>
          <w:color w:val="000000"/>
          <w:sz w:val="24"/>
          <w:szCs w:val="24"/>
        </w:rPr>
        <w:t>.</w:t>
      </w:r>
    </w:p>
    <w:p w14:paraId="24684D86" w14:textId="32AFF045" w:rsidR="00E659FC" w:rsidRPr="005C53F5" w:rsidRDefault="00E659F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 xml:space="preserve">Номер лицензии биржи: </w:t>
      </w:r>
      <w:r w:rsidRPr="005C53F5">
        <w:rPr>
          <w:rFonts w:ascii="Times New Roman" w:hAnsi="Times New Roman" w:cs="Times New Roman"/>
          <w:sz w:val="24"/>
        </w:rPr>
        <w:t>042018-001</w:t>
      </w:r>
    </w:p>
    <w:p w14:paraId="5072E652" w14:textId="1C645E8E" w:rsidR="00E659FC" w:rsidRPr="005C53F5" w:rsidRDefault="00E659F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Дата выдачи</w:t>
      </w:r>
      <w:r w:rsidR="00DA1F23" w:rsidRPr="005C53F5">
        <w:rPr>
          <w:rFonts w:ascii="Times New Roman" w:hAnsi="Times New Roman" w:cs="Times New Roman"/>
          <w:i/>
          <w:sz w:val="24"/>
        </w:rPr>
        <w:t xml:space="preserve"> лицензии биржи</w:t>
      </w:r>
      <w:r w:rsidRPr="005C53F5">
        <w:rPr>
          <w:rFonts w:ascii="Times New Roman" w:hAnsi="Times New Roman" w:cs="Times New Roman"/>
          <w:i/>
          <w:sz w:val="24"/>
        </w:rPr>
        <w:t xml:space="preserve">: </w:t>
      </w:r>
      <w:r w:rsidRPr="005C53F5">
        <w:rPr>
          <w:rFonts w:ascii="Times New Roman" w:hAnsi="Times New Roman" w:cs="Times New Roman"/>
          <w:sz w:val="24"/>
        </w:rPr>
        <w:t>19.04.2018</w:t>
      </w:r>
    </w:p>
    <w:p w14:paraId="0A033BBE" w14:textId="190F7AF0" w:rsidR="002F0CD9" w:rsidRPr="005C53F5" w:rsidRDefault="00E659FC" w:rsidP="00057BE5">
      <w:pPr>
        <w:pStyle w:val="ConsPlusNormal"/>
        <w:ind w:firstLine="709"/>
        <w:jc w:val="both"/>
        <w:rPr>
          <w:rFonts w:ascii="Times New Roman" w:hAnsi="Times New Roman" w:cs="Times New Roman"/>
          <w:i/>
          <w:sz w:val="24"/>
        </w:rPr>
      </w:pPr>
      <w:r w:rsidRPr="005C53F5">
        <w:rPr>
          <w:rFonts w:ascii="Times New Roman" w:hAnsi="Times New Roman" w:cs="Times New Roman"/>
          <w:i/>
          <w:sz w:val="24"/>
        </w:rPr>
        <w:t>Орган, выдавший лицензию</w:t>
      </w:r>
      <w:r w:rsidR="00DA1F23" w:rsidRPr="005C53F5">
        <w:rPr>
          <w:rFonts w:ascii="Times New Roman" w:hAnsi="Times New Roman" w:cs="Times New Roman"/>
          <w:i/>
          <w:sz w:val="24"/>
        </w:rPr>
        <w:t xml:space="preserve"> биржи</w:t>
      </w:r>
      <w:r w:rsidRPr="005C53F5">
        <w:rPr>
          <w:rFonts w:ascii="Times New Roman" w:hAnsi="Times New Roman" w:cs="Times New Roman"/>
          <w:i/>
          <w:sz w:val="24"/>
        </w:rPr>
        <w:t xml:space="preserve">: </w:t>
      </w:r>
      <w:r w:rsidRPr="005C53F5">
        <w:rPr>
          <w:rFonts w:ascii="Times New Roman" w:hAnsi="Times New Roman" w:cs="Times New Roman"/>
          <w:sz w:val="24"/>
          <w:lang w:val="en-US"/>
        </w:rPr>
        <w:t>Astana</w:t>
      </w:r>
      <w:r w:rsidRPr="005C53F5">
        <w:rPr>
          <w:rFonts w:ascii="Times New Roman" w:hAnsi="Times New Roman" w:cs="Times New Roman"/>
          <w:sz w:val="24"/>
        </w:rPr>
        <w:t xml:space="preserve"> </w:t>
      </w:r>
      <w:r w:rsidRPr="005C53F5">
        <w:rPr>
          <w:rFonts w:ascii="Times New Roman" w:hAnsi="Times New Roman" w:cs="Times New Roman"/>
          <w:sz w:val="24"/>
          <w:lang w:val="en-US"/>
        </w:rPr>
        <w:t>Financial</w:t>
      </w:r>
      <w:r w:rsidRPr="005C53F5">
        <w:rPr>
          <w:rFonts w:ascii="Times New Roman" w:hAnsi="Times New Roman" w:cs="Times New Roman"/>
          <w:sz w:val="24"/>
        </w:rPr>
        <w:t xml:space="preserve"> </w:t>
      </w:r>
      <w:r w:rsidRPr="005C53F5">
        <w:rPr>
          <w:rFonts w:ascii="Times New Roman" w:hAnsi="Times New Roman" w:cs="Times New Roman"/>
          <w:sz w:val="24"/>
          <w:lang w:val="en-US"/>
        </w:rPr>
        <w:t>Services</w:t>
      </w:r>
      <w:r w:rsidRPr="005C53F5">
        <w:rPr>
          <w:rFonts w:ascii="Times New Roman" w:hAnsi="Times New Roman" w:cs="Times New Roman"/>
          <w:sz w:val="24"/>
        </w:rPr>
        <w:t xml:space="preserve"> </w:t>
      </w:r>
      <w:r w:rsidRPr="005C53F5">
        <w:rPr>
          <w:rFonts w:ascii="Times New Roman" w:hAnsi="Times New Roman" w:cs="Times New Roman"/>
          <w:sz w:val="24"/>
          <w:lang w:val="en-US"/>
        </w:rPr>
        <w:t>Authority</w:t>
      </w:r>
      <w:r w:rsidR="00DA1F23" w:rsidRPr="005C53F5">
        <w:rPr>
          <w:rFonts w:ascii="Times New Roman" w:hAnsi="Times New Roman" w:cs="Times New Roman"/>
          <w:sz w:val="24"/>
        </w:rPr>
        <w:t xml:space="preserve"> (Комитет Международного финансового центра «Астана» по регулированию финансовых услуг)</w:t>
      </w:r>
    </w:p>
    <w:p w14:paraId="2D710202" w14:textId="1303EF32" w:rsidR="00913D4D" w:rsidRDefault="00913D4D" w:rsidP="00057BE5">
      <w:pPr>
        <w:pStyle w:val="ConsPlusNormal"/>
        <w:ind w:firstLine="709"/>
        <w:jc w:val="both"/>
        <w:rPr>
          <w:rFonts w:ascii="Times New Roman" w:hAnsi="Times New Roman" w:cs="Times New Roman"/>
          <w:sz w:val="24"/>
        </w:rPr>
      </w:pPr>
      <w:r w:rsidRPr="005C53F5">
        <w:rPr>
          <w:rFonts w:ascii="Times New Roman" w:hAnsi="Times New Roman" w:cs="Times New Roman"/>
          <w:sz w:val="24"/>
        </w:rPr>
        <w:t>Условия и порядок размещения Облигаций на AIX определяются в соответствии с отдельным документом (Offer Document), который должен быть представлен Эмитентом на AIX, правилами AIX (AIX Business Rules) и применимыми требованиями законодательства Республики Казахстан, включая действующее право Международного финансового центра «Астана».</w:t>
      </w:r>
    </w:p>
    <w:p w14:paraId="1F5C8DF7" w14:textId="209BD3D8" w:rsidR="00965E4A" w:rsidRPr="005C53F5" w:rsidRDefault="00965E4A" w:rsidP="00057BE5">
      <w:pPr>
        <w:pStyle w:val="ConsPlusNormal"/>
        <w:ind w:firstLine="709"/>
        <w:jc w:val="both"/>
        <w:rPr>
          <w:rFonts w:ascii="Times New Roman" w:hAnsi="Times New Roman" w:cs="Times New Roman"/>
          <w:sz w:val="24"/>
        </w:rPr>
      </w:pPr>
      <w:r w:rsidRPr="00965E4A">
        <w:rPr>
          <w:rFonts w:ascii="Times New Roman" w:hAnsi="Times New Roman" w:cs="Times New Roman"/>
          <w:sz w:val="24"/>
        </w:rPr>
        <w:t xml:space="preserve">Эмитент предполагает обратиться </w:t>
      </w:r>
      <w:r>
        <w:rPr>
          <w:rFonts w:ascii="Times New Roman" w:hAnsi="Times New Roman" w:cs="Times New Roman"/>
          <w:sz w:val="24"/>
        </w:rPr>
        <w:t xml:space="preserve">на </w:t>
      </w:r>
      <w:r>
        <w:rPr>
          <w:rFonts w:ascii="Times New Roman" w:hAnsi="Times New Roman" w:cs="Times New Roman"/>
          <w:sz w:val="24"/>
          <w:lang w:val="en-US"/>
        </w:rPr>
        <w:t>AIX</w:t>
      </w:r>
      <w:r w:rsidRPr="00965E4A">
        <w:rPr>
          <w:rFonts w:ascii="Times New Roman" w:hAnsi="Times New Roman" w:cs="Times New Roman"/>
          <w:sz w:val="24"/>
        </w:rPr>
        <w:t xml:space="preserve"> с заявлением о допуске </w:t>
      </w:r>
      <w:r>
        <w:rPr>
          <w:rFonts w:ascii="Times New Roman" w:hAnsi="Times New Roman" w:cs="Times New Roman"/>
          <w:sz w:val="24"/>
        </w:rPr>
        <w:t>Облигаций</w:t>
      </w:r>
      <w:r w:rsidRPr="00965E4A">
        <w:rPr>
          <w:rFonts w:ascii="Times New Roman" w:hAnsi="Times New Roman" w:cs="Times New Roman"/>
          <w:sz w:val="24"/>
        </w:rPr>
        <w:t xml:space="preserve"> к организованным торгам не позднее 31 декабря 2020 года.</w:t>
      </w:r>
    </w:p>
    <w:p w14:paraId="7CF70487" w14:textId="159402ED"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17" w:name="_Toc39616423"/>
      <w:bookmarkStart w:id="518" w:name="_Toc36145662"/>
      <w:r w:rsidRPr="005C53F5">
        <w:rPr>
          <w:rFonts w:ascii="Times New Roman" w:hAnsi="Times New Roman" w:cs="Times New Roman"/>
          <w:b/>
          <w:sz w:val="24"/>
          <w:szCs w:val="24"/>
        </w:rPr>
        <w:t>8.19. Иные сведения о размещаемых ценных бумагах</w:t>
      </w:r>
      <w:bookmarkEnd w:id="517"/>
      <w:bookmarkEnd w:id="518"/>
    </w:p>
    <w:p w14:paraId="2631E67F" w14:textId="2082CD63" w:rsidR="000535DD" w:rsidRPr="005C53F5" w:rsidRDefault="00BF3FF4" w:rsidP="00057BE5">
      <w:pPr>
        <w:pStyle w:val="ConsPlusNormal"/>
        <w:ind w:firstLine="709"/>
        <w:rPr>
          <w:rFonts w:ascii="Times New Roman" w:hAnsi="Times New Roman" w:cs="Times New Roman"/>
          <w:b/>
          <w:sz w:val="24"/>
          <w:szCs w:val="24"/>
        </w:rPr>
      </w:pPr>
      <w:r w:rsidRPr="005C53F5">
        <w:rPr>
          <w:rFonts w:ascii="Times New Roman" w:hAnsi="Times New Roman" w:cs="Times New Roman"/>
          <w:b/>
          <w:sz w:val="24"/>
          <w:szCs w:val="24"/>
        </w:rPr>
        <w:t>8.19.1</w:t>
      </w:r>
      <w:r w:rsidR="000535DD" w:rsidRPr="005C53F5">
        <w:rPr>
          <w:rFonts w:ascii="Times New Roman" w:hAnsi="Times New Roman" w:cs="Times New Roman"/>
          <w:b/>
          <w:sz w:val="24"/>
          <w:szCs w:val="24"/>
        </w:rPr>
        <w:t>. Применимое право</w:t>
      </w:r>
    </w:p>
    <w:p w14:paraId="16685B92" w14:textId="1FB5BCEA" w:rsidR="00B80137" w:rsidRPr="005C53F5" w:rsidRDefault="00B80137"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63646AE1" w14:textId="77777777" w:rsidR="000535DD" w:rsidRPr="005C53F5" w:rsidRDefault="000535DD"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К правоотношениям, вытекающим из Облигаций, в том числе правам и обязанностям Эмитента и владельцев Облигаций, применяется право Российской Федерации, за исключением процедур, связанных с государственным оформлением выпуска Облигаций.</w:t>
      </w:r>
    </w:p>
    <w:p w14:paraId="1E65244A" w14:textId="1E85271A" w:rsidR="000535DD" w:rsidRPr="005C53F5" w:rsidRDefault="00101B32"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В случае изменения применимого законодательства Российской Федерации после утверждения </w:t>
      </w:r>
      <w:r w:rsidR="002E0C41">
        <w:rPr>
          <w:rFonts w:ascii="Times New Roman" w:hAnsi="Times New Roman" w:cs="Times New Roman"/>
          <w:sz w:val="24"/>
          <w:szCs w:val="24"/>
        </w:rPr>
        <w:t>Проспекта ценных бумаг</w:t>
      </w:r>
      <w:r w:rsidRPr="005C53F5">
        <w:rPr>
          <w:rFonts w:ascii="Times New Roman" w:hAnsi="Times New Roman" w:cs="Times New Roman"/>
          <w:sz w:val="24"/>
          <w:szCs w:val="24"/>
        </w:rPr>
        <w:t xml:space="preserve"> положения (требования, условия), закрепленные </w:t>
      </w:r>
      <w:r w:rsidR="002E0C41">
        <w:rPr>
          <w:rFonts w:ascii="Times New Roman" w:hAnsi="Times New Roman" w:cs="Times New Roman"/>
          <w:sz w:val="24"/>
          <w:szCs w:val="24"/>
        </w:rPr>
        <w:t>Проспектом ценных бумаг</w:t>
      </w:r>
      <w:r w:rsidRPr="005C53F5">
        <w:rPr>
          <w:rFonts w:ascii="Times New Roman" w:hAnsi="Times New Roman" w:cs="Times New Roman"/>
          <w:sz w:val="24"/>
          <w:szCs w:val="24"/>
        </w:rPr>
        <w:t>, будут действовать с учетом изменившихся императивных требований применимого законодательства</w:t>
      </w:r>
      <w:r w:rsidR="000535DD" w:rsidRPr="005C53F5">
        <w:rPr>
          <w:rFonts w:ascii="Times New Roman" w:hAnsi="Times New Roman" w:cs="Times New Roman"/>
          <w:sz w:val="24"/>
          <w:szCs w:val="24"/>
        </w:rPr>
        <w:t>.</w:t>
      </w:r>
    </w:p>
    <w:p w14:paraId="292DE999" w14:textId="4A7154CD" w:rsidR="000535DD" w:rsidRPr="005C53F5" w:rsidRDefault="00275963" w:rsidP="00057BE5">
      <w:pPr>
        <w:pStyle w:val="ConsPlusNormal"/>
        <w:ind w:firstLine="709"/>
        <w:rPr>
          <w:rFonts w:ascii="Times New Roman" w:hAnsi="Times New Roman" w:cs="Times New Roman"/>
          <w:b/>
          <w:sz w:val="24"/>
          <w:szCs w:val="24"/>
        </w:rPr>
      </w:pPr>
      <w:r w:rsidRPr="005C53F5">
        <w:rPr>
          <w:rFonts w:ascii="Times New Roman" w:hAnsi="Times New Roman" w:cs="Times New Roman"/>
          <w:b/>
          <w:sz w:val="24"/>
          <w:szCs w:val="24"/>
        </w:rPr>
        <w:t>8.19</w:t>
      </w:r>
      <w:r w:rsidR="000535DD" w:rsidRPr="005C53F5">
        <w:rPr>
          <w:rFonts w:ascii="Times New Roman" w:hAnsi="Times New Roman" w:cs="Times New Roman"/>
          <w:b/>
          <w:sz w:val="24"/>
          <w:szCs w:val="24"/>
        </w:rPr>
        <w:t>.2. Порядок расчеты величины НКД</w:t>
      </w:r>
    </w:p>
    <w:p w14:paraId="1A1D17E7" w14:textId="2163F177" w:rsidR="00B80137" w:rsidRPr="005C53F5" w:rsidRDefault="00B80137"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61676DB1" w14:textId="77777777" w:rsidR="000535DD" w:rsidRPr="005C53F5" w:rsidRDefault="000535DD"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В любой день между датой начала размещения и датой погашения Выпуска величина накопленного купонного дохода (НКД) по Облигации рассчитывается по следующей формуле:</w:t>
      </w:r>
    </w:p>
    <w:p w14:paraId="57E81AB5" w14:textId="6CFE2E42" w:rsidR="000535DD" w:rsidRPr="009D6CC7" w:rsidRDefault="000535DD" w:rsidP="00057BE5">
      <w:pPr>
        <w:pStyle w:val="ConsPlusNormal"/>
        <w:ind w:firstLine="709"/>
        <w:jc w:val="both"/>
        <w:rPr>
          <w:rFonts w:ascii="Times New Roman" w:hAnsi="Times New Roman" w:cs="Times New Roman"/>
          <w:sz w:val="23"/>
          <w:szCs w:val="23"/>
          <w:lang w:val="en-US"/>
        </w:rPr>
      </w:pPr>
      <w:r w:rsidRPr="009D6CC7">
        <w:rPr>
          <w:rFonts w:ascii="Times New Roman" w:hAnsi="Times New Roman" w:cs="Times New Roman"/>
          <w:sz w:val="23"/>
          <w:szCs w:val="23"/>
        </w:rPr>
        <w:t>НКД</w:t>
      </w:r>
      <w:r w:rsidRPr="009D6CC7">
        <w:rPr>
          <w:rFonts w:ascii="Times New Roman" w:hAnsi="Times New Roman" w:cs="Times New Roman"/>
          <w:sz w:val="23"/>
          <w:szCs w:val="23"/>
          <w:lang w:val="en-US"/>
        </w:rPr>
        <w:t xml:space="preserve"> = Ci * Nom * (T </w:t>
      </w:r>
      <w:r w:rsidR="00BF3FF4" w:rsidRPr="009D6CC7">
        <w:rPr>
          <w:rFonts w:ascii="Times New Roman" w:hAnsi="Times New Roman" w:cs="Times New Roman"/>
          <w:sz w:val="23"/>
          <w:szCs w:val="23"/>
          <w:lang w:val="en-US"/>
        </w:rPr>
        <w:t>–</w:t>
      </w:r>
      <w:r w:rsidRPr="009D6CC7">
        <w:rPr>
          <w:rFonts w:ascii="Times New Roman" w:hAnsi="Times New Roman" w:cs="Times New Roman"/>
          <w:sz w:val="23"/>
          <w:szCs w:val="23"/>
          <w:lang w:val="en-US"/>
        </w:rPr>
        <w:t xml:space="preserve"> T</w:t>
      </w:r>
      <w:r w:rsidR="00275963" w:rsidRPr="009D6CC7">
        <w:rPr>
          <w:rFonts w:ascii="Times New Roman" w:hAnsi="Times New Roman" w:cs="Times New Roman"/>
          <w:sz w:val="23"/>
          <w:szCs w:val="23"/>
          <w:lang w:val="en-US"/>
        </w:rPr>
        <w:t xml:space="preserve"> </w:t>
      </w:r>
      <w:r w:rsidRPr="009D6CC7">
        <w:rPr>
          <w:rFonts w:ascii="Times New Roman" w:hAnsi="Times New Roman" w:cs="Times New Roman"/>
          <w:sz w:val="23"/>
          <w:szCs w:val="23"/>
          <w:lang w:val="en-US"/>
        </w:rPr>
        <w:t>(i -1))</w:t>
      </w:r>
      <w:r w:rsidR="00AD6553" w:rsidRPr="009D6CC7">
        <w:rPr>
          <w:rFonts w:ascii="Times New Roman" w:hAnsi="Times New Roman" w:cs="Times New Roman"/>
          <w:sz w:val="23"/>
          <w:szCs w:val="23"/>
          <w:lang w:val="en-US"/>
        </w:rPr>
        <w:t xml:space="preserve"> </w:t>
      </w:r>
      <w:r w:rsidRPr="009D6CC7">
        <w:rPr>
          <w:rFonts w:ascii="Times New Roman" w:hAnsi="Times New Roman" w:cs="Times New Roman"/>
          <w:sz w:val="23"/>
          <w:szCs w:val="23"/>
          <w:lang w:val="en-US"/>
        </w:rPr>
        <w:t>/ 365 / 100%,</w:t>
      </w:r>
    </w:p>
    <w:p w14:paraId="7E5571CF" w14:textId="77777777" w:rsidR="000535DD" w:rsidRPr="009D6CC7" w:rsidRDefault="000535DD" w:rsidP="00057BE5">
      <w:pPr>
        <w:pStyle w:val="ConsPlusNormal"/>
        <w:ind w:firstLine="709"/>
        <w:jc w:val="both"/>
        <w:rPr>
          <w:rFonts w:ascii="Times New Roman" w:hAnsi="Times New Roman" w:cs="Times New Roman"/>
          <w:sz w:val="23"/>
          <w:szCs w:val="23"/>
        </w:rPr>
      </w:pPr>
      <w:r w:rsidRPr="009D6CC7">
        <w:rPr>
          <w:rFonts w:ascii="Times New Roman" w:hAnsi="Times New Roman" w:cs="Times New Roman"/>
          <w:sz w:val="23"/>
          <w:szCs w:val="23"/>
        </w:rPr>
        <w:t>где</w:t>
      </w:r>
    </w:p>
    <w:p w14:paraId="2EFC0D28" w14:textId="77777777" w:rsidR="000535DD" w:rsidRPr="009D6CC7" w:rsidRDefault="000535DD" w:rsidP="00057BE5">
      <w:pPr>
        <w:pStyle w:val="ConsPlusNormal"/>
        <w:ind w:firstLine="709"/>
        <w:jc w:val="both"/>
        <w:rPr>
          <w:rFonts w:ascii="Times New Roman" w:hAnsi="Times New Roman" w:cs="Times New Roman"/>
          <w:sz w:val="23"/>
          <w:szCs w:val="23"/>
        </w:rPr>
      </w:pPr>
      <w:r w:rsidRPr="009D6CC7">
        <w:rPr>
          <w:rFonts w:ascii="Times New Roman" w:hAnsi="Times New Roman" w:cs="Times New Roman"/>
          <w:sz w:val="23"/>
          <w:szCs w:val="23"/>
        </w:rPr>
        <w:t>«i» – порядковый номер купонного периода;</w:t>
      </w:r>
    </w:p>
    <w:p w14:paraId="16919438" w14:textId="77777777" w:rsidR="000535DD" w:rsidRPr="009D6CC7" w:rsidRDefault="000535DD" w:rsidP="00057BE5">
      <w:pPr>
        <w:pStyle w:val="ConsPlusNormal"/>
        <w:ind w:firstLine="709"/>
        <w:jc w:val="both"/>
        <w:rPr>
          <w:rFonts w:ascii="Times New Roman" w:hAnsi="Times New Roman" w:cs="Times New Roman"/>
          <w:sz w:val="23"/>
          <w:szCs w:val="23"/>
        </w:rPr>
      </w:pPr>
      <w:r w:rsidRPr="009D6CC7">
        <w:rPr>
          <w:rFonts w:ascii="Times New Roman" w:hAnsi="Times New Roman" w:cs="Times New Roman"/>
          <w:sz w:val="23"/>
          <w:szCs w:val="23"/>
        </w:rPr>
        <w:t>«НКД» – накопленный купонный доход в валюте, в которой выражена номинальная стоимость Облигации;</w:t>
      </w:r>
    </w:p>
    <w:p w14:paraId="69EFF644" w14:textId="77777777" w:rsidR="000535DD" w:rsidRPr="009D6CC7" w:rsidRDefault="000535DD" w:rsidP="00057BE5">
      <w:pPr>
        <w:pStyle w:val="ConsPlusNormal"/>
        <w:ind w:firstLine="709"/>
        <w:jc w:val="both"/>
        <w:rPr>
          <w:rFonts w:ascii="Times New Roman" w:hAnsi="Times New Roman" w:cs="Times New Roman"/>
          <w:sz w:val="23"/>
          <w:szCs w:val="23"/>
        </w:rPr>
      </w:pPr>
      <w:r w:rsidRPr="009D6CC7">
        <w:rPr>
          <w:rFonts w:ascii="Times New Roman" w:hAnsi="Times New Roman" w:cs="Times New Roman"/>
          <w:sz w:val="23"/>
          <w:szCs w:val="23"/>
        </w:rPr>
        <w:t>«Nom» – номинальная стоимость одной Облигации в валюте, в которой выражена номинальная стоимость Облигации;</w:t>
      </w:r>
    </w:p>
    <w:p w14:paraId="35C78B4F" w14:textId="77777777" w:rsidR="000535DD" w:rsidRPr="009D6CC7" w:rsidRDefault="000535DD" w:rsidP="00057BE5">
      <w:pPr>
        <w:pStyle w:val="ConsPlusNormal"/>
        <w:ind w:firstLine="709"/>
        <w:jc w:val="both"/>
        <w:rPr>
          <w:rFonts w:ascii="Times New Roman" w:hAnsi="Times New Roman" w:cs="Times New Roman"/>
          <w:sz w:val="23"/>
          <w:szCs w:val="23"/>
        </w:rPr>
      </w:pPr>
      <w:r w:rsidRPr="009D6CC7">
        <w:rPr>
          <w:rFonts w:ascii="Times New Roman" w:hAnsi="Times New Roman" w:cs="Times New Roman"/>
          <w:sz w:val="23"/>
          <w:szCs w:val="23"/>
        </w:rPr>
        <w:t>«Ci» – размер процентной ставки i-того купона, в процентах годовых;</w:t>
      </w:r>
    </w:p>
    <w:p w14:paraId="43383229" w14:textId="78CF1556" w:rsidR="000535DD" w:rsidRPr="009D6CC7" w:rsidRDefault="000535DD" w:rsidP="00057BE5">
      <w:pPr>
        <w:pStyle w:val="ConsPlusNormal"/>
        <w:ind w:firstLine="709"/>
        <w:jc w:val="both"/>
        <w:rPr>
          <w:rFonts w:ascii="Times New Roman" w:hAnsi="Times New Roman" w:cs="Times New Roman"/>
          <w:sz w:val="23"/>
          <w:szCs w:val="23"/>
        </w:rPr>
      </w:pPr>
      <w:r w:rsidRPr="009D6CC7">
        <w:rPr>
          <w:rFonts w:ascii="Times New Roman" w:hAnsi="Times New Roman" w:cs="Times New Roman"/>
          <w:sz w:val="23"/>
          <w:szCs w:val="23"/>
        </w:rPr>
        <w:t>«T</w:t>
      </w:r>
      <w:r w:rsidR="00275963" w:rsidRPr="009D6CC7">
        <w:rPr>
          <w:rFonts w:ascii="Times New Roman" w:hAnsi="Times New Roman" w:cs="Times New Roman"/>
          <w:sz w:val="23"/>
          <w:szCs w:val="23"/>
        </w:rPr>
        <w:t xml:space="preserve"> </w:t>
      </w:r>
      <w:r w:rsidRPr="009D6CC7">
        <w:rPr>
          <w:rFonts w:ascii="Times New Roman" w:hAnsi="Times New Roman" w:cs="Times New Roman"/>
          <w:sz w:val="23"/>
          <w:szCs w:val="23"/>
        </w:rPr>
        <w:t>(i -1)» – дата начала i-того купонного периода (для случая первого купонного периода Т (i-1) - это дата начала размещения Облигаций);</w:t>
      </w:r>
    </w:p>
    <w:p w14:paraId="5DE92E47" w14:textId="77777777" w:rsidR="000535DD" w:rsidRPr="009D6CC7" w:rsidRDefault="000535DD" w:rsidP="00057BE5">
      <w:pPr>
        <w:pStyle w:val="ConsPlusNormal"/>
        <w:ind w:firstLine="709"/>
        <w:jc w:val="both"/>
        <w:rPr>
          <w:rFonts w:ascii="Times New Roman" w:hAnsi="Times New Roman" w:cs="Times New Roman"/>
          <w:sz w:val="23"/>
          <w:szCs w:val="23"/>
        </w:rPr>
      </w:pPr>
      <w:r w:rsidRPr="009D6CC7">
        <w:rPr>
          <w:rFonts w:ascii="Times New Roman" w:hAnsi="Times New Roman" w:cs="Times New Roman"/>
          <w:sz w:val="23"/>
          <w:szCs w:val="23"/>
        </w:rPr>
        <w:t>«T» – дата расчета накопленного купонного дохода внутри i-того купонного периода.</w:t>
      </w:r>
    </w:p>
    <w:p w14:paraId="55A13C66" w14:textId="77777777" w:rsidR="000535DD" w:rsidRPr="005C53F5" w:rsidRDefault="000535DD"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НКД рассчитывается с точностью до второго знака после запятой (округление второго знака после запятой производится по правилам математического округления: в случае если третий знак после запятой больше или равен 5, второй знак после запятой увеличивается на единицу, в случае если третий знак после запятой меньше 5, второй знак после запятой не изменяется).</w:t>
      </w:r>
    </w:p>
    <w:p w14:paraId="410C3446" w14:textId="77777777" w:rsidR="00B170CE" w:rsidRPr="005C53F5" w:rsidRDefault="00AD6553" w:rsidP="00057BE5">
      <w:pPr>
        <w:pStyle w:val="ConsPlusNormal"/>
        <w:ind w:firstLine="709"/>
        <w:rPr>
          <w:rFonts w:ascii="Times New Roman" w:hAnsi="Times New Roman" w:cs="Times New Roman"/>
          <w:b/>
          <w:sz w:val="24"/>
          <w:szCs w:val="24"/>
        </w:rPr>
      </w:pPr>
      <w:r w:rsidRPr="005C53F5">
        <w:rPr>
          <w:rFonts w:ascii="Times New Roman" w:hAnsi="Times New Roman" w:cs="Times New Roman"/>
          <w:b/>
          <w:sz w:val="24"/>
          <w:szCs w:val="24"/>
        </w:rPr>
        <w:t>8.19</w:t>
      </w:r>
      <w:r w:rsidR="000535DD" w:rsidRPr="005C53F5">
        <w:rPr>
          <w:rFonts w:ascii="Times New Roman" w:hAnsi="Times New Roman" w:cs="Times New Roman"/>
          <w:b/>
          <w:sz w:val="24"/>
          <w:szCs w:val="24"/>
        </w:rPr>
        <w:t>.3.</w:t>
      </w:r>
      <w:bookmarkStart w:id="519" w:name="_Ref258255816"/>
      <w:r w:rsidR="000535DD" w:rsidRPr="005C53F5">
        <w:rPr>
          <w:rFonts w:ascii="Times New Roman" w:hAnsi="Times New Roman" w:cs="Times New Roman"/>
          <w:b/>
          <w:sz w:val="24"/>
          <w:szCs w:val="24"/>
        </w:rPr>
        <w:t xml:space="preserve"> </w:t>
      </w:r>
      <w:r w:rsidR="00B170CE" w:rsidRPr="005C53F5">
        <w:rPr>
          <w:rFonts w:ascii="Times New Roman" w:hAnsi="Times New Roman" w:cs="Times New Roman"/>
          <w:b/>
          <w:sz w:val="24"/>
          <w:szCs w:val="24"/>
        </w:rPr>
        <w:t>Разрешение споров</w:t>
      </w:r>
    </w:p>
    <w:p w14:paraId="5F9FF576" w14:textId="4924CC28" w:rsidR="00DA4AA6" w:rsidRPr="005C53F5" w:rsidRDefault="00DA4AA6"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
          <w:bCs/>
          <w:sz w:val="24"/>
        </w:rPr>
        <w:t>ДЛЯ ОБЛИГАЦИЙ СЕРИЙ 01-14</w:t>
      </w:r>
    </w:p>
    <w:p w14:paraId="0C3E2D69" w14:textId="15F2CA92" w:rsidR="00B170CE" w:rsidRPr="005C53F5" w:rsidRDefault="00B170CE"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 xml:space="preserve">Все споры между Эмитентом и владельцами Облигаций, связанные с исполнением Условий выпуска подлежат рассмотрению в судах Российской Федерации (арбитражном суде или суде общей юрисдикции) по месту нахождения </w:t>
      </w:r>
      <w:r w:rsidRPr="005C53F5">
        <w:rPr>
          <w:rFonts w:ascii="Times New Roman" w:hAnsi="Times New Roman" w:cs="Times New Roman"/>
          <w:sz w:val="24"/>
          <w:szCs w:val="24"/>
        </w:rPr>
        <w:t>агента по размещению Облигаций, который указан в проспекте Облигаций.</w:t>
      </w:r>
    </w:p>
    <w:p w14:paraId="4860CFAA" w14:textId="77777777" w:rsidR="00B170CE" w:rsidRPr="005C53F5" w:rsidRDefault="00B170CE"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Обязательность соблюдения досудебного порядка урегулирования спора между Эмитентом и владельцами Облигаций не предусматривается.</w:t>
      </w:r>
    </w:p>
    <w:p w14:paraId="450B8147" w14:textId="77777777" w:rsidR="00B170CE" w:rsidRPr="005C53F5" w:rsidRDefault="00B170CE"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В случае неперечисления или перечисления не в полном объеме Эмитентом причитающихся владельцам Облигаций сумм по выплате основного долга по Облигациям и процентов за несвоевременное погашение Облигаций в соответствии с условиями, установленными Условиями выпуска, владельцы Облигаций или уполномоченные ими лица вправе обратиться в суд или арбитражный суд с иском к Эмитенту о взыскании соответствующих сумм.</w:t>
      </w:r>
    </w:p>
    <w:p w14:paraId="656B566F" w14:textId="77777777" w:rsidR="00B170CE" w:rsidRPr="005C53F5" w:rsidRDefault="00B170CE"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Общий срок исковой давности согласно статье 196 Гражданского кодекса Российской Федерации устанавливается в три года. В соответствии со статьей 200 Гражданского кодекса Российской Федерации течение срока исковой давности начинается по окончании срока исполнения обязательств Эмитента.</w:t>
      </w:r>
    </w:p>
    <w:p w14:paraId="61DFD1C4" w14:textId="77777777" w:rsidR="00B170CE" w:rsidRPr="005C53F5" w:rsidRDefault="00B170CE"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 xml:space="preserve">При этом владельцы Облигаций - физические лица могут обратиться в суд общей юрисдикции Российской Федерации, а владельцы Облигаций, являющиеся юридическими лицами и индивидуальными предпринимателями, – в арбитражный суд Российской Федерации. </w:t>
      </w:r>
    </w:p>
    <w:p w14:paraId="627F2631" w14:textId="409877C4" w:rsidR="00B170CE" w:rsidRPr="005C53F5" w:rsidRDefault="00B170CE" w:rsidP="00057BE5">
      <w:pPr>
        <w:pStyle w:val="ConsPlusNormal"/>
        <w:ind w:firstLine="709"/>
        <w:jc w:val="both"/>
        <w:rPr>
          <w:rFonts w:ascii="Times New Roman" w:hAnsi="Times New Roman" w:cs="Times New Roman"/>
          <w:b/>
          <w:sz w:val="24"/>
          <w:szCs w:val="24"/>
        </w:rPr>
      </w:pPr>
      <w:r w:rsidRPr="005C53F5">
        <w:rPr>
          <w:rFonts w:ascii="Times New Roman" w:hAnsi="Times New Roman" w:cs="Times New Roman"/>
          <w:b/>
          <w:sz w:val="24"/>
          <w:szCs w:val="24"/>
        </w:rPr>
        <w:t>8.19.4. Отказ Эмитента от судебных иммунитетов</w:t>
      </w:r>
    </w:p>
    <w:p w14:paraId="45D068D9" w14:textId="355EFA44" w:rsidR="00DA4AA6" w:rsidRPr="005C53F5" w:rsidRDefault="00DA4AA6"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
          <w:bCs/>
          <w:sz w:val="24"/>
        </w:rPr>
        <w:t>ДЛЯ ОБЛИГАЦИЙ СЕРИЙ 01-14</w:t>
      </w:r>
    </w:p>
    <w:p w14:paraId="42E90569" w14:textId="7FDC69B6" w:rsidR="00B170CE" w:rsidRPr="005C53F5" w:rsidRDefault="00B170CE"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 xml:space="preserve">Настоящим Эмитент выражает согласие на рассмотрение споров, связанных с исполнением обязательств Эмитента перед владельцами Облигаций, в судах Российской Федерации. </w:t>
      </w:r>
    </w:p>
    <w:p w14:paraId="00815E4C" w14:textId="77777777" w:rsidR="00B170CE" w:rsidRPr="005C53F5" w:rsidRDefault="00B170CE"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 xml:space="preserve">В отношении любого спора и (или) разбирательства, связанного с исполнением обязательств Эмитента перед владельцами Облигаций по Условиям выпуска, Эмитент настоящим заявляет о неприменимости государственного иммунитета в отношении (i) любого судебного разбирательства или решения суда, (ii) любого исполнительного судебного действия, направленного на реализацию такого решения суда, в том числе обеспечительных мер, и (iii) любого принудительного исполнения такого судебного решения в отношении активов Эмитента. </w:t>
      </w:r>
    </w:p>
    <w:p w14:paraId="2105ED55" w14:textId="7539D5D3" w:rsidR="000F5CC0" w:rsidRPr="006F1976" w:rsidRDefault="000F5CC0" w:rsidP="00057BE5">
      <w:pPr>
        <w:pStyle w:val="ConsPlusNormal"/>
        <w:ind w:firstLine="709"/>
        <w:jc w:val="both"/>
        <w:rPr>
          <w:rFonts w:ascii="Times New Roman" w:hAnsi="Times New Roman" w:cs="Times New Roman"/>
          <w:bCs/>
          <w:iCs/>
          <w:sz w:val="24"/>
          <w:szCs w:val="24"/>
        </w:rPr>
      </w:pPr>
      <w:r w:rsidRPr="006F1976">
        <w:rPr>
          <w:rFonts w:ascii="Times New Roman" w:hAnsi="Times New Roman" w:cs="Times New Roman"/>
          <w:bCs/>
          <w:iCs/>
          <w:sz w:val="24"/>
          <w:szCs w:val="24"/>
        </w:rPr>
        <w:t>Действие государственного иммунитета Эмитента сохраняется в отношении любого имущества Эмитента, которое:</w:t>
      </w:r>
    </w:p>
    <w:p w14:paraId="7B6EA66C" w14:textId="77777777" w:rsidR="000F5CC0" w:rsidRPr="009D6CC7" w:rsidRDefault="000F5CC0" w:rsidP="009D6CC7">
      <w:pPr>
        <w:pStyle w:val="ConsPlusNormal"/>
        <w:numPr>
          <w:ilvl w:val="0"/>
          <w:numId w:val="41"/>
        </w:numPr>
        <w:ind w:left="709" w:hanging="142"/>
        <w:jc w:val="both"/>
        <w:rPr>
          <w:bCs/>
          <w:iCs/>
          <w:sz w:val="23"/>
          <w:szCs w:val="23"/>
        </w:rPr>
      </w:pPr>
      <w:r w:rsidRPr="009D6CC7">
        <w:rPr>
          <w:rFonts w:ascii="Times New Roman" w:hAnsi="Times New Roman" w:cs="Times New Roman"/>
          <w:bCs/>
          <w:iCs/>
          <w:sz w:val="23"/>
          <w:szCs w:val="23"/>
        </w:rPr>
        <w:t>имеет оборонительное, военное или охранное предназначение, или которое находится под контролем агентства, ответственного за национальную оборону Эмитента;</w:t>
      </w:r>
    </w:p>
    <w:p w14:paraId="5EF3878D" w14:textId="77777777" w:rsidR="000F5CC0" w:rsidRPr="009D6CC7" w:rsidRDefault="000F5CC0" w:rsidP="009D6CC7">
      <w:pPr>
        <w:pStyle w:val="ConsPlusNormal"/>
        <w:numPr>
          <w:ilvl w:val="0"/>
          <w:numId w:val="41"/>
        </w:numPr>
        <w:ind w:left="709" w:hanging="142"/>
        <w:jc w:val="both"/>
        <w:rPr>
          <w:bCs/>
          <w:iCs/>
          <w:sz w:val="23"/>
          <w:szCs w:val="23"/>
        </w:rPr>
      </w:pPr>
      <w:r w:rsidRPr="009D6CC7">
        <w:rPr>
          <w:rFonts w:ascii="Times New Roman" w:hAnsi="Times New Roman" w:cs="Times New Roman"/>
          <w:bCs/>
          <w:iCs/>
          <w:sz w:val="23"/>
          <w:szCs w:val="23"/>
        </w:rPr>
        <w:t>используется или специально предназначено для дипломатических или консульских целей Эмитента;</w:t>
      </w:r>
    </w:p>
    <w:p w14:paraId="3FA4120D" w14:textId="77777777" w:rsidR="000F5CC0" w:rsidRPr="009D6CC7" w:rsidRDefault="000F5CC0" w:rsidP="009D6CC7">
      <w:pPr>
        <w:pStyle w:val="ConsPlusNormal"/>
        <w:numPr>
          <w:ilvl w:val="0"/>
          <w:numId w:val="41"/>
        </w:numPr>
        <w:ind w:left="709" w:hanging="142"/>
        <w:jc w:val="both"/>
        <w:rPr>
          <w:bCs/>
          <w:iCs/>
          <w:sz w:val="23"/>
          <w:szCs w:val="23"/>
        </w:rPr>
      </w:pPr>
      <w:r w:rsidRPr="009D6CC7">
        <w:rPr>
          <w:rFonts w:ascii="Times New Roman" w:hAnsi="Times New Roman" w:cs="Times New Roman"/>
          <w:bCs/>
          <w:iCs/>
          <w:sz w:val="23"/>
          <w:szCs w:val="23"/>
        </w:rPr>
        <w:t>используется или специально предназначено для обеспечения общественного здравоохранения, коммунального обслуживания или любых социальных услуг Эмитента;</w:t>
      </w:r>
    </w:p>
    <w:p w14:paraId="145550CC" w14:textId="77777777" w:rsidR="000F5CC0" w:rsidRPr="009D6CC7" w:rsidRDefault="000F5CC0" w:rsidP="009D6CC7">
      <w:pPr>
        <w:pStyle w:val="ConsPlusNormal"/>
        <w:numPr>
          <w:ilvl w:val="0"/>
          <w:numId w:val="41"/>
        </w:numPr>
        <w:ind w:left="709" w:hanging="142"/>
        <w:jc w:val="both"/>
        <w:rPr>
          <w:bCs/>
          <w:iCs/>
          <w:sz w:val="23"/>
          <w:szCs w:val="23"/>
        </w:rPr>
      </w:pPr>
      <w:r w:rsidRPr="009D6CC7">
        <w:rPr>
          <w:rFonts w:ascii="Times New Roman" w:hAnsi="Times New Roman" w:cs="Times New Roman"/>
          <w:bCs/>
          <w:iCs/>
          <w:sz w:val="23"/>
          <w:szCs w:val="23"/>
        </w:rPr>
        <w:t>является частью культурного наследия Эмитента или имеет особое культурное или историческое значение для народа Эмитента или любой этнической группы в Республике Казахстан и не выставлено или не предназначено для выставления на продажу; и</w:t>
      </w:r>
    </w:p>
    <w:p w14:paraId="5EDB490A" w14:textId="1F4405DA" w:rsidR="000F5CC0" w:rsidRPr="009D6CC7" w:rsidRDefault="000F5CC0" w:rsidP="009D6CC7">
      <w:pPr>
        <w:pStyle w:val="ConsPlusNormal"/>
        <w:numPr>
          <w:ilvl w:val="0"/>
          <w:numId w:val="41"/>
        </w:numPr>
        <w:ind w:left="709" w:hanging="142"/>
        <w:jc w:val="both"/>
        <w:rPr>
          <w:rFonts w:ascii="Times New Roman" w:hAnsi="Times New Roman" w:cs="Times New Roman"/>
          <w:color w:val="000000"/>
          <w:spacing w:val="2"/>
          <w:sz w:val="23"/>
          <w:szCs w:val="23"/>
          <w:shd w:val="clear" w:color="auto" w:fill="FFFFFF"/>
        </w:rPr>
      </w:pPr>
      <w:r w:rsidRPr="009D6CC7">
        <w:rPr>
          <w:rFonts w:ascii="Times New Roman" w:hAnsi="Times New Roman" w:cs="Times New Roman"/>
          <w:bCs/>
          <w:iCs/>
          <w:sz w:val="23"/>
          <w:szCs w:val="23"/>
        </w:rPr>
        <w:t>принадлежит или находится в доверительном управлении (управлении инвестициями) Национального Банка Республики Казахстан.</w:t>
      </w:r>
    </w:p>
    <w:p w14:paraId="2596F065" w14:textId="5D4F7623" w:rsidR="000535DD" w:rsidRPr="005C53F5" w:rsidRDefault="00B170CE" w:rsidP="00057BE5">
      <w:pPr>
        <w:pStyle w:val="ConsPlusNormal"/>
        <w:ind w:firstLine="709"/>
        <w:jc w:val="both"/>
        <w:rPr>
          <w:rFonts w:ascii="Times New Roman" w:hAnsi="Times New Roman" w:cs="Times New Roman"/>
          <w:b/>
          <w:sz w:val="24"/>
          <w:szCs w:val="24"/>
        </w:rPr>
      </w:pPr>
      <w:r w:rsidRPr="005C53F5">
        <w:rPr>
          <w:rFonts w:ascii="Times New Roman" w:hAnsi="Times New Roman" w:cs="Times New Roman"/>
          <w:b/>
          <w:sz w:val="24"/>
          <w:szCs w:val="24"/>
        </w:rPr>
        <w:t xml:space="preserve">8.19.5. </w:t>
      </w:r>
      <w:r w:rsidR="000535DD" w:rsidRPr="005C53F5">
        <w:rPr>
          <w:rFonts w:ascii="Times New Roman" w:hAnsi="Times New Roman" w:cs="Times New Roman"/>
          <w:b/>
          <w:sz w:val="24"/>
          <w:szCs w:val="24"/>
        </w:rPr>
        <w:t>Сведения о действиях владельцев Облигаций и порядке раскрытия информации в случае дефолта по Облигациям</w:t>
      </w:r>
      <w:bookmarkEnd w:id="519"/>
    </w:p>
    <w:p w14:paraId="1233278B" w14:textId="1778AAF8" w:rsidR="00B80137" w:rsidRPr="005C53F5" w:rsidRDefault="00B80137"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4876AB17" w14:textId="77777777" w:rsidR="00E218EE" w:rsidRPr="005C53F5" w:rsidRDefault="00E218EE"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В соответствии с Условиями выпуска Эмитент обязан возвратить владельцам Облигаций при погашении Облигаций их номинальную стоимость и выплатить купонный доход по Облигациям в срок и в порядке, предусмотренные Условиями выпуска.</w:t>
      </w:r>
    </w:p>
    <w:p w14:paraId="0B8E7863" w14:textId="77777777" w:rsidR="00E218EE" w:rsidRPr="005C53F5" w:rsidRDefault="00E218EE"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Неисполнение обязательств Эмитента по Облигациям является существенным нарушением условий заключенного договора займа (далее – «</w:t>
      </w:r>
      <w:r w:rsidRPr="005C53F5">
        <w:rPr>
          <w:rFonts w:ascii="Times New Roman" w:hAnsi="Times New Roman" w:cs="Times New Roman"/>
          <w:b/>
          <w:bCs/>
          <w:iCs/>
          <w:sz w:val="24"/>
          <w:szCs w:val="24"/>
        </w:rPr>
        <w:t>дефолт</w:t>
      </w:r>
      <w:r w:rsidRPr="005C53F5">
        <w:rPr>
          <w:rFonts w:ascii="Times New Roman" w:hAnsi="Times New Roman" w:cs="Times New Roman"/>
          <w:bCs/>
          <w:iCs/>
          <w:sz w:val="24"/>
          <w:szCs w:val="24"/>
        </w:rPr>
        <w:t xml:space="preserve">») в случае: </w:t>
      </w:r>
    </w:p>
    <w:p w14:paraId="73AD1812" w14:textId="77777777" w:rsidR="00E218EE" w:rsidRPr="005C53F5" w:rsidRDefault="00E218EE" w:rsidP="00057BE5">
      <w:pPr>
        <w:pStyle w:val="ConsPlusNormal"/>
        <w:numPr>
          <w:ilvl w:val="0"/>
          <w:numId w:val="20"/>
        </w:numPr>
        <w:jc w:val="both"/>
        <w:rPr>
          <w:rFonts w:ascii="Times New Roman" w:hAnsi="Times New Roman" w:cs="Times New Roman"/>
          <w:bCs/>
          <w:iCs/>
          <w:sz w:val="24"/>
          <w:szCs w:val="24"/>
        </w:rPr>
      </w:pPr>
      <w:r w:rsidRPr="005C53F5">
        <w:rPr>
          <w:rFonts w:ascii="Times New Roman" w:hAnsi="Times New Roman" w:cs="Times New Roman"/>
          <w:bCs/>
          <w:iCs/>
          <w:sz w:val="24"/>
          <w:szCs w:val="24"/>
        </w:rPr>
        <w:t>просрочки исполнения обязательства по выплате купонного дохода по Облигациям в порядке и сроки, указанные в Условиях выпуска, на срок более 10 (десяти) рабочих дней или отказа от исполнения указанного обязательства;</w:t>
      </w:r>
    </w:p>
    <w:p w14:paraId="52816DE3" w14:textId="77777777" w:rsidR="00E218EE" w:rsidRPr="005C53F5" w:rsidRDefault="00E218EE" w:rsidP="00057BE5">
      <w:pPr>
        <w:pStyle w:val="ConsPlusNormal"/>
        <w:numPr>
          <w:ilvl w:val="0"/>
          <w:numId w:val="20"/>
        </w:numPr>
        <w:jc w:val="both"/>
        <w:rPr>
          <w:rFonts w:ascii="Times New Roman" w:hAnsi="Times New Roman" w:cs="Times New Roman"/>
          <w:bCs/>
          <w:iCs/>
          <w:sz w:val="24"/>
          <w:szCs w:val="24"/>
        </w:rPr>
      </w:pPr>
      <w:r w:rsidRPr="005C53F5">
        <w:rPr>
          <w:rFonts w:ascii="Times New Roman" w:hAnsi="Times New Roman" w:cs="Times New Roman"/>
          <w:bCs/>
          <w:iCs/>
          <w:sz w:val="24"/>
          <w:szCs w:val="24"/>
        </w:rPr>
        <w:t xml:space="preserve">просрочки исполнения обязательства по выплате номинальной стоимости по Облигациям в порядке и сроки, указанные в Условиях выпуска, на срок более 10 (десяти) рабочих дней или отказа от исполнения указанного обязательства. </w:t>
      </w:r>
    </w:p>
    <w:p w14:paraId="4A618757" w14:textId="77777777" w:rsidR="00E218EE" w:rsidRPr="005C53F5" w:rsidRDefault="00E218EE"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Исполнение соответствующих обязательств с просрочкой, однако в течение указанных в настоящем пункте сроков, составляет «</w:t>
      </w:r>
      <w:r w:rsidRPr="005C53F5">
        <w:rPr>
          <w:rFonts w:ascii="Times New Roman" w:hAnsi="Times New Roman" w:cs="Times New Roman"/>
          <w:b/>
          <w:bCs/>
          <w:iCs/>
          <w:sz w:val="24"/>
          <w:szCs w:val="24"/>
        </w:rPr>
        <w:t>технический дефолт</w:t>
      </w:r>
      <w:r w:rsidRPr="005C53F5">
        <w:rPr>
          <w:rFonts w:ascii="Times New Roman" w:hAnsi="Times New Roman" w:cs="Times New Roman"/>
          <w:bCs/>
          <w:iCs/>
          <w:sz w:val="24"/>
          <w:szCs w:val="24"/>
        </w:rPr>
        <w:t>».</w:t>
      </w:r>
    </w:p>
    <w:p w14:paraId="1A91E156" w14:textId="77777777" w:rsidR="00E218EE" w:rsidRPr="005C53F5" w:rsidRDefault="00E218EE"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В случае наступления дефолта или технического дефолта Эмитента по Облигациям владельцы Облигаций, уполномоченные ими лица вправе обратиться к Эмитенту с требованием выплатить:</w:t>
      </w:r>
    </w:p>
    <w:p w14:paraId="697E53B7" w14:textId="77777777" w:rsidR="00E218EE" w:rsidRPr="005C53F5" w:rsidRDefault="00E218EE" w:rsidP="00057BE5">
      <w:pPr>
        <w:pStyle w:val="ConsPlusNormal"/>
        <w:numPr>
          <w:ilvl w:val="0"/>
          <w:numId w:val="21"/>
        </w:numPr>
        <w:jc w:val="both"/>
        <w:rPr>
          <w:rFonts w:ascii="Times New Roman" w:hAnsi="Times New Roman" w:cs="Times New Roman"/>
          <w:bCs/>
          <w:iCs/>
          <w:sz w:val="24"/>
          <w:szCs w:val="24"/>
        </w:rPr>
      </w:pPr>
      <w:r w:rsidRPr="005C53F5">
        <w:rPr>
          <w:rFonts w:ascii="Times New Roman" w:hAnsi="Times New Roman" w:cs="Times New Roman"/>
          <w:bCs/>
          <w:iCs/>
          <w:sz w:val="24"/>
          <w:szCs w:val="24"/>
        </w:rPr>
        <w:t>в случае дефолта – номинальную стоимость Облигации и (или) выплатить предусмотренный ею доход, а также уплатить проценты за несвоевременное погашение Облигаций и (или) выплату доходов (проценты за пользование чужими денежными средствами), исходя из размера ключевой ставки Банка России, установленной на дату осуществления соответствующих выплат;</w:t>
      </w:r>
    </w:p>
    <w:p w14:paraId="2E5E8B84" w14:textId="77777777" w:rsidR="00E218EE" w:rsidRPr="005C53F5" w:rsidRDefault="00E218EE" w:rsidP="00057BE5">
      <w:pPr>
        <w:pStyle w:val="ConsPlusNormal"/>
        <w:numPr>
          <w:ilvl w:val="0"/>
          <w:numId w:val="21"/>
        </w:numPr>
        <w:jc w:val="both"/>
        <w:rPr>
          <w:rFonts w:ascii="Times New Roman" w:hAnsi="Times New Roman" w:cs="Times New Roman"/>
          <w:bCs/>
          <w:iCs/>
          <w:sz w:val="24"/>
          <w:szCs w:val="24"/>
        </w:rPr>
      </w:pPr>
      <w:r w:rsidRPr="005C53F5">
        <w:rPr>
          <w:rFonts w:ascii="Times New Roman" w:hAnsi="Times New Roman" w:cs="Times New Roman"/>
          <w:bCs/>
          <w:iCs/>
          <w:sz w:val="24"/>
          <w:szCs w:val="24"/>
        </w:rPr>
        <w:t>в случае технического дефолта – проценты за несвоевременное исполнение обязательств по Облигациям (проценты за пользование чужими денежными средствами), исходя из размера ключевой ставки Банка России, установленной на дату осуществления соответствующих выплат.</w:t>
      </w:r>
    </w:p>
    <w:p w14:paraId="7C1B2057" w14:textId="77777777" w:rsidR="00E218EE" w:rsidRPr="005C53F5" w:rsidRDefault="00E218EE"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В случае просрочки исполнения Эмитентом соответствующих обязательств по Облигациям Эмитент обязан уплатить проценты за несвоевременное погашение Облигаций и (или) выплату доходов по ним (проценты за пользование чужими денежными средствами), исходя из размера ключевой ставки Банка России, установленной на дату осуществления соответствующих выплат.</w:t>
      </w:r>
    </w:p>
    <w:p w14:paraId="5DA88E51" w14:textId="483D14B5" w:rsidR="00B170CE" w:rsidRPr="005C53F5" w:rsidRDefault="00E218EE"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Сообщение о дефолте (техническим дефолте) Эмитента перед владельцами Облигаций осуществляется Эмитентом в порядке, установленном в пункте 8.11 Проспекта ценных бумаг.</w:t>
      </w:r>
    </w:p>
    <w:p w14:paraId="09DE82E6" w14:textId="25BC0659" w:rsidR="000535DD" w:rsidRPr="005C53F5" w:rsidRDefault="00B85ED9" w:rsidP="00057BE5">
      <w:pPr>
        <w:pStyle w:val="ConsPlusNormal"/>
        <w:ind w:firstLine="709"/>
        <w:jc w:val="both"/>
        <w:rPr>
          <w:rFonts w:ascii="Times New Roman" w:hAnsi="Times New Roman" w:cs="Times New Roman"/>
          <w:b/>
          <w:sz w:val="24"/>
          <w:szCs w:val="24"/>
        </w:rPr>
      </w:pPr>
      <w:r w:rsidRPr="005C53F5">
        <w:rPr>
          <w:rFonts w:ascii="Times New Roman" w:hAnsi="Times New Roman" w:cs="Times New Roman"/>
          <w:b/>
          <w:sz w:val="24"/>
          <w:szCs w:val="24"/>
        </w:rPr>
        <w:t>8.</w:t>
      </w:r>
      <w:r w:rsidR="00B60AEC" w:rsidRPr="005C53F5">
        <w:rPr>
          <w:rFonts w:ascii="Times New Roman" w:hAnsi="Times New Roman" w:cs="Times New Roman"/>
          <w:b/>
          <w:sz w:val="24"/>
          <w:szCs w:val="24"/>
        </w:rPr>
        <w:t>19</w:t>
      </w:r>
      <w:r w:rsidR="00E218EE" w:rsidRPr="005C53F5">
        <w:rPr>
          <w:rFonts w:ascii="Times New Roman" w:hAnsi="Times New Roman" w:cs="Times New Roman"/>
          <w:b/>
          <w:sz w:val="24"/>
          <w:szCs w:val="24"/>
        </w:rPr>
        <w:t>.6</w:t>
      </w:r>
      <w:r w:rsidR="000535DD" w:rsidRPr="005C53F5">
        <w:rPr>
          <w:rFonts w:ascii="Times New Roman" w:hAnsi="Times New Roman" w:cs="Times New Roman"/>
          <w:b/>
          <w:sz w:val="24"/>
          <w:szCs w:val="24"/>
        </w:rPr>
        <w:t>. Порядок возврата средств, переданных в оплату Облигаций, в случае признания недействительной регистрации проспекта Облигаций и (или) признания выпуска Облигаций несостоявшимся или недействительным, а также в любых иных случаях запрета (запрещения), отзыва, отмены выпуска Облигаций</w:t>
      </w:r>
    </w:p>
    <w:p w14:paraId="0B43A066" w14:textId="3BE693F4" w:rsidR="00B80137" w:rsidRPr="005C53F5" w:rsidRDefault="00B80137"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475E933B" w14:textId="1FD6B2AC" w:rsidR="00B85ED9" w:rsidRPr="005C53F5" w:rsidRDefault="00EA01BF" w:rsidP="00057BE5">
      <w:pPr>
        <w:pStyle w:val="ConsPlusNormal"/>
        <w:ind w:left="709"/>
        <w:jc w:val="both"/>
        <w:rPr>
          <w:rFonts w:ascii="Times New Roman" w:hAnsi="Times New Roman" w:cs="Times New Roman"/>
          <w:bCs/>
          <w:i/>
          <w:iCs/>
          <w:sz w:val="24"/>
          <w:szCs w:val="24"/>
        </w:rPr>
      </w:pPr>
      <w:r w:rsidRPr="005C53F5">
        <w:rPr>
          <w:rFonts w:ascii="Times New Roman" w:hAnsi="Times New Roman" w:cs="Times New Roman"/>
          <w:bCs/>
          <w:iCs/>
          <w:sz w:val="24"/>
          <w:szCs w:val="24"/>
        </w:rPr>
        <w:t>8.19.6</w:t>
      </w:r>
      <w:r w:rsidR="00B60AEC" w:rsidRPr="005C53F5">
        <w:rPr>
          <w:rFonts w:ascii="Times New Roman" w:hAnsi="Times New Roman" w:cs="Times New Roman"/>
          <w:bCs/>
          <w:iCs/>
          <w:sz w:val="24"/>
          <w:szCs w:val="24"/>
        </w:rPr>
        <w:t>.1</w:t>
      </w:r>
      <w:r w:rsidR="00B60AEC" w:rsidRPr="005C53F5">
        <w:rPr>
          <w:rFonts w:ascii="Times New Roman" w:hAnsi="Times New Roman" w:cs="Times New Roman"/>
          <w:bCs/>
          <w:i/>
          <w:iCs/>
          <w:sz w:val="24"/>
          <w:szCs w:val="24"/>
        </w:rPr>
        <w:t xml:space="preserve"> </w:t>
      </w:r>
      <w:r w:rsidR="00B85ED9" w:rsidRPr="005C53F5">
        <w:rPr>
          <w:rFonts w:ascii="Times New Roman" w:hAnsi="Times New Roman" w:cs="Times New Roman"/>
          <w:bCs/>
          <w:i/>
          <w:iCs/>
          <w:sz w:val="24"/>
          <w:szCs w:val="24"/>
        </w:rPr>
        <w:t>Общие положения</w:t>
      </w:r>
    </w:p>
    <w:p w14:paraId="1243235D" w14:textId="77777777" w:rsidR="00B85ED9" w:rsidRPr="005C53F5" w:rsidRDefault="00B85ED9"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В случае признания недействительной регистрации проспекта Облигаций и (или) признания Выпуска несостоявшимся или недействительным, а также в любых иных случаях запрета (запрещения), отзыва, отмены Выпуска, Эмитент обязан обеспечить изъятие Облигаций из обращения и возврат владельцам Облигаций средств инвестирования, которые включают в себя:</w:t>
      </w:r>
    </w:p>
    <w:p w14:paraId="34B073F6" w14:textId="77777777" w:rsidR="00B85ED9" w:rsidRPr="005C53F5" w:rsidRDefault="00B85ED9" w:rsidP="00057BE5">
      <w:pPr>
        <w:pStyle w:val="ConsPlusNormal"/>
        <w:numPr>
          <w:ilvl w:val="0"/>
          <w:numId w:val="22"/>
        </w:numPr>
        <w:jc w:val="both"/>
        <w:rPr>
          <w:rFonts w:ascii="Times New Roman" w:hAnsi="Times New Roman" w:cs="Times New Roman"/>
          <w:bCs/>
          <w:iCs/>
          <w:sz w:val="24"/>
          <w:szCs w:val="24"/>
        </w:rPr>
      </w:pPr>
      <w:r w:rsidRPr="005C53F5">
        <w:rPr>
          <w:rFonts w:ascii="Times New Roman" w:hAnsi="Times New Roman" w:cs="Times New Roman"/>
          <w:bCs/>
          <w:iCs/>
          <w:sz w:val="24"/>
          <w:szCs w:val="24"/>
        </w:rPr>
        <w:t>денежные средства, фактически переданные владельцами Облигаций в качестве оплаты данных Облигаций (основной долг);</w:t>
      </w:r>
    </w:p>
    <w:p w14:paraId="705D81A6" w14:textId="77777777" w:rsidR="00B85ED9" w:rsidRPr="005C53F5" w:rsidRDefault="00B85ED9" w:rsidP="00057BE5">
      <w:pPr>
        <w:pStyle w:val="ConsPlusNormal"/>
        <w:numPr>
          <w:ilvl w:val="0"/>
          <w:numId w:val="22"/>
        </w:numPr>
        <w:jc w:val="both"/>
        <w:rPr>
          <w:rFonts w:ascii="Times New Roman" w:hAnsi="Times New Roman" w:cs="Times New Roman"/>
          <w:bCs/>
          <w:iCs/>
          <w:sz w:val="24"/>
          <w:szCs w:val="24"/>
        </w:rPr>
      </w:pPr>
      <w:r w:rsidRPr="005C53F5">
        <w:rPr>
          <w:rFonts w:ascii="Times New Roman" w:hAnsi="Times New Roman" w:cs="Times New Roman"/>
          <w:bCs/>
          <w:iCs/>
          <w:sz w:val="24"/>
          <w:szCs w:val="24"/>
        </w:rPr>
        <w:t>проценты за пользование денежными средствами с даты оплаты Облигаций до даты возврата основного долга по ставке, равной процентной ставке по первому купону, за вычетом фактически уплаченных Эмитентом денежных средств.</w:t>
      </w:r>
    </w:p>
    <w:p w14:paraId="4E43C2FA" w14:textId="7FC0E7A5" w:rsidR="00B85ED9" w:rsidRPr="005C53F5" w:rsidRDefault="00EA01BF" w:rsidP="00057BE5">
      <w:pPr>
        <w:pStyle w:val="ConsPlusNormal"/>
        <w:ind w:left="709"/>
        <w:jc w:val="both"/>
        <w:rPr>
          <w:rFonts w:ascii="Times New Roman" w:hAnsi="Times New Roman" w:cs="Times New Roman"/>
          <w:bCs/>
          <w:i/>
          <w:iCs/>
          <w:sz w:val="24"/>
          <w:szCs w:val="24"/>
        </w:rPr>
      </w:pPr>
      <w:r w:rsidRPr="005C53F5">
        <w:rPr>
          <w:rFonts w:ascii="Times New Roman" w:hAnsi="Times New Roman" w:cs="Times New Roman"/>
          <w:bCs/>
          <w:iCs/>
          <w:sz w:val="24"/>
          <w:szCs w:val="24"/>
        </w:rPr>
        <w:t>8.19.6</w:t>
      </w:r>
      <w:r w:rsidR="00B60AEC" w:rsidRPr="005C53F5">
        <w:rPr>
          <w:rFonts w:ascii="Times New Roman" w:hAnsi="Times New Roman" w:cs="Times New Roman"/>
          <w:bCs/>
          <w:iCs/>
          <w:sz w:val="24"/>
          <w:szCs w:val="24"/>
        </w:rPr>
        <w:t xml:space="preserve">.2. </w:t>
      </w:r>
      <w:r w:rsidR="00B85ED9" w:rsidRPr="005C53F5">
        <w:rPr>
          <w:rFonts w:ascii="Times New Roman" w:hAnsi="Times New Roman" w:cs="Times New Roman"/>
          <w:bCs/>
          <w:i/>
          <w:iCs/>
          <w:sz w:val="24"/>
          <w:szCs w:val="24"/>
        </w:rPr>
        <w:t>Раскрытие информации</w:t>
      </w:r>
    </w:p>
    <w:p w14:paraId="189BCC76" w14:textId="21EABF0F" w:rsidR="00B85ED9" w:rsidRPr="005C53F5" w:rsidRDefault="00EA01BF"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8.19.6</w:t>
      </w:r>
      <w:r w:rsidR="00B60AEC" w:rsidRPr="005C53F5">
        <w:rPr>
          <w:rFonts w:ascii="Times New Roman" w:hAnsi="Times New Roman" w:cs="Times New Roman"/>
          <w:bCs/>
          <w:iCs/>
          <w:sz w:val="24"/>
          <w:szCs w:val="24"/>
        </w:rPr>
        <w:t xml:space="preserve">.2.1. </w:t>
      </w:r>
      <w:r w:rsidR="00B85ED9" w:rsidRPr="005C53F5">
        <w:rPr>
          <w:rFonts w:ascii="Times New Roman" w:hAnsi="Times New Roman" w:cs="Times New Roman"/>
          <w:bCs/>
          <w:iCs/>
          <w:sz w:val="24"/>
          <w:szCs w:val="24"/>
        </w:rPr>
        <w:t>Информация о признании Выпуска несостоявшимся, недействительным, запрещенным, отозванным или отмененным любым иным образом подлежит опубликованию Эмитентом с даты наступления соответствующего основания или, если применимо, с даты вступления в законную силу решения суда (далее – «</w:t>
      </w:r>
      <w:r w:rsidR="00B85ED9" w:rsidRPr="005C53F5">
        <w:rPr>
          <w:rFonts w:ascii="Times New Roman" w:hAnsi="Times New Roman" w:cs="Times New Roman"/>
          <w:b/>
          <w:bCs/>
          <w:iCs/>
          <w:sz w:val="24"/>
          <w:szCs w:val="24"/>
        </w:rPr>
        <w:t>Дата признания выпуска Облигаций несостоявшимся, недействительным, запрещенным, отозванным или отмененным любым иным образом</w:t>
      </w:r>
      <w:r w:rsidR="00B85ED9" w:rsidRPr="005C53F5">
        <w:rPr>
          <w:rFonts w:ascii="Times New Roman" w:hAnsi="Times New Roman" w:cs="Times New Roman"/>
          <w:bCs/>
          <w:iCs/>
          <w:sz w:val="24"/>
          <w:szCs w:val="24"/>
        </w:rPr>
        <w:t>»):</w:t>
      </w:r>
    </w:p>
    <w:p w14:paraId="2BFF83F7" w14:textId="77777777" w:rsidR="00B85ED9" w:rsidRPr="005C53F5" w:rsidRDefault="00B85ED9" w:rsidP="00057BE5">
      <w:pPr>
        <w:pStyle w:val="ConsPlusNormal"/>
        <w:numPr>
          <w:ilvl w:val="0"/>
          <w:numId w:val="23"/>
        </w:numPr>
        <w:jc w:val="both"/>
        <w:rPr>
          <w:rFonts w:ascii="Times New Roman" w:hAnsi="Times New Roman" w:cs="Times New Roman"/>
          <w:bCs/>
          <w:iCs/>
          <w:sz w:val="24"/>
          <w:szCs w:val="24"/>
        </w:rPr>
      </w:pPr>
      <w:r w:rsidRPr="005C53F5">
        <w:rPr>
          <w:rFonts w:ascii="Times New Roman" w:hAnsi="Times New Roman" w:cs="Times New Roman"/>
          <w:bCs/>
          <w:iCs/>
          <w:sz w:val="24"/>
          <w:szCs w:val="24"/>
        </w:rPr>
        <w:t>в Ленте новостей – не позднее 1 (одного) дня;</w:t>
      </w:r>
    </w:p>
    <w:p w14:paraId="04765DF2" w14:textId="77777777" w:rsidR="00B85ED9" w:rsidRPr="005C53F5" w:rsidRDefault="00B85ED9" w:rsidP="00057BE5">
      <w:pPr>
        <w:pStyle w:val="ConsPlusNormal"/>
        <w:numPr>
          <w:ilvl w:val="0"/>
          <w:numId w:val="23"/>
        </w:numPr>
        <w:jc w:val="both"/>
        <w:rPr>
          <w:rFonts w:ascii="Times New Roman" w:hAnsi="Times New Roman" w:cs="Times New Roman"/>
          <w:bCs/>
          <w:iCs/>
          <w:sz w:val="24"/>
          <w:szCs w:val="24"/>
        </w:rPr>
      </w:pPr>
      <w:r w:rsidRPr="005C53F5">
        <w:rPr>
          <w:rFonts w:ascii="Times New Roman" w:hAnsi="Times New Roman" w:cs="Times New Roman"/>
          <w:bCs/>
          <w:iCs/>
          <w:sz w:val="24"/>
          <w:szCs w:val="24"/>
        </w:rPr>
        <w:t>на Странице в сети Интернет– не позднее 2 (двух) дней.</w:t>
      </w:r>
    </w:p>
    <w:p w14:paraId="4BFEBDC4" w14:textId="4F6C5707" w:rsidR="00B85ED9" w:rsidRPr="005C53F5" w:rsidRDefault="00EA01BF"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8.19.6</w:t>
      </w:r>
      <w:r w:rsidR="00B60AEC" w:rsidRPr="005C53F5">
        <w:rPr>
          <w:rFonts w:ascii="Times New Roman" w:hAnsi="Times New Roman" w:cs="Times New Roman"/>
          <w:bCs/>
          <w:iCs/>
          <w:sz w:val="24"/>
          <w:szCs w:val="24"/>
        </w:rPr>
        <w:t>.2.2</w:t>
      </w:r>
      <w:r w:rsidR="00B85ED9" w:rsidRPr="005C53F5">
        <w:rPr>
          <w:rFonts w:ascii="Times New Roman" w:hAnsi="Times New Roman" w:cs="Times New Roman"/>
          <w:bCs/>
          <w:iCs/>
          <w:sz w:val="24"/>
          <w:szCs w:val="24"/>
        </w:rPr>
        <w:t xml:space="preserve">. Информация о признании недействительной регистрации проспекта ценных бумаг подлежит опубликованию в сроки, указанные в пункте </w:t>
      </w:r>
      <w:r w:rsidRPr="005C53F5">
        <w:rPr>
          <w:rFonts w:ascii="Times New Roman" w:hAnsi="Times New Roman" w:cs="Times New Roman"/>
          <w:bCs/>
          <w:iCs/>
          <w:sz w:val="24"/>
          <w:szCs w:val="24"/>
        </w:rPr>
        <w:t>8.19.6</w:t>
      </w:r>
      <w:r w:rsidR="00B60AEC" w:rsidRPr="005C53F5">
        <w:rPr>
          <w:rFonts w:ascii="Times New Roman" w:hAnsi="Times New Roman" w:cs="Times New Roman"/>
          <w:bCs/>
          <w:iCs/>
          <w:sz w:val="24"/>
          <w:szCs w:val="24"/>
        </w:rPr>
        <w:t>.2.1 Проспекта ценных бумаг</w:t>
      </w:r>
      <w:r w:rsidR="00B85ED9" w:rsidRPr="005C53F5">
        <w:rPr>
          <w:rFonts w:ascii="Times New Roman" w:hAnsi="Times New Roman" w:cs="Times New Roman"/>
          <w:bCs/>
          <w:iCs/>
          <w:sz w:val="24"/>
          <w:szCs w:val="24"/>
        </w:rPr>
        <w:t>, которые отсчитываются с даты вступления в законную силу решения суда о признании недействительной регистрации проспекта ценных бумаг (далее – «</w:t>
      </w:r>
      <w:r w:rsidR="00B85ED9" w:rsidRPr="005C53F5">
        <w:rPr>
          <w:rFonts w:ascii="Times New Roman" w:hAnsi="Times New Roman" w:cs="Times New Roman"/>
          <w:b/>
          <w:bCs/>
          <w:iCs/>
          <w:sz w:val="24"/>
          <w:szCs w:val="24"/>
        </w:rPr>
        <w:t>Дата признания недействительной регистрации проспекта ценных бумаг</w:t>
      </w:r>
      <w:r w:rsidR="00B85ED9" w:rsidRPr="005C53F5">
        <w:rPr>
          <w:rFonts w:ascii="Times New Roman" w:hAnsi="Times New Roman" w:cs="Times New Roman"/>
          <w:bCs/>
          <w:iCs/>
          <w:sz w:val="24"/>
          <w:szCs w:val="24"/>
        </w:rPr>
        <w:t>»).</w:t>
      </w:r>
    </w:p>
    <w:p w14:paraId="06C2F288" w14:textId="392DA784" w:rsidR="00B85ED9" w:rsidRPr="005C53F5" w:rsidRDefault="00EA01BF"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8.19.6</w:t>
      </w:r>
      <w:r w:rsidR="00B60AEC" w:rsidRPr="005C53F5">
        <w:rPr>
          <w:rFonts w:ascii="Times New Roman" w:hAnsi="Times New Roman" w:cs="Times New Roman"/>
          <w:bCs/>
          <w:iCs/>
          <w:sz w:val="24"/>
          <w:szCs w:val="24"/>
        </w:rPr>
        <w:t>.2.3</w:t>
      </w:r>
      <w:r w:rsidR="00B85ED9" w:rsidRPr="005C53F5">
        <w:rPr>
          <w:rFonts w:ascii="Times New Roman" w:hAnsi="Times New Roman" w:cs="Times New Roman"/>
          <w:bCs/>
          <w:iCs/>
          <w:sz w:val="24"/>
          <w:szCs w:val="24"/>
        </w:rPr>
        <w:t>. «Дата признания выпуска Облигаций несостоявшимся, недействительным, запрещенным, отозванным или отмененным любым иным образом» и «Дата признания недействительной регистрации проспекта ценных бумаг» далее при совместном упоминании именуются «</w:t>
      </w:r>
      <w:r w:rsidR="00B85ED9" w:rsidRPr="005C53F5">
        <w:rPr>
          <w:rFonts w:ascii="Times New Roman" w:hAnsi="Times New Roman" w:cs="Times New Roman"/>
          <w:b/>
          <w:bCs/>
          <w:iCs/>
          <w:sz w:val="24"/>
          <w:szCs w:val="24"/>
        </w:rPr>
        <w:t>Дата возникновения основания для возврата средств инвестирования</w:t>
      </w:r>
      <w:r w:rsidR="00B85ED9" w:rsidRPr="005C53F5">
        <w:rPr>
          <w:rFonts w:ascii="Times New Roman" w:hAnsi="Times New Roman" w:cs="Times New Roman"/>
          <w:bCs/>
          <w:iCs/>
          <w:sz w:val="24"/>
          <w:szCs w:val="24"/>
        </w:rPr>
        <w:t>».</w:t>
      </w:r>
    </w:p>
    <w:p w14:paraId="7FDEF536" w14:textId="7E514D76" w:rsidR="00B85ED9" w:rsidRPr="005C53F5" w:rsidRDefault="00EA01BF"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8.19.6</w:t>
      </w:r>
      <w:r w:rsidR="00B60AEC" w:rsidRPr="005C53F5">
        <w:rPr>
          <w:rFonts w:ascii="Times New Roman" w:hAnsi="Times New Roman" w:cs="Times New Roman"/>
          <w:bCs/>
          <w:iCs/>
          <w:sz w:val="24"/>
          <w:szCs w:val="24"/>
        </w:rPr>
        <w:t>.2.4</w:t>
      </w:r>
      <w:r w:rsidR="00B85ED9" w:rsidRPr="005C53F5">
        <w:rPr>
          <w:rFonts w:ascii="Times New Roman" w:hAnsi="Times New Roman" w:cs="Times New Roman"/>
          <w:bCs/>
          <w:iCs/>
          <w:sz w:val="24"/>
          <w:szCs w:val="24"/>
        </w:rPr>
        <w:t>. Эмитент в срок не позднее 5 (пяти) рабочих дней, следующих за Датой возникновения основания для возврата средств инвестирования, обязан направить соответствующее уведомление в адрес НРД.</w:t>
      </w:r>
    </w:p>
    <w:p w14:paraId="27722675" w14:textId="77777777" w:rsidR="00B85ED9" w:rsidRPr="005C53F5" w:rsidRDefault="00B85ED9"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Копия уведомления, предусмотренного настоящим подпунктом, заверяется подписью уполномоченного лица и печатью Эмитента.</w:t>
      </w:r>
    </w:p>
    <w:p w14:paraId="613A2A7F" w14:textId="27C9C44A" w:rsidR="00B85ED9" w:rsidRPr="005C53F5" w:rsidRDefault="00EA01BF"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8.19.6</w:t>
      </w:r>
      <w:r w:rsidR="00B60AEC" w:rsidRPr="005C53F5">
        <w:rPr>
          <w:rFonts w:ascii="Times New Roman" w:hAnsi="Times New Roman" w:cs="Times New Roman"/>
          <w:bCs/>
          <w:iCs/>
          <w:sz w:val="24"/>
          <w:szCs w:val="24"/>
        </w:rPr>
        <w:t>.3.</w:t>
      </w:r>
      <w:r w:rsidR="00B85ED9" w:rsidRPr="005C53F5">
        <w:rPr>
          <w:rFonts w:ascii="Times New Roman" w:hAnsi="Times New Roman" w:cs="Times New Roman"/>
          <w:bCs/>
          <w:iCs/>
          <w:sz w:val="24"/>
          <w:szCs w:val="24"/>
        </w:rPr>
        <w:t xml:space="preserve"> </w:t>
      </w:r>
      <w:r w:rsidR="00B85ED9" w:rsidRPr="005C53F5">
        <w:rPr>
          <w:rFonts w:ascii="Times New Roman" w:hAnsi="Times New Roman" w:cs="Times New Roman"/>
          <w:bCs/>
          <w:i/>
          <w:iCs/>
          <w:sz w:val="24"/>
          <w:szCs w:val="24"/>
        </w:rPr>
        <w:t>Порядок возврата средств инвестирования</w:t>
      </w:r>
    </w:p>
    <w:p w14:paraId="0F7D3BBB" w14:textId="6B247238" w:rsidR="00B85ED9" w:rsidRPr="005C53F5" w:rsidRDefault="00EA01BF"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8.19.6</w:t>
      </w:r>
      <w:r w:rsidR="008A7C50" w:rsidRPr="005C53F5">
        <w:rPr>
          <w:rFonts w:ascii="Times New Roman" w:hAnsi="Times New Roman" w:cs="Times New Roman"/>
          <w:bCs/>
          <w:iCs/>
          <w:sz w:val="24"/>
          <w:szCs w:val="24"/>
        </w:rPr>
        <w:t>.3</w:t>
      </w:r>
      <w:r w:rsidR="00B85ED9" w:rsidRPr="005C53F5">
        <w:rPr>
          <w:rFonts w:ascii="Times New Roman" w:hAnsi="Times New Roman" w:cs="Times New Roman"/>
          <w:bCs/>
          <w:iCs/>
          <w:sz w:val="24"/>
          <w:szCs w:val="24"/>
        </w:rPr>
        <w:t>.</w:t>
      </w:r>
      <w:r w:rsidR="008A7C50" w:rsidRPr="005C53F5">
        <w:rPr>
          <w:rFonts w:ascii="Times New Roman" w:hAnsi="Times New Roman" w:cs="Times New Roman"/>
          <w:bCs/>
          <w:iCs/>
          <w:sz w:val="24"/>
          <w:szCs w:val="24"/>
        </w:rPr>
        <w:t>1</w:t>
      </w:r>
      <w:r w:rsidR="00B85ED9" w:rsidRPr="005C53F5">
        <w:rPr>
          <w:rFonts w:ascii="Times New Roman" w:hAnsi="Times New Roman" w:cs="Times New Roman"/>
          <w:bCs/>
          <w:iCs/>
          <w:sz w:val="24"/>
          <w:szCs w:val="24"/>
        </w:rPr>
        <w:t xml:space="preserve"> Возврат средств инвестирования Облигаций осуществляется в валюте Российской Федерации в безналичном порядке в пользу лиц, являющихся владельцами Облигаций по состоянию на дату, предшествующую Дате возникновения основания для возврата средств инвестирования (далее – «</w:t>
      </w:r>
      <w:r w:rsidR="00B85ED9" w:rsidRPr="005C53F5">
        <w:rPr>
          <w:rFonts w:ascii="Times New Roman" w:hAnsi="Times New Roman" w:cs="Times New Roman"/>
          <w:b/>
          <w:bCs/>
          <w:iCs/>
          <w:sz w:val="24"/>
          <w:szCs w:val="24"/>
        </w:rPr>
        <w:t>Дата фиксации лиц, имеющих право на получение денежных средств</w:t>
      </w:r>
      <w:r w:rsidR="00B85ED9" w:rsidRPr="005C53F5">
        <w:rPr>
          <w:rFonts w:ascii="Times New Roman" w:hAnsi="Times New Roman" w:cs="Times New Roman"/>
          <w:bCs/>
          <w:iCs/>
          <w:sz w:val="24"/>
          <w:szCs w:val="24"/>
        </w:rPr>
        <w:t>»).</w:t>
      </w:r>
    </w:p>
    <w:p w14:paraId="5269367F" w14:textId="77777777" w:rsidR="00B85ED9" w:rsidRPr="005C53F5" w:rsidRDefault="00B85ED9"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Владельцы и иные лица, осуществляющие в соответствии с законодательством Российской Федерации права по Облигациям, получают суммы возврата средств инвестирования по Облигациям через депозитарий, осуществляющий учет прав на Облигации, депонентами которого они являются.</w:t>
      </w:r>
    </w:p>
    <w:p w14:paraId="295C7D81" w14:textId="77777777" w:rsidR="00B85ED9" w:rsidRPr="005C53F5" w:rsidRDefault="00B85ED9"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Для получения выплат по Облигациям указанные лица должны иметь банковский счет в российских рублях, открываемый в кредитной организации.</w:t>
      </w:r>
    </w:p>
    <w:p w14:paraId="5C478FC2" w14:textId="01EC1A1D" w:rsidR="00B85ED9" w:rsidRPr="005C53F5" w:rsidRDefault="00B85ED9"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 xml:space="preserve">Депозитарный договор между </w:t>
      </w:r>
      <w:r w:rsidR="00D77515" w:rsidRPr="005C53F5">
        <w:rPr>
          <w:rFonts w:ascii="Times New Roman" w:hAnsi="Times New Roman" w:cs="Times New Roman"/>
          <w:bCs/>
          <w:iCs/>
          <w:sz w:val="24"/>
          <w:szCs w:val="24"/>
        </w:rPr>
        <w:t>депозитарием</w:t>
      </w:r>
      <w:r w:rsidRPr="005C53F5">
        <w:rPr>
          <w:rFonts w:ascii="Times New Roman" w:hAnsi="Times New Roman" w:cs="Times New Roman"/>
          <w:bCs/>
          <w:iCs/>
          <w:sz w:val="24"/>
          <w:szCs w:val="24"/>
        </w:rPr>
        <w:t>, осуществляющим учет прав на Облигации, и депонентом должен содержать порядок передачи депоненту выплат по Облигациям.</w:t>
      </w:r>
    </w:p>
    <w:p w14:paraId="4062F3C5" w14:textId="77777777" w:rsidR="00B85ED9" w:rsidRPr="005C53F5" w:rsidRDefault="00B85ED9"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 xml:space="preserve">Эмитент исполняет обязанность по возврату средств инвестирования по Облигациям путем перечисления денежных средств НРД в течение 15 (пятнадцати) рабочих дней </w:t>
      </w:r>
      <w:r w:rsidRPr="005C53F5">
        <w:rPr>
          <w:rFonts w:ascii="Times New Roman" w:hAnsi="Times New Roman" w:cs="Times New Roman"/>
          <w:bCs/>
          <w:iCs/>
          <w:sz w:val="24"/>
          <w:szCs w:val="24"/>
          <w:lang w:val="en-US"/>
        </w:rPr>
        <w:t>c</w:t>
      </w:r>
      <w:r w:rsidRPr="005C53F5">
        <w:rPr>
          <w:rFonts w:ascii="Times New Roman" w:hAnsi="Times New Roman" w:cs="Times New Roman"/>
          <w:bCs/>
          <w:iCs/>
          <w:sz w:val="24"/>
          <w:szCs w:val="24"/>
        </w:rPr>
        <w:t xml:space="preserve"> Даты возникновения основания для возврата средств инвестирования. Указанная обязанность считается исполненной Эмитентом с даты поступления денежных средств на счет НРД.</w:t>
      </w:r>
    </w:p>
    <w:p w14:paraId="2F2EB4CB" w14:textId="77777777" w:rsidR="00B85ED9" w:rsidRPr="005C53F5" w:rsidRDefault="00B85ED9"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Перечисление денежных средств лицам, уполномоченным получать суммы при возврате средств инвестирования по Облигациям, осуществляется в порядке, установленном статьей 8.7 Закона о рынке ценных бумаг.</w:t>
      </w:r>
    </w:p>
    <w:p w14:paraId="2DDA9CA0" w14:textId="77777777" w:rsidR="00B85ED9" w:rsidRPr="005C53F5" w:rsidRDefault="00B85ED9"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НРД осуществляет раскрытие информации о выплатах в порядке, установленном статьей 8.7 Закона о рынке ценных бумаг и нормативными актами Банка России.</w:t>
      </w:r>
    </w:p>
    <w:p w14:paraId="36B7678A" w14:textId="77777777" w:rsidR="00B85ED9" w:rsidRPr="005C53F5" w:rsidRDefault="00B85ED9"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Исполнение обязательств по Облигациям, признается надлежащим в том числе в случае отчуждения Облигаций после Даты фиксации лиц, имеющих право на получение денежных средств по Облигациям, подлежащим изъятию из обращения. В случае приобретения Облигаций после Даты фиксации лиц, имеющих право на получение денежных средств по Облигациям, подлежащим изъятию из обращения, покупатель Облигаций несет риск неполучения суммы возврата средств инвестирования по Облигациям.</w:t>
      </w:r>
    </w:p>
    <w:p w14:paraId="350BE290" w14:textId="77777777" w:rsidR="00B85ED9" w:rsidRPr="005C53F5" w:rsidRDefault="00B85ED9"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Номинальные держатели Облигаций, не являющиеся владельцами Облигаций, перечисляют денежные средства, полученные в качестве возврата средств инвестирования по Облигациям, в порядке, определенном договором между номинальным держателем Облигаций и владельцем Облигаций.</w:t>
      </w:r>
    </w:p>
    <w:p w14:paraId="23FF8874" w14:textId="77777777" w:rsidR="00B85ED9" w:rsidRPr="005C53F5" w:rsidRDefault="00B85ED9"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Если дата возврата средств инвестирования Облигаций приходится на день, не являющийся рабочим днем, то перечисление надлежащей суммы производится в первый рабочий день, следующий за такой датой. Владелец Облигаций не имеет права требовать начисления процентов или какой-либо иной компенсации за такую задержку в платеже.</w:t>
      </w:r>
    </w:p>
    <w:p w14:paraId="1D229153" w14:textId="326D31CB" w:rsidR="00B85ED9" w:rsidRPr="005C53F5" w:rsidRDefault="00EA01BF"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8.19.6</w:t>
      </w:r>
      <w:r w:rsidR="00FC6936" w:rsidRPr="005C53F5">
        <w:rPr>
          <w:rFonts w:ascii="Times New Roman" w:hAnsi="Times New Roman" w:cs="Times New Roman"/>
          <w:bCs/>
          <w:iCs/>
          <w:sz w:val="24"/>
          <w:szCs w:val="24"/>
        </w:rPr>
        <w:t>.3.2</w:t>
      </w:r>
      <w:r w:rsidR="00B85ED9" w:rsidRPr="005C53F5">
        <w:rPr>
          <w:rFonts w:ascii="Times New Roman" w:hAnsi="Times New Roman" w:cs="Times New Roman"/>
          <w:bCs/>
          <w:iCs/>
          <w:sz w:val="24"/>
          <w:szCs w:val="24"/>
        </w:rPr>
        <w:t>. Владелец Облигаций вправе обратиться в судебные органы Российской Федерации с требованием о взыскании средств с Эмитента в случае несогласия с размером и условиями возврата средств.</w:t>
      </w:r>
    </w:p>
    <w:p w14:paraId="522DE60F" w14:textId="71922BB0" w:rsidR="00B85ED9" w:rsidRPr="005C53F5" w:rsidRDefault="00FC6936"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8.</w:t>
      </w:r>
      <w:r w:rsidR="00EA01BF" w:rsidRPr="005C53F5">
        <w:rPr>
          <w:rFonts w:ascii="Times New Roman" w:hAnsi="Times New Roman" w:cs="Times New Roman"/>
          <w:bCs/>
          <w:iCs/>
          <w:sz w:val="24"/>
          <w:szCs w:val="24"/>
        </w:rPr>
        <w:t>19.6</w:t>
      </w:r>
      <w:r w:rsidRPr="005C53F5">
        <w:rPr>
          <w:rFonts w:ascii="Times New Roman" w:hAnsi="Times New Roman" w:cs="Times New Roman"/>
          <w:bCs/>
          <w:iCs/>
          <w:sz w:val="24"/>
          <w:szCs w:val="24"/>
        </w:rPr>
        <w:t>.3.3</w:t>
      </w:r>
      <w:r w:rsidR="00B85ED9" w:rsidRPr="005C53F5">
        <w:rPr>
          <w:rFonts w:ascii="Times New Roman" w:hAnsi="Times New Roman" w:cs="Times New Roman"/>
          <w:bCs/>
          <w:iCs/>
          <w:sz w:val="24"/>
          <w:szCs w:val="24"/>
        </w:rPr>
        <w:t>. В том сл</w:t>
      </w:r>
      <w:r w:rsidR="00EA01BF" w:rsidRPr="005C53F5">
        <w:rPr>
          <w:rFonts w:ascii="Times New Roman" w:hAnsi="Times New Roman" w:cs="Times New Roman"/>
          <w:bCs/>
          <w:iCs/>
          <w:sz w:val="24"/>
          <w:szCs w:val="24"/>
        </w:rPr>
        <w:t xml:space="preserve">учае, если положения пункта </w:t>
      </w:r>
      <w:r w:rsidR="00E22AD5" w:rsidRPr="005C53F5">
        <w:rPr>
          <w:rFonts w:ascii="Times New Roman" w:hAnsi="Times New Roman" w:cs="Times New Roman"/>
          <w:bCs/>
          <w:iCs/>
          <w:sz w:val="24"/>
          <w:szCs w:val="24"/>
        </w:rPr>
        <w:t>8.19.6</w:t>
      </w:r>
      <w:r w:rsidR="00B85ED9" w:rsidRPr="005C53F5">
        <w:rPr>
          <w:rFonts w:ascii="Times New Roman" w:hAnsi="Times New Roman" w:cs="Times New Roman"/>
          <w:bCs/>
          <w:iCs/>
          <w:sz w:val="24"/>
          <w:szCs w:val="24"/>
        </w:rPr>
        <w:t xml:space="preserve"> </w:t>
      </w:r>
      <w:r w:rsidR="00E22AD5" w:rsidRPr="005C53F5">
        <w:rPr>
          <w:rFonts w:ascii="Times New Roman" w:hAnsi="Times New Roman" w:cs="Times New Roman"/>
          <w:bCs/>
          <w:iCs/>
          <w:sz w:val="24"/>
          <w:szCs w:val="24"/>
        </w:rPr>
        <w:t>Проспекта ценных бумаг</w:t>
      </w:r>
      <w:r w:rsidR="00EA01BF" w:rsidRPr="005C53F5">
        <w:rPr>
          <w:rFonts w:ascii="Times New Roman" w:hAnsi="Times New Roman" w:cs="Times New Roman"/>
          <w:bCs/>
          <w:iCs/>
          <w:sz w:val="24"/>
          <w:szCs w:val="24"/>
        </w:rPr>
        <w:t xml:space="preserve"> </w:t>
      </w:r>
      <w:r w:rsidR="00B85ED9" w:rsidRPr="005C53F5">
        <w:rPr>
          <w:rFonts w:ascii="Times New Roman" w:hAnsi="Times New Roman" w:cs="Times New Roman"/>
          <w:bCs/>
          <w:iCs/>
          <w:sz w:val="24"/>
          <w:szCs w:val="24"/>
        </w:rPr>
        <w:t>войдут в противоречие с нормами законодательства Республики Казахстан, Эмитент не может быть освобожден от обязанности возвратить</w:t>
      </w:r>
      <w:r w:rsidRPr="005C53F5">
        <w:rPr>
          <w:rFonts w:ascii="Times New Roman" w:hAnsi="Times New Roman" w:cs="Times New Roman"/>
          <w:bCs/>
          <w:iCs/>
          <w:sz w:val="24"/>
          <w:szCs w:val="24"/>
        </w:rPr>
        <w:t xml:space="preserve"> средства, указанные в пункте </w:t>
      </w:r>
      <w:r w:rsidR="00E22AD5" w:rsidRPr="005C53F5">
        <w:rPr>
          <w:rFonts w:ascii="Times New Roman" w:hAnsi="Times New Roman" w:cs="Times New Roman"/>
          <w:bCs/>
          <w:iCs/>
          <w:sz w:val="24"/>
          <w:szCs w:val="24"/>
        </w:rPr>
        <w:t>8.19.6</w:t>
      </w:r>
      <w:r w:rsidR="00262E28">
        <w:rPr>
          <w:rFonts w:ascii="Times New Roman" w:hAnsi="Times New Roman" w:cs="Times New Roman"/>
          <w:bCs/>
          <w:iCs/>
          <w:sz w:val="24"/>
          <w:szCs w:val="24"/>
        </w:rPr>
        <w:t>.1</w:t>
      </w:r>
      <w:r w:rsidR="00E22AD5" w:rsidRPr="005C53F5">
        <w:rPr>
          <w:rFonts w:ascii="Times New Roman" w:hAnsi="Times New Roman" w:cs="Times New Roman"/>
          <w:bCs/>
          <w:iCs/>
          <w:sz w:val="24"/>
          <w:szCs w:val="24"/>
        </w:rPr>
        <w:t xml:space="preserve"> Проспекта ценных бумаг</w:t>
      </w:r>
      <w:r w:rsidR="00B85ED9" w:rsidRPr="005C53F5">
        <w:rPr>
          <w:rFonts w:ascii="Times New Roman" w:hAnsi="Times New Roman" w:cs="Times New Roman"/>
          <w:bCs/>
          <w:iCs/>
          <w:sz w:val="24"/>
          <w:szCs w:val="24"/>
        </w:rPr>
        <w:t>.</w:t>
      </w:r>
    </w:p>
    <w:p w14:paraId="45DF9D2C" w14:textId="1F5440F4" w:rsidR="00B85ED9" w:rsidRPr="005C53F5" w:rsidRDefault="00EA01BF"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8.19.6</w:t>
      </w:r>
      <w:r w:rsidR="00FC6936" w:rsidRPr="005C53F5">
        <w:rPr>
          <w:rFonts w:ascii="Times New Roman" w:hAnsi="Times New Roman" w:cs="Times New Roman"/>
          <w:bCs/>
          <w:iCs/>
          <w:sz w:val="24"/>
          <w:szCs w:val="24"/>
        </w:rPr>
        <w:t>.3.4</w:t>
      </w:r>
      <w:r w:rsidR="00B85ED9" w:rsidRPr="005C53F5">
        <w:rPr>
          <w:rFonts w:ascii="Times New Roman" w:hAnsi="Times New Roman" w:cs="Times New Roman"/>
          <w:bCs/>
          <w:iCs/>
          <w:sz w:val="24"/>
          <w:szCs w:val="24"/>
        </w:rPr>
        <w:t>. Приобретение Облигаций означает согласие приобретателя Облигаций с порядком возврата средств инвестирования по Облига</w:t>
      </w:r>
      <w:r w:rsidRPr="005C53F5">
        <w:rPr>
          <w:rFonts w:ascii="Times New Roman" w:hAnsi="Times New Roman" w:cs="Times New Roman"/>
          <w:bCs/>
          <w:iCs/>
          <w:sz w:val="24"/>
          <w:szCs w:val="24"/>
        </w:rPr>
        <w:t xml:space="preserve">циям, установленным пунктом </w:t>
      </w:r>
      <w:r w:rsidR="00E22AD5" w:rsidRPr="005C53F5">
        <w:rPr>
          <w:rFonts w:ascii="Times New Roman" w:hAnsi="Times New Roman" w:cs="Times New Roman"/>
          <w:bCs/>
          <w:iCs/>
          <w:sz w:val="24"/>
          <w:szCs w:val="24"/>
        </w:rPr>
        <w:t>8.19.6 Проспекта ценных бумаг</w:t>
      </w:r>
      <w:r w:rsidR="00B85ED9" w:rsidRPr="005C53F5">
        <w:rPr>
          <w:rFonts w:ascii="Times New Roman" w:hAnsi="Times New Roman" w:cs="Times New Roman"/>
          <w:bCs/>
          <w:iCs/>
          <w:sz w:val="24"/>
          <w:szCs w:val="24"/>
        </w:rPr>
        <w:t>.</w:t>
      </w:r>
    </w:p>
    <w:p w14:paraId="11791B19" w14:textId="3839F5D2" w:rsidR="003B60A3" w:rsidRPr="005C53F5" w:rsidRDefault="00EA01BF"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b/>
          <w:bCs/>
          <w:iCs/>
          <w:sz w:val="24"/>
          <w:szCs w:val="24"/>
        </w:rPr>
        <w:t>8.19.7</w:t>
      </w:r>
      <w:r w:rsidR="003B60A3" w:rsidRPr="005C53F5">
        <w:rPr>
          <w:rFonts w:ascii="Times New Roman" w:hAnsi="Times New Roman" w:cs="Times New Roman"/>
          <w:b/>
          <w:bCs/>
          <w:iCs/>
          <w:sz w:val="24"/>
          <w:szCs w:val="24"/>
        </w:rPr>
        <w:t xml:space="preserve">. </w:t>
      </w:r>
      <w:r w:rsidR="003B60A3" w:rsidRPr="005C53F5">
        <w:rPr>
          <w:rFonts w:ascii="Times New Roman" w:hAnsi="Times New Roman" w:cs="Times New Roman"/>
          <w:b/>
          <w:sz w:val="24"/>
          <w:szCs w:val="24"/>
        </w:rPr>
        <w:t xml:space="preserve">Соотношение положений </w:t>
      </w:r>
      <w:r w:rsidR="002E0C41">
        <w:rPr>
          <w:rFonts w:ascii="Times New Roman" w:hAnsi="Times New Roman" w:cs="Times New Roman"/>
          <w:b/>
          <w:bCs/>
          <w:iCs/>
          <w:sz w:val="24"/>
          <w:szCs w:val="24"/>
        </w:rPr>
        <w:t>Проспекта ценных бумаг</w:t>
      </w:r>
      <w:r w:rsidR="003B60A3" w:rsidRPr="005C53F5">
        <w:rPr>
          <w:rFonts w:ascii="Times New Roman" w:hAnsi="Times New Roman" w:cs="Times New Roman"/>
          <w:b/>
          <w:bCs/>
          <w:iCs/>
          <w:sz w:val="24"/>
          <w:szCs w:val="24"/>
        </w:rPr>
        <w:t xml:space="preserve"> </w:t>
      </w:r>
      <w:r w:rsidR="003B60A3" w:rsidRPr="005C53F5">
        <w:rPr>
          <w:rFonts w:ascii="Times New Roman" w:hAnsi="Times New Roman" w:cs="Times New Roman"/>
          <w:b/>
          <w:sz w:val="24"/>
          <w:szCs w:val="24"/>
        </w:rPr>
        <w:t>и изменений в законодательство Российской Федерации</w:t>
      </w:r>
      <w:r w:rsidR="003B60A3" w:rsidRPr="005C53F5">
        <w:rPr>
          <w:rFonts w:ascii="Times New Roman" w:hAnsi="Times New Roman" w:cs="Times New Roman"/>
          <w:sz w:val="24"/>
          <w:szCs w:val="24"/>
        </w:rPr>
        <w:t xml:space="preserve"> </w:t>
      </w:r>
    </w:p>
    <w:p w14:paraId="6FE6D604" w14:textId="64620CB6" w:rsidR="00B80137" w:rsidRPr="005C53F5" w:rsidRDefault="00B80137"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6E113D96" w14:textId="78AEEDCB" w:rsidR="003B60A3" w:rsidRPr="005C53F5" w:rsidRDefault="003B60A3"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В случае если на момент принятия Эмитентом </w:t>
      </w:r>
      <w:r w:rsidR="00AD7FD6" w:rsidRPr="005C53F5">
        <w:rPr>
          <w:rFonts w:ascii="Times New Roman" w:hAnsi="Times New Roman" w:cs="Times New Roman"/>
          <w:sz w:val="24"/>
          <w:szCs w:val="24"/>
        </w:rPr>
        <w:t>решени</w:t>
      </w:r>
      <w:r w:rsidR="00AD7FD6">
        <w:rPr>
          <w:rFonts w:ascii="Times New Roman" w:hAnsi="Times New Roman" w:cs="Times New Roman"/>
          <w:sz w:val="24"/>
          <w:szCs w:val="24"/>
        </w:rPr>
        <w:t>й</w:t>
      </w:r>
      <w:r w:rsidR="00AD7FD6" w:rsidRPr="005C53F5">
        <w:rPr>
          <w:rFonts w:ascii="Times New Roman" w:hAnsi="Times New Roman" w:cs="Times New Roman"/>
          <w:sz w:val="24"/>
          <w:szCs w:val="24"/>
        </w:rPr>
        <w:t xml:space="preserve"> </w:t>
      </w:r>
      <w:r w:rsidRPr="005C53F5">
        <w:rPr>
          <w:rFonts w:ascii="Times New Roman" w:hAnsi="Times New Roman" w:cs="Times New Roman"/>
          <w:sz w:val="24"/>
          <w:szCs w:val="24"/>
        </w:rPr>
        <w:t xml:space="preserve">на этапах эмиссии и обращения Облигаций в соответствии с применимым законодательством Российской Федерации будет установлен иной порядок и сроки принятия Эмитентом </w:t>
      </w:r>
      <w:r w:rsidR="00AD7FD6">
        <w:rPr>
          <w:rFonts w:ascii="Times New Roman" w:hAnsi="Times New Roman" w:cs="Times New Roman"/>
          <w:sz w:val="24"/>
          <w:szCs w:val="24"/>
        </w:rPr>
        <w:t xml:space="preserve">указанных </w:t>
      </w:r>
      <w:r w:rsidR="00AD7FD6" w:rsidRPr="005C53F5">
        <w:rPr>
          <w:rFonts w:ascii="Times New Roman" w:hAnsi="Times New Roman" w:cs="Times New Roman"/>
          <w:sz w:val="24"/>
          <w:szCs w:val="24"/>
        </w:rPr>
        <w:t>решени</w:t>
      </w:r>
      <w:r w:rsidR="00AD7FD6">
        <w:rPr>
          <w:rFonts w:ascii="Times New Roman" w:hAnsi="Times New Roman" w:cs="Times New Roman"/>
          <w:sz w:val="24"/>
          <w:szCs w:val="24"/>
        </w:rPr>
        <w:t>й</w:t>
      </w:r>
      <w:r w:rsidRPr="005C53F5">
        <w:rPr>
          <w:rFonts w:ascii="Times New Roman" w:hAnsi="Times New Roman" w:cs="Times New Roman"/>
          <w:sz w:val="24"/>
          <w:szCs w:val="24"/>
        </w:rPr>
        <w:t xml:space="preserve">, нежели порядок и сроки, предусмотренные </w:t>
      </w:r>
      <w:r w:rsidR="002E0C41">
        <w:rPr>
          <w:rFonts w:ascii="Times New Roman" w:hAnsi="Times New Roman" w:cs="Times New Roman"/>
          <w:sz w:val="24"/>
          <w:szCs w:val="24"/>
        </w:rPr>
        <w:t>Проспектом ценных бумаг</w:t>
      </w:r>
      <w:r w:rsidRPr="005C53F5">
        <w:rPr>
          <w:rFonts w:ascii="Times New Roman" w:hAnsi="Times New Roman" w:cs="Times New Roman"/>
          <w:sz w:val="24"/>
          <w:szCs w:val="24"/>
        </w:rPr>
        <w:t xml:space="preserve">, </w:t>
      </w:r>
      <w:r w:rsidR="00AD7FD6">
        <w:rPr>
          <w:rFonts w:ascii="Times New Roman" w:hAnsi="Times New Roman" w:cs="Times New Roman"/>
          <w:sz w:val="24"/>
          <w:szCs w:val="24"/>
        </w:rPr>
        <w:t xml:space="preserve">указанные </w:t>
      </w:r>
      <w:r w:rsidRPr="005C53F5">
        <w:rPr>
          <w:rFonts w:ascii="Times New Roman" w:hAnsi="Times New Roman" w:cs="Times New Roman"/>
          <w:sz w:val="24"/>
          <w:szCs w:val="24"/>
        </w:rPr>
        <w:t xml:space="preserve">решения будут приниматься Эмитентом в порядке и сроки, предусмотренные применимым законодательством, действующим на момент принятия Эмитентом </w:t>
      </w:r>
      <w:r w:rsidR="00AD7FD6">
        <w:rPr>
          <w:rFonts w:ascii="Times New Roman" w:hAnsi="Times New Roman" w:cs="Times New Roman"/>
          <w:sz w:val="24"/>
          <w:szCs w:val="24"/>
        </w:rPr>
        <w:t xml:space="preserve">указанных </w:t>
      </w:r>
      <w:r w:rsidR="00AD7FD6" w:rsidRPr="005C53F5">
        <w:rPr>
          <w:rFonts w:ascii="Times New Roman" w:hAnsi="Times New Roman" w:cs="Times New Roman"/>
          <w:sz w:val="24"/>
          <w:szCs w:val="24"/>
        </w:rPr>
        <w:t>решени</w:t>
      </w:r>
      <w:r w:rsidR="00AD7FD6">
        <w:rPr>
          <w:rFonts w:ascii="Times New Roman" w:hAnsi="Times New Roman" w:cs="Times New Roman"/>
          <w:sz w:val="24"/>
          <w:szCs w:val="24"/>
        </w:rPr>
        <w:t>й</w:t>
      </w:r>
      <w:r w:rsidRPr="005C53F5">
        <w:rPr>
          <w:rFonts w:ascii="Times New Roman" w:hAnsi="Times New Roman" w:cs="Times New Roman"/>
          <w:sz w:val="24"/>
          <w:szCs w:val="24"/>
        </w:rPr>
        <w:t>.</w:t>
      </w:r>
    </w:p>
    <w:p w14:paraId="2674837A" w14:textId="7CC07294" w:rsidR="003B60A3" w:rsidRPr="005C53F5" w:rsidRDefault="003B60A3"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В случае если на момент раскрытия информации о событиях на этапах эмиссии и обращения Облигаций и иных событиях, описанных в </w:t>
      </w:r>
      <w:r w:rsidR="002E0C41">
        <w:rPr>
          <w:rFonts w:ascii="Times New Roman" w:hAnsi="Times New Roman" w:cs="Times New Roman"/>
          <w:sz w:val="24"/>
          <w:szCs w:val="24"/>
        </w:rPr>
        <w:t>Проспекте ценных бумаг</w:t>
      </w:r>
      <w:r w:rsidRPr="005C53F5">
        <w:rPr>
          <w:rFonts w:ascii="Times New Roman" w:hAnsi="Times New Roman" w:cs="Times New Roman"/>
          <w:sz w:val="24"/>
          <w:szCs w:val="24"/>
        </w:rPr>
        <w:t xml:space="preserve">, в соответствии с применимым законодательством будет установлен иной порядок и сроки раскрытия информации об указанных событиях, нежели порядок и сроки, предусмотренные </w:t>
      </w:r>
      <w:r w:rsidR="002E0C41">
        <w:rPr>
          <w:rFonts w:ascii="Times New Roman" w:hAnsi="Times New Roman" w:cs="Times New Roman"/>
          <w:sz w:val="24"/>
          <w:szCs w:val="24"/>
        </w:rPr>
        <w:t>Проспектом ценных бумаг</w:t>
      </w:r>
      <w:r w:rsidRPr="005C53F5">
        <w:rPr>
          <w:rFonts w:ascii="Times New Roman" w:hAnsi="Times New Roman" w:cs="Times New Roman"/>
          <w:sz w:val="24"/>
          <w:szCs w:val="24"/>
        </w:rPr>
        <w:t>, информация об указанных событиях будет раскрываться в порядке и сроки, предусмотренные применимым законодательством, действующим на момент раскрытия информации об указанных событиях.</w:t>
      </w:r>
    </w:p>
    <w:p w14:paraId="5EE4AD05" w14:textId="7DF88B14" w:rsidR="003B60A3" w:rsidRPr="005C53F5" w:rsidRDefault="003B60A3"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В случае если на момент наступления события, о котором Эмитент должен раскрыть информацию в соответствии с применимым законодательством, установлен иной порядок и сроки раскрытия информации о таком событии, нежели порядок и сроки, предусмотренные </w:t>
      </w:r>
      <w:r w:rsidR="002E0C41">
        <w:rPr>
          <w:rFonts w:ascii="Times New Roman" w:hAnsi="Times New Roman" w:cs="Times New Roman"/>
          <w:sz w:val="24"/>
          <w:szCs w:val="24"/>
        </w:rPr>
        <w:t>Проспектом ценных бумаг</w:t>
      </w:r>
      <w:r w:rsidRPr="005C53F5">
        <w:rPr>
          <w:rFonts w:ascii="Times New Roman" w:hAnsi="Times New Roman" w:cs="Times New Roman"/>
          <w:sz w:val="24"/>
          <w:szCs w:val="24"/>
        </w:rPr>
        <w:t>, информация о таком событии раскрывается в порядке и сроки, предусмотренные применимым законодательством, действующим на момент наступления события.</w:t>
      </w:r>
    </w:p>
    <w:p w14:paraId="05CE8085" w14:textId="42FC6D16" w:rsidR="003B60A3" w:rsidRPr="005C53F5" w:rsidRDefault="003B60A3"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В случае если на момент совершения определенных действий, связанных с приобретением Облигаций (исполнением) обязательств Эмитентом по Облигациям (выплата купона и (или) погашение), применимым законодательством будут установлены условия, порядок и (или) правила (требования), отличные от тех, которые содержатся в </w:t>
      </w:r>
      <w:r w:rsidR="002E0C41">
        <w:rPr>
          <w:rFonts w:ascii="Times New Roman" w:hAnsi="Times New Roman" w:cs="Times New Roman"/>
          <w:sz w:val="24"/>
          <w:szCs w:val="24"/>
        </w:rPr>
        <w:t>Проспекте ценных бумаг</w:t>
      </w:r>
      <w:r w:rsidRPr="005C53F5">
        <w:rPr>
          <w:rFonts w:ascii="Times New Roman" w:hAnsi="Times New Roman" w:cs="Times New Roman"/>
          <w:sz w:val="24"/>
          <w:szCs w:val="24"/>
        </w:rPr>
        <w:t>, приобретение Облигаций (исполнение обязательств Эмитентом по Облигациям) будет осуществляться с учетом требований применимого законодательства, действующего на момент совершения соответствующих действий.</w:t>
      </w:r>
    </w:p>
    <w:p w14:paraId="1A042967" w14:textId="77777777" w:rsidR="00C86EA7" w:rsidRDefault="00C86EA7" w:rsidP="00057BE5">
      <w:pPr>
        <w:pStyle w:val="ConsPlusNormal"/>
        <w:ind w:firstLine="709"/>
        <w:jc w:val="both"/>
        <w:rPr>
          <w:rFonts w:ascii="Times New Roman" w:hAnsi="Times New Roman" w:cs="Times New Roman"/>
          <w:b/>
          <w:sz w:val="24"/>
          <w:szCs w:val="24"/>
        </w:rPr>
      </w:pPr>
    </w:p>
    <w:p w14:paraId="5E2530C7" w14:textId="325FA330" w:rsidR="003B60A3" w:rsidRPr="005C53F5" w:rsidRDefault="00EA01BF" w:rsidP="00057BE5">
      <w:pPr>
        <w:pStyle w:val="ConsPlusNormal"/>
        <w:ind w:firstLine="709"/>
        <w:jc w:val="both"/>
        <w:rPr>
          <w:rFonts w:ascii="Times New Roman" w:hAnsi="Times New Roman" w:cs="Times New Roman"/>
          <w:b/>
          <w:sz w:val="24"/>
          <w:szCs w:val="24"/>
        </w:rPr>
      </w:pPr>
      <w:r w:rsidRPr="005C53F5">
        <w:rPr>
          <w:rFonts w:ascii="Times New Roman" w:hAnsi="Times New Roman" w:cs="Times New Roman"/>
          <w:b/>
          <w:sz w:val="24"/>
          <w:szCs w:val="24"/>
        </w:rPr>
        <w:t>8.19.8</w:t>
      </w:r>
      <w:r w:rsidR="003B60A3" w:rsidRPr="005C53F5">
        <w:rPr>
          <w:rFonts w:ascii="Times New Roman" w:hAnsi="Times New Roman" w:cs="Times New Roman"/>
          <w:b/>
          <w:sz w:val="24"/>
          <w:szCs w:val="24"/>
        </w:rPr>
        <w:t xml:space="preserve">. Изменение реквизитов лиц, указанных в </w:t>
      </w:r>
      <w:r w:rsidR="0032054B">
        <w:rPr>
          <w:rFonts w:ascii="Times New Roman" w:hAnsi="Times New Roman" w:cs="Times New Roman"/>
          <w:b/>
          <w:sz w:val="24"/>
          <w:szCs w:val="24"/>
        </w:rPr>
        <w:t>Проспекте ценных бумаг</w:t>
      </w:r>
      <w:r w:rsidR="0052332E" w:rsidRPr="005C53F5">
        <w:rPr>
          <w:rFonts w:ascii="Times New Roman" w:hAnsi="Times New Roman" w:cs="Times New Roman"/>
          <w:b/>
          <w:sz w:val="24"/>
          <w:szCs w:val="24"/>
        </w:rPr>
        <w:t xml:space="preserve"> </w:t>
      </w:r>
    </w:p>
    <w:p w14:paraId="0828D7F2" w14:textId="39864A8D" w:rsidR="00B80137" w:rsidRPr="005C53F5" w:rsidRDefault="00B80137"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53CD208D" w14:textId="35EF2ECB" w:rsidR="003B60A3" w:rsidRPr="005C53F5" w:rsidRDefault="003B60A3"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Сведения в отношении наименований, мест нахождения (адресов), лицензий и других реквизитов обществ (организаций), указанных в </w:t>
      </w:r>
      <w:r w:rsidR="002E0C41">
        <w:rPr>
          <w:rFonts w:ascii="Times New Roman" w:hAnsi="Times New Roman" w:cs="Times New Roman"/>
          <w:sz w:val="24"/>
          <w:szCs w:val="24"/>
        </w:rPr>
        <w:t>Проспекте ценных бумаг</w:t>
      </w:r>
      <w:r w:rsidRPr="005C53F5">
        <w:rPr>
          <w:rFonts w:ascii="Times New Roman" w:hAnsi="Times New Roman" w:cs="Times New Roman"/>
          <w:sz w:val="24"/>
          <w:szCs w:val="24"/>
        </w:rPr>
        <w:t>, представлены в соответствии</w:t>
      </w:r>
      <w:r w:rsidR="002E0C41">
        <w:rPr>
          <w:rFonts w:ascii="Times New Roman" w:hAnsi="Times New Roman" w:cs="Times New Roman"/>
          <w:sz w:val="24"/>
          <w:szCs w:val="24"/>
        </w:rPr>
        <w:t xml:space="preserve"> с</w:t>
      </w:r>
      <w:r w:rsidRPr="005C53F5">
        <w:rPr>
          <w:rFonts w:ascii="Times New Roman" w:hAnsi="Times New Roman" w:cs="Times New Roman"/>
          <w:sz w:val="24"/>
          <w:szCs w:val="24"/>
        </w:rPr>
        <w:t xml:space="preserve"> действующими на момент утверждения </w:t>
      </w:r>
      <w:r w:rsidR="002E0C41">
        <w:rPr>
          <w:rFonts w:ascii="Times New Roman" w:hAnsi="Times New Roman" w:cs="Times New Roman"/>
          <w:sz w:val="24"/>
          <w:szCs w:val="24"/>
        </w:rPr>
        <w:t>Проспекта ценных бумаг</w:t>
      </w:r>
      <w:r w:rsidRPr="005C53F5">
        <w:rPr>
          <w:rFonts w:ascii="Times New Roman" w:hAnsi="Times New Roman" w:cs="Times New Roman"/>
          <w:sz w:val="24"/>
          <w:szCs w:val="24"/>
        </w:rPr>
        <w:t xml:space="preserve"> редакциями учредительных документов и (или) других соответствующих документов.</w:t>
      </w:r>
    </w:p>
    <w:p w14:paraId="7F66AE64" w14:textId="583F4F1C" w:rsidR="003B60A3" w:rsidRDefault="003B60A3"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В случае изменения наименований, мест нахождения (адресов), лицензий и других реквизитов обществ (организаций), указанных в </w:t>
      </w:r>
      <w:r w:rsidR="002E0C41">
        <w:rPr>
          <w:rFonts w:ascii="Times New Roman" w:hAnsi="Times New Roman" w:cs="Times New Roman"/>
          <w:sz w:val="24"/>
          <w:szCs w:val="24"/>
        </w:rPr>
        <w:t>Проспекте ценных бумаг</w:t>
      </w:r>
      <w:r w:rsidRPr="005C53F5">
        <w:rPr>
          <w:rFonts w:ascii="Times New Roman" w:hAnsi="Times New Roman" w:cs="Times New Roman"/>
          <w:sz w:val="24"/>
          <w:szCs w:val="24"/>
        </w:rPr>
        <w:t>, данную информацию следует читать с учетом соответствующих изменений.</w:t>
      </w:r>
    </w:p>
    <w:p w14:paraId="0FCAD08C" w14:textId="77777777" w:rsidR="00C86EA7" w:rsidRPr="005C53F5" w:rsidRDefault="00C86EA7" w:rsidP="00057BE5">
      <w:pPr>
        <w:pStyle w:val="ConsPlusNormal"/>
        <w:ind w:firstLine="709"/>
        <w:jc w:val="both"/>
        <w:rPr>
          <w:rFonts w:ascii="Times New Roman" w:hAnsi="Times New Roman" w:cs="Times New Roman"/>
          <w:sz w:val="24"/>
          <w:szCs w:val="24"/>
        </w:rPr>
      </w:pPr>
    </w:p>
    <w:p w14:paraId="213D251F" w14:textId="77777777" w:rsidR="003B60A3" w:rsidRPr="005C53F5" w:rsidRDefault="00E05F54" w:rsidP="00057BE5">
      <w:pPr>
        <w:pStyle w:val="ConsPlusNormal"/>
        <w:ind w:firstLine="709"/>
        <w:jc w:val="both"/>
        <w:rPr>
          <w:rFonts w:ascii="Times New Roman" w:hAnsi="Times New Roman" w:cs="Times New Roman"/>
          <w:b/>
          <w:sz w:val="24"/>
          <w:szCs w:val="24"/>
        </w:rPr>
      </w:pPr>
      <w:r w:rsidRPr="005C53F5">
        <w:rPr>
          <w:rFonts w:ascii="Times New Roman" w:hAnsi="Times New Roman" w:cs="Times New Roman"/>
          <w:b/>
          <w:sz w:val="24"/>
          <w:szCs w:val="24"/>
        </w:rPr>
        <w:t>8.19.9</w:t>
      </w:r>
      <w:r w:rsidR="0052332E" w:rsidRPr="005C53F5">
        <w:rPr>
          <w:rFonts w:ascii="Times New Roman" w:hAnsi="Times New Roman" w:cs="Times New Roman"/>
          <w:b/>
          <w:sz w:val="24"/>
          <w:szCs w:val="24"/>
        </w:rPr>
        <w:t>.</w:t>
      </w:r>
      <w:r w:rsidR="003B60A3" w:rsidRPr="005C53F5">
        <w:rPr>
          <w:rFonts w:ascii="Times New Roman" w:hAnsi="Times New Roman" w:cs="Times New Roman"/>
          <w:b/>
          <w:sz w:val="24"/>
          <w:szCs w:val="24"/>
        </w:rPr>
        <w:t xml:space="preserve"> Обращение Облигаций на территории Российской Федерации</w:t>
      </w:r>
    </w:p>
    <w:p w14:paraId="45F52F05" w14:textId="77BC26C9" w:rsidR="00B80137" w:rsidRPr="005C53F5" w:rsidRDefault="00B80137"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41C5D43A" w14:textId="0C0FA0E8" w:rsidR="003B60A3" w:rsidRPr="005C53F5" w:rsidRDefault="003B60A3"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Обращение Облигаций на территории Российской Федерации осуществляется в соответствии с Условиями выпуска</w:t>
      </w:r>
      <w:r w:rsidR="00EA01BF" w:rsidRPr="005C53F5">
        <w:rPr>
          <w:rFonts w:ascii="Times New Roman" w:hAnsi="Times New Roman" w:cs="Times New Roman"/>
          <w:sz w:val="24"/>
          <w:szCs w:val="24"/>
        </w:rPr>
        <w:t xml:space="preserve"> </w:t>
      </w:r>
      <w:r w:rsidRPr="005C53F5">
        <w:rPr>
          <w:rFonts w:ascii="Times New Roman" w:hAnsi="Times New Roman" w:cs="Times New Roman"/>
          <w:sz w:val="24"/>
          <w:szCs w:val="24"/>
        </w:rPr>
        <w:t xml:space="preserve">и </w:t>
      </w:r>
      <w:r w:rsidRPr="005C53F5">
        <w:rPr>
          <w:rFonts w:ascii="Times New Roman" w:hAnsi="Times New Roman" w:cs="Times New Roman"/>
          <w:bCs/>
          <w:sz w:val="24"/>
          <w:szCs w:val="24"/>
        </w:rPr>
        <w:t>законодательством Российской Федерации</w:t>
      </w:r>
      <w:r w:rsidRPr="005C53F5">
        <w:rPr>
          <w:rFonts w:ascii="Times New Roman" w:hAnsi="Times New Roman" w:cs="Times New Roman"/>
          <w:sz w:val="24"/>
          <w:szCs w:val="24"/>
        </w:rPr>
        <w:t>.</w:t>
      </w:r>
    </w:p>
    <w:p w14:paraId="5D6B973A" w14:textId="08CCF83F" w:rsidR="003B60A3" w:rsidRPr="005C53F5" w:rsidRDefault="003B60A3" w:rsidP="00057BE5">
      <w:pPr>
        <w:pStyle w:val="ConsPlusNormal"/>
        <w:ind w:firstLine="709"/>
        <w:jc w:val="both"/>
        <w:rPr>
          <w:rFonts w:ascii="Times New Roman" w:hAnsi="Times New Roman" w:cs="Times New Roman"/>
          <w:bCs/>
          <w:iCs/>
          <w:sz w:val="24"/>
          <w:szCs w:val="24"/>
        </w:rPr>
      </w:pPr>
      <w:r w:rsidRPr="005C53F5">
        <w:rPr>
          <w:rFonts w:ascii="Times New Roman" w:hAnsi="Times New Roman" w:cs="Times New Roman"/>
          <w:bCs/>
          <w:iCs/>
          <w:sz w:val="24"/>
          <w:szCs w:val="24"/>
        </w:rPr>
        <w:t>Обращение Облигаций начинается после представления в Банк России уведомления о завершении размещения Облигаций</w:t>
      </w:r>
      <w:r w:rsidR="00636FFD" w:rsidRPr="005C53F5">
        <w:rPr>
          <w:rFonts w:ascii="Times New Roman" w:hAnsi="Times New Roman" w:cs="Times New Roman"/>
          <w:bCs/>
          <w:iCs/>
          <w:sz w:val="24"/>
          <w:szCs w:val="24"/>
        </w:rPr>
        <w:t xml:space="preserve"> и раскрытия информации о завершении размещения Облигаций в Российской Федерации, если иное не будет предусмотрено законодательством Российской Федерации, которое будет действовать в соответствующий момент времени. </w:t>
      </w:r>
    </w:p>
    <w:p w14:paraId="039563F7" w14:textId="77777777" w:rsidR="003B60A3" w:rsidRPr="005C53F5" w:rsidRDefault="003B60A3"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Облигации допускаются к обращению на территории Российской Федерации как на внебиржевом рынке, так и на биржевом рынке с учетом ограничений, установленных законодательством Российской Федерации в отношении ценных бумаг иностранных эмитентов.</w:t>
      </w:r>
    </w:p>
    <w:p w14:paraId="1528B0AF" w14:textId="77777777" w:rsidR="003B60A3" w:rsidRPr="005C53F5" w:rsidRDefault="003B60A3"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На биржевом рынке Облигации обращаются с изъятиями, установленными организаторами торговли на рынке ценных бумаг.</w:t>
      </w:r>
    </w:p>
    <w:p w14:paraId="550ED4A8" w14:textId="77777777" w:rsidR="003B60A3" w:rsidRPr="005C53F5" w:rsidRDefault="003B60A3"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На внебиржевом рынке Облигации обращаются </w:t>
      </w:r>
      <w:r w:rsidRPr="005C53F5">
        <w:rPr>
          <w:rFonts w:ascii="Times New Roman" w:hAnsi="Times New Roman" w:cs="Times New Roman"/>
          <w:bCs/>
          <w:iCs/>
          <w:sz w:val="24"/>
          <w:szCs w:val="24"/>
        </w:rPr>
        <w:t>без ограничений до даты погашения Облигаций.</w:t>
      </w:r>
    </w:p>
    <w:p w14:paraId="35011BE1" w14:textId="61247D40" w:rsidR="003B60A3" w:rsidRPr="005C53F5" w:rsidRDefault="00E05F54" w:rsidP="00057BE5">
      <w:pPr>
        <w:pStyle w:val="ConsPlusNormal"/>
        <w:ind w:firstLine="709"/>
        <w:jc w:val="both"/>
        <w:rPr>
          <w:rFonts w:ascii="Times New Roman" w:hAnsi="Times New Roman" w:cs="Times New Roman"/>
          <w:b/>
          <w:sz w:val="24"/>
          <w:szCs w:val="24"/>
        </w:rPr>
      </w:pPr>
      <w:r w:rsidRPr="005C53F5">
        <w:rPr>
          <w:rFonts w:ascii="Times New Roman" w:hAnsi="Times New Roman" w:cs="Times New Roman"/>
          <w:b/>
          <w:sz w:val="24"/>
          <w:szCs w:val="24"/>
        </w:rPr>
        <w:t>8.19.10</w:t>
      </w:r>
      <w:r w:rsidR="0052332E" w:rsidRPr="005C53F5">
        <w:rPr>
          <w:rFonts w:ascii="Times New Roman" w:hAnsi="Times New Roman" w:cs="Times New Roman"/>
          <w:b/>
          <w:sz w:val="24"/>
          <w:szCs w:val="24"/>
        </w:rPr>
        <w:t xml:space="preserve">. </w:t>
      </w:r>
      <w:r w:rsidR="003B60A3" w:rsidRPr="005C53F5">
        <w:rPr>
          <w:rFonts w:ascii="Times New Roman" w:hAnsi="Times New Roman" w:cs="Times New Roman"/>
          <w:b/>
          <w:sz w:val="24"/>
          <w:szCs w:val="24"/>
        </w:rPr>
        <w:t>Обращение Облигаций на территории Республики Казахстан</w:t>
      </w:r>
    </w:p>
    <w:p w14:paraId="17C6C724" w14:textId="0966C08A" w:rsidR="00B80137" w:rsidRPr="005C53F5" w:rsidRDefault="00B80137" w:rsidP="00057BE5">
      <w:pPr>
        <w:pStyle w:val="ConsPlusNormal"/>
        <w:ind w:firstLine="709"/>
        <w:jc w:val="both"/>
        <w:rPr>
          <w:rFonts w:ascii="Times New Roman" w:hAnsi="Times New Roman" w:cs="Times New Roman"/>
          <w:b/>
          <w:bCs/>
          <w:sz w:val="24"/>
        </w:rPr>
      </w:pPr>
      <w:r w:rsidRPr="005C53F5">
        <w:rPr>
          <w:rFonts w:ascii="Times New Roman" w:hAnsi="Times New Roman" w:cs="Times New Roman"/>
          <w:b/>
          <w:bCs/>
          <w:sz w:val="24"/>
        </w:rPr>
        <w:t>ДЛЯ ОБЛИГАЦИЙ СЕРИЙ 01-14</w:t>
      </w:r>
    </w:p>
    <w:p w14:paraId="06976155" w14:textId="77777777" w:rsidR="003B60A3" w:rsidRPr="005C53F5" w:rsidRDefault="003B60A3"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 xml:space="preserve">Обращение Облигаций на территории Республики Казахстан, в том числе на </w:t>
      </w:r>
      <w:r w:rsidRPr="005C53F5">
        <w:rPr>
          <w:rFonts w:ascii="Times New Roman" w:hAnsi="Times New Roman" w:cs="Times New Roman"/>
          <w:sz w:val="24"/>
          <w:szCs w:val="24"/>
          <w:lang w:val="en-US"/>
        </w:rPr>
        <w:t>AIX</w:t>
      </w:r>
      <w:r w:rsidRPr="005C53F5">
        <w:rPr>
          <w:rFonts w:ascii="Times New Roman" w:hAnsi="Times New Roman" w:cs="Times New Roman"/>
          <w:sz w:val="24"/>
          <w:szCs w:val="24"/>
        </w:rPr>
        <w:t>, осуществляется в соответствии с Условиями выпуска и применимыми требованиями законодательства Республики Казахстан, включая действующее право Международного финансового центра «Астана».</w:t>
      </w:r>
    </w:p>
    <w:p w14:paraId="2B75B58A" w14:textId="683D447B" w:rsidR="001B6FBF" w:rsidRPr="005C53F5" w:rsidRDefault="001B6FBF" w:rsidP="00057BE5">
      <w:pPr>
        <w:pStyle w:val="ConsPlusNormal"/>
        <w:ind w:firstLine="709"/>
        <w:jc w:val="both"/>
        <w:rPr>
          <w:rFonts w:ascii="Times New Roman" w:hAnsi="Times New Roman" w:cs="Times New Roman"/>
          <w:b/>
          <w:sz w:val="24"/>
          <w:szCs w:val="24"/>
        </w:rPr>
      </w:pPr>
      <w:r w:rsidRPr="005C53F5">
        <w:rPr>
          <w:rFonts w:ascii="Times New Roman" w:hAnsi="Times New Roman" w:cs="Times New Roman"/>
          <w:b/>
          <w:sz w:val="24"/>
          <w:szCs w:val="24"/>
        </w:rPr>
        <w:br w:type="page"/>
      </w:r>
    </w:p>
    <w:p w14:paraId="5DC24AC5" w14:textId="77777777" w:rsidR="00BF5F06" w:rsidRPr="005C53F5" w:rsidRDefault="00BF5F06" w:rsidP="00057BE5">
      <w:pPr>
        <w:pStyle w:val="ConsPlusNormal"/>
        <w:ind w:firstLine="709"/>
        <w:jc w:val="both"/>
        <w:outlineLvl w:val="0"/>
        <w:rPr>
          <w:rFonts w:ascii="Times New Roman" w:hAnsi="Times New Roman" w:cs="Times New Roman"/>
          <w:b/>
          <w:sz w:val="24"/>
          <w:szCs w:val="24"/>
        </w:rPr>
      </w:pPr>
      <w:bookmarkStart w:id="520" w:name="_Toc39616424"/>
      <w:bookmarkStart w:id="521" w:name="_Toc36145663"/>
      <w:r w:rsidRPr="005C53F5">
        <w:rPr>
          <w:rFonts w:ascii="Times New Roman" w:hAnsi="Times New Roman" w:cs="Times New Roman"/>
          <w:b/>
          <w:sz w:val="24"/>
          <w:szCs w:val="24"/>
        </w:rPr>
        <w:t>Раздел IX. Дополнительные сведения об эмитенте и о размещенных им эмиссионных ценных бумагах</w:t>
      </w:r>
      <w:bookmarkEnd w:id="520"/>
      <w:bookmarkEnd w:id="521"/>
    </w:p>
    <w:p w14:paraId="01BB4707"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22" w:name="_Toc39616425"/>
      <w:bookmarkStart w:id="523" w:name="_Toc36145664"/>
      <w:r w:rsidRPr="005C53F5">
        <w:rPr>
          <w:rFonts w:ascii="Times New Roman" w:hAnsi="Times New Roman" w:cs="Times New Roman"/>
          <w:b/>
          <w:sz w:val="24"/>
          <w:szCs w:val="24"/>
        </w:rPr>
        <w:t>9.1. Дополнительные сведения об эмитенте</w:t>
      </w:r>
      <w:bookmarkEnd w:id="522"/>
      <w:bookmarkEnd w:id="523"/>
    </w:p>
    <w:p w14:paraId="08A09AC2" w14:textId="77777777"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524" w:name="_Toc39616426"/>
      <w:bookmarkStart w:id="525" w:name="_Toc36145665"/>
      <w:r w:rsidRPr="005C53F5">
        <w:rPr>
          <w:rFonts w:ascii="Times New Roman" w:hAnsi="Times New Roman" w:cs="Times New Roman"/>
          <w:b/>
          <w:sz w:val="24"/>
          <w:szCs w:val="24"/>
        </w:rPr>
        <w:t>9.1.1. Сведения о размере, структуре уставного капитала эмитента</w:t>
      </w:r>
      <w:bookmarkEnd w:id="524"/>
      <w:bookmarkEnd w:id="525"/>
    </w:p>
    <w:p w14:paraId="145DB556" w14:textId="77777777" w:rsidR="00390563" w:rsidRPr="005C53F5" w:rsidRDefault="00390563" w:rsidP="00057BE5">
      <w:pPr>
        <w:pStyle w:val="ConsPlusNormal"/>
        <w:ind w:firstLine="709"/>
        <w:jc w:val="both"/>
        <w:rPr>
          <w:rFonts w:ascii="Times New Roman" w:hAnsi="Times New Roman" w:cs="Times New Roman"/>
          <w:b/>
          <w:sz w:val="24"/>
          <w:szCs w:val="24"/>
        </w:rPr>
      </w:pPr>
      <w:bookmarkStart w:id="526" w:name="_Toc521609747"/>
      <w:bookmarkStart w:id="527" w:name="_Toc533785567"/>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526"/>
      <w:bookmarkEnd w:id="527"/>
    </w:p>
    <w:p w14:paraId="6A0258D5" w14:textId="77777777"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528" w:name="_Toc39616427"/>
      <w:bookmarkStart w:id="529" w:name="_Toc36145666"/>
      <w:r w:rsidRPr="005C53F5">
        <w:rPr>
          <w:rFonts w:ascii="Times New Roman" w:hAnsi="Times New Roman" w:cs="Times New Roman"/>
          <w:b/>
          <w:sz w:val="24"/>
          <w:szCs w:val="24"/>
        </w:rPr>
        <w:t>9.1.2. Сведения об изменении размера уставного капитала эмитента</w:t>
      </w:r>
      <w:bookmarkEnd w:id="528"/>
      <w:bookmarkEnd w:id="529"/>
    </w:p>
    <w:p w14:paraId="7716C199" w14:textId="77777777" w:rsidR="00390563" w:rsidRPr="005C53F5" w:rsidRDefault="00390563" w:rsidP="00057BE5">
      <w:pPr>
        <w:pStyle w:val="ConsPlusNormal"/>
        <w:ind w:firstLine="709"/>
        <w:jc w:val="both"/>
        <w:rPr>
          <w:rFonts w:ascii="Times New Roman" w:hAnsi="Times New Roman" w:cs="Times New Roman"/>
          <w:b/>
          <w:sz w:val="24"/>
          <w:szCs w:val="24"/>
        </w:rPr>
      </w:pPr>
      <w:bookmarkStart w:id="530" w:name="_Toc521609749"/>
      <w:bookmarkStart w:id="531" w:name="_Toc533785569"/>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530"/>
      <w:bookmarkEnd w:id="531"/>
    </w:p>
    <w:p w14:paraId="3F0E076A" w14:textId="77777777"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532" w:name="_Toc39616428"/>
      <w:bookmarkStart w:id="533" w:name="_Toc36145667"/>
      <w:r w:rsidRPr="005C53F5">
        <w:rPr>
          <w:rFonts w:ascii="Times New Roman" w:hAnsi="Times New Roman" w:cs="Times New Roman"/>
          <w:b/>
          <w:sz w:val="24"/>
          <w:szCs w:val="24"/>
        </w:rPr>
        <w:t>9.1.3. Сведения о порядке созыва и проведения собрания (заседания) высшего органа управления эмитента</w:t>
      </w:r>
      <w:bookmarkEnd w:id="532"/>
      <w:bookmarkEnd w:id="533"/>
    </w:p>
    <w:p w14:paraId="183F38AA" w14:textId="77777777" w:rsidR="00390563" w:rsidRPr="005C53F5" w:rsidRDefault="00390563" w:rsidP="00057BE5">
      <w:pPr>
        <w:pStyle w:val="ConsPlusNormal"/>
        <w:ind w:firstLine="709"/>
        <w:jc w:val="both"/>
        <w:rPr>
          <w:rFonts w:ascii="Times New Roman" w:hAnsi="Times New Roman" w:cs="Times New Roman"/>
          <w:b/>
          <w:sz w:val="24"/>
          <w:szCs w:val="24"/>
        </w:rPr>
      </w:pPr>
      <w:bookmarkStart w:id="534" w:name="_Toc521609751"/>
      <w:bookmarkStart w:id="535" w:name="_Toc533785571"/>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534"/>
      <w:bookmarkEnd w:id="535"/>
    </w:p>
    <w:p w14:paraId="4C6D8C5A" w14:textId="77777777"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536" w:name="_Toc39616429"/>
      <w:bookmarkStart w:id="537" w:name="_Toc36145668"/>
      <w:r w:rsidRPr="005C53F5">
        <w:rPr>
          <w:rFonts w:ascii="Times New Roman" w:hAnsi="Times New Roman" w:cs="Times New Roman"/>
          <w:b/>
          <w:sz w:val="24"/>
          <w:szCs w:val="24"/>
        </w:rPr>
        <w:t>9.1.4.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536"/>
      <w:bookmarkEnd w:id="537"/>
    </w:p>
    <w:p w14:paraId="21AE342F" w14:textId="77777777" w:rsidR="00390563" w:rsidRPr="005C53F5" w:rsidRDefault="00390563" w:rsidP="00057BE5">
      <w:pPr>
        <w:pStyle w:val="ConsPlusNormal"/>
        <w:ind w:firstLine="709"/>
        <w:jc w:val="both"/>
        <w:rPr>
          <w:rFonts w:ascii="Times New Roman" w:hAnsi="Times New Roman" w:cs="Times New Roman"/>
          <w:b/>
          <w:sz w:val="24"/>
          <w:szCs w:val="24"/>
        </w:rPr>
      </w:pPr>
      <w:bookmarkStart w:id="538" w:name="_Toc521609753"/>
      <w:bookmarkStart w:id="539" w:name="_Toc533785573"/>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538"/>
      <w:bookmarkEnd w:id="539"/>
    </w:p>
    <w:p w14:paraId="3314C099" w14:textId="77777777"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540" w:name="_Toc39616430"/>
      <w:bookmarkStart w:id="541" w:name="_Toc36145669"/>
      <w:r w:rsidRPr="005C53F5">
        <w:rPr>
          <w:rFonts w:ascii="Times New Roman" w:hAnsi="Times New Roman" w:cs="Times New Roman"/>
          <w:b/>
          <w:sz w:val="24"/>
          <w:szCs w:val="24"/>
        </w:rPr>
        <w:t>9.1.5. Сведения о существенных сделках, совершенных эмитентом</w:t>
      </w:r>
      <w:bookmarkEnd w:id="540"/>
      <w:bookmarkEnd w:id="541"/>
    </w:p>
    <w:p w14:paraId="3E2D7909" w14:textId="77777777" w:rsidR="00390563" w:rsidRPr="005C53F5" w:rsidRDefault="00390563" w:rsidP="00057BE5">
      <w:pPr>
        <w:pStyle w:val="ConsPlusNormal"/>
        <w:ind w:firstLine="709"/>
        <w:jc w:val="both"/>
        <w:rPr>
          <w:rFonts w:ascii="Times New Roman" w:hAnsi="Times New Roman" w:cs="Times New Roman"/>
          <w:b/>
          <w:sz w:val="24"/>
          <w:szCs w:val="24"/>
        </w:rPr>
      </w:pPr>
      <w:bookmarkStart w:id="542" w:name="_Toc521609755"/>
      <w:bookmarkStart w:id="543" w:name="_Toc533785575"/>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542"/>
      <w:bookmarkEnd w:id="543"/>
    </w:p>
    <w:p w14:paraId="718924BC" w14:textId="6C34847C" w:rsidR="00BF5F06" w:rsidRPr="005C53F5" w:rsidRDefault="00BF5F06" w:rsidP="00057BE5">
      <w:pPr>
        <w:pStyle w:val="ConsPlusNormal"/>
        <w:ind w:firstLine="709"/>
        <w:jc w:val="both"/>
        <w:outlineLvl w:val="2"/>
        <w:rPr>
          <w:rFonts w:ascii="Times New Roman" w:hAnsi="Times New Roman" w:cs="Times New Roman"/>
          <w:b/>
          <w:sz w:val="24"/>
          <w:szCs w:val="24"/>
        </w:rPr>
      </w:pPr>
      <w:bookmarkStart w:id="544" w:name="_Toc36145670"/>
      <w:bookmarkStart w:id="545" w:name="_Toc39616431"/>
      <w:r w:rsidRPr="005C53F5">
        <w:rPr>
          <w:rFonts w:ascii="Times New Roman" w:hAnsi="Times New Roman" w:cs="Times New Roman"/>
          <w:b/>
          <w:sz w:val="24"/>
          <w:szCs w:val="24"/>
        </w:rPr>
        <w:t>9.1.6. Сведения о</w:t>
      </w:r>
      <w:bookmarkEnd w:id="544"/>
      <w:r w:rsidR="00133D55" w:rsidRPr="005C53F5">
        <w:rPr>
          <w:rFonts w:ascii="Times New Roman" w:eastAsia="Calibri" w:hAnsi="Times New Roman" w:cs="Times New Roman"/>
          <w:b/>
          <w:bCs/>
          <w:sz w:val="24"/>
          <w:szCs w:val="24"/>
          <w:lang w:eastAsia="en-US"/>
        </w:rPr>
        <w:t xml:space="preserve"> кредитных рейтингах эмитента</w:t>
      </w:r>
      <w:bookmarkEnd w:id="545"/>
    </w:p>
    <w:p w14:paraId="221F4752" w14:textId="2E1F739A"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Республика Казахстан имеет рейтинги, присвоенные ведущими международными рейтинговыми агентства. По версии рейтингового агентства Fitch Ratings (пресс-релиз от </w:t>
      </w:r>
      <w:r w:rsidR="007D4123" w:rsidRPr="005C53F5">
        <w:rPr>
          <w:rFonts w:ascii="Times New Roman" w:eastAsia="Calibri" w:hAnsi="Times New Roman" w:cs="Times New Roman"/>
          <w:sz w:val="24"/>
          <w:szCs w:val="24"/>
        </w:rPr>
        <w:t>21 февраля</w:t>
      </w:r>
      <w:r w:rsidRPr="005C53F5">
        <w:rPr>
          <w:rFonts w:ascii="Times New Roman" w:eastAsia="Calibri" w:hAnsi="Times New Roman" w:cs="Times New Roman"/>
          <w:sz w:val="24"/>
          <w:szCs w:val="24"/>
        </w:rPr>
        <w:t xml:space="preserve"> 2020 года) Казахстану подтверждён долгосрочный суверенный кредитный рейтинг в иностранной и национальной валюте на уровне «</w:t>
      </w:r>
      <w:r w:rsidRPr="005C53F5">
        <w:rPr>
          <w:rFonts w:ascii="Times New Roman" w:eastAsia="Calibri" w:hAnsi="Times New Roman" w:cs="Times New Roman"/>
          <w:sz w:val="24"/>
          <w:szCs w:val="24"/>
          <w:lang w:val="en-US"/>
        </w:rPr>
        <w:t>BBB</w:t>
      </w:r>
      <w:r w:rsidRPr="005C53F5">
        <w:rPr>
          <w:rFonts w:ascii="Times New Roman" w:eastAsia="Calibri" w:hAnsi="Times New Roman" w:cs="Times New Roman"/>
          <w:sz w:val="24"/>
          <w:szCs w:val="24"/>
        </w:rPr>
        <w:t>» (прогноз «стабильный»)</w:t>
      </w:r>
      <w:r w:rsidR="00FC58B1" w:rsidRPr="005C53F5">
        <w:rPr>
          <w:rFonts w:ascii="Times New Roman" w:eastAsia="Calibri" w:hAnsi="Times New Roman" w:cs="Times New Roman"/>
          <w:sz w:val="24"/>
          <w:szCs w:val="24"/>
        </w:rPr>
        <w:t>, а</w:t>
      </w:r>
      <w:r w:rsidR="00FC58B1" w:rsidRPr="005C53F5">
        <w:t xml:space="preserve"> </w:t>
      </w:r>
      <w:r w:rsidR="00FC58B1" w:rsidRPr="005C53F5">
        <w:rPr>
          <w:rFonts w:ascii="Times New Roman" w:eastAsia="Calibri" w:hAnsi="Times New Roman" w:cs="Times New Roman"/>
          <w:sz w:val="24"/>
          <w:szCs w:val="24"/>
        </w:rPr>
        <w:t>краткосрочный кредитный рейтинг в иностранной и национальной валюте на уровне «F2».</w:t>
      </w:r>
      <w:r w:rsidRPr="005C53F5">
        <w:rPr>
          <w:rFonts w:ascii="Times New Roman" w:eastAsia="Calibri" w:hAnsi="Times New Roman" w:cs="Times New Roman"/>
          <w:sz w:val="24"/>
          <w:szCs w:val="24"/>
        </w:rPr>
        <w:t xml:space="preserve"> Согласно оценке рейтингового агентства Moody's (пресс-релиз от </w:t>
      </w:r>
      <w:r w:rsidR="0063176B" w:rsidRPr="005C53F5">
        <w:rPr>
          <w:rFonts w:ascii="Times New Roman" w:eastAsia="Calibri" w:hAnsi="Times New Roman" w:cs="Times New Roman"/>
          <w:sz w:val="24"/>
          <w:szCs w:val="24"/>
        </w:rPr>
        <w:t xml:space="preserve">22 августа 2019 </w:t>
      </w:r>
      <w:r w:rsidRPr="005C53F5">
        <w:rPr>
          <w:rFonts w:ascii="Times New Roman" w:eastAsia="Calibri" w:hAnsi="Times New Roman" w:cs="Times New Roman"/>
          <w:sz w:val="24"/>
          <w:szCs w:val="24"/>
        </w:rPr>
        <w:t xml:space="preserve">года), Казахстану подтверждён долгосрочный суверенный кредитный рейтинг в иностранной валюте и в национальной на уровне «Baa3» (прогноз </w:t>
      </w:r>
      <w:r w:rsidR="007D4123" w:rsidRPr="005C53F5">
        <w:rPr>
          <w:rFonts w:ascii="Times New Roman" w:eastAsia="Calibri" w:hAnsi="Times New Roman" w:cs="Times New Roman"/>
          <w:sz w:val="24"/>
          <w:szCs w:val="24"/>
          <w:lang w:val="kk-KZ"/>
        </w:rPr>
        <w:t>улучшен с</w:t>
      </w:r>
      <w:r w:rsidR="007D4123" w:rsidRPr="005C53F5">
        <w:rPr>
          <w:rFonts w:ascii="Times New Roman" w:eastAsia="Calibri" w:hAnsi="Times New Roman" w:cs="Times New Roman"/>
          <w:sz w:val="24"/>
          <w:szCs w:val="24"/>
        </w:rPr>
        <w:t xml:space="preserve"> «стабильного»</w:t>
      </w:r>
      <w:r w:rsidR="007D4123" w:rsidRPr="005C53F5">
        <w:rPr>
          <w:rFonts w:ascii="Times New Roman" w:eastAsia="Calibri" w:hAnsi="Times New Roman" w:cs="Times New Roman"/>
          <w:sz w:val="24"/>
          <w:szCs w:val="24"/>
          <w:lang w:val="kk-KZ"/>
        </w:rPr>
        <w:t xml:space="preserve"> на</w:t>
      </w:r>
      <w:r w:rsidR="007D4123" w:rsidRPr="005C53F5">
        <w:rPr>
          <w:rFonts w:ascii="Times New Roman" w:eastAsia="Calibri" w:hAnsi="Times New Roman" w:cs="Times New Roman"/>
          <w:sz w:val="24"/>
          <w:szCs w:val="24"/>
        </w:rPr>
        <w:t xml:space="preserve"> «</w:t>
      </w:r>
      <w:r w:rsidRPr="005C53F5">
        <w:rPr>
          <w:rFonts w:ascii="Times New Roman" w:eastAsia="Calibri" w:hAnsi="Times New Roman" w:cs="Times New Roman"/>
          <w:sz w:val="24"/>
          <w:szCs w:val="24"/>
        </w:rPr>
        <w:t>позитивный»). По версии рейтингового агентства Standard &amp; Poor’s (пр</w:t>
      </w:r>
      <w:r w:rsidR="002D6A6E" w:rsidRPr="005C53F5">
        <w:rPr>
          <w:rFonts w:ascii="Times New Roman" w:eastAsia="Calibri" w:hAnsi="Times New Roman" w:cs="Times New Roman"/>
          <w:sz w:val="24"/>
          <w:szCs w:val="24"/>
        </w:rPr>
        <w:t xml:space="preserve">есс-релиз от </w:t>
      </w:r>
      <w:r w:rsidR="007D4123" w:rsidRPr="005C53F5">
        <w:rPr>
          <w:rFonts w:ascii="Times New Roman" w:eastAsia="Calibri" w:hAnsi="Times New Roman" w:cs="Times New Roman"/>
          <w:sz w:val="24"/>
          <w:szCs w:val="24"/>
        </w:rPr>
        <w:t>2</w:t>
      </w:r>
      <w:r w:rsidR="002D6A6E" w:rsidRPr="005C53F5">
        <w:rPr>
          <w:rFonts w:ascii="Times New Roman" w:eastAsia="Calibri" w:hAnsi="Times New Roman" w:cs="Times New Roman"/>
          <w:sz w:val="24"/>
          <w:szCs w:val="24"/>
        </w:rPr>
        <w:t>6 марта 2020 года)</w:t>
      </w:r>
      <w:r w:rsidRPr="005C53F5">
        <w:rPr>
          <w:rFonts w:ascii="Times New Roman" w:eastAsia="Calibri" w:hAnsi="Times New Roman" w:cs="Times New Roman"/>
          <w:sz w:val="24"/>
          <w:szCs w:val="24"/>
        </w:rPr>
        <w:t xml:space="preserve"> Казахстану подтверждены долгосрочные суверенные кредитные рейтинги в иностранной и национальной валюте «</w:t>
      </w:r>
      <w:r w:rsidRPr="005C53F5">
        <w:rPr>
          <w:rFonts w:ascii="Times New Roman" w:eastAsia="Calibri" w:hAnsi="Times New Roman" w:cs="Times New Roman"/>
          <w:sz w:val="24"/>
          <w:szCs w:val="24"/>
          <w:lang w:val="en-US"/>
        </w:rPr>
        <w:t>BBB</w:t>
      </w:r>
      <w:r w:rsidR="00961F5A" w:rsidRPr="005C53F5">
        <w:rPr>
          <w:rFonts w:ascii="Times New Roman" w:eastAsia="Calibri" w:hAnsi="Times New Roman" w:cs="Times New Roman"/>
          <w:sz w:val="24"/>
          <w:szCs w:val="24"/>
        </w:rPr>
        <w:t>-</w:t>
      </w:r>
      <w:r w:rsidRPr="005C53F5">
        <w:rPr>
          <w:rFonts w:ascii="Times New Roman" w:eastAsia="Calibri" w:hAnsi="Times New Roman" w:cs="Times New Roman"/>
          <w:sz w:val="24"/>
          <w:szCs w:val="24"/>
        </w:rPr>
        <w:t>» (прогноз «стабильный»)</w:t>
      </w:r>
      <w:r w:rsidR="0005031B" w:rsidRPr="005C53F5">
        <w:rPr>
          <w:rFonts w:ascii="Times New Roman" w:eastAsia="Calibri" w:hAnsi="Times New Roman" w:cs="Times New Roman"/>
          <w:sz w:val="24"/>
          <w:szCs w:val="24"/>
        </w:rPr>
        <w:t>, краткосрочные суверенные кредитные рейтинги в иностранной и национальной валюте «А-3», а также долгосрочный рейтинг по национальной шкале - «kzAAA».</w:t>
      </w:r>
      <w:r w:rsidRPr="005C53F5">
        <w:rPr>
          <w:rFonts w:ascii="Times New Roman" w:eastAsia="Calibri" w:hAnsi="Times New Roman" w:cs="Times New Roman"/>
          <w:sz w:val="24"/>
          <w:szCs w:val="24"/>
        </w:rPr>
        <w:t xml:space="preserve"> Кредитный профиль Казахстана поддерживается очень низким уровнем государственного долга, доступностью заёмного капитала и наличием весомых налоговых резервов, размещенных в активах, номинированных в иностранной валюте, которые и обеспечивают существенную защиту от возможных внешних шоков. Такая кредитоспособность Казахстана уравновешивает недостаточную диверсификацию экономики страны, слабую, но в то же время постепенно развивающуюся систему институтов (учреждений), уязвимость банковского сектора и долгосрочные политические риски переходного периода (или долгосрочные риски политического транзита).</w:t>
      </w:r>
    </w:p>
    <w:p w14:paraId="24FFC80B" w14:textId="05E7ACC0"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Также 18.03.2020</w:t>
      </w:r>
      <w:r w:rsidR="00F2742E" w:rsidRPr="005C53F5">
        <w:rPr>
          <w:rFonts w:ascii="Times New Roman" w:eastAsia="Calibri" w:hAnsi="Times New Roman" w:cs="Times New Roman"/>
          <w:sz w:val="24"/>
          <w:szCs w:val="24"/>
        </w:rPr>
        <w:t xml:space="preserve"> российским рейтинговым агентством АКРА</w:t>
      </w:r>
      <w:r w:rsidRPr="005C53F5">
        <w:rPr>
          <w:rFonts w:ascii="Times New Roman" w:eastAsia="Calibri" w:hAnsi="Times New Roman" w:cs="Times New Roman"/>
          <w:sz w:val="24"/>
          <w:szCs w:val="24"/>
        </w:rPr>
        <w:t xml:space="preserve"> Эмитенту был присвоен </w:t>
      </w:r>
      <w:r w:rsidR="00F2742E" w:rsidRPr="005C53F5">
        <w:rPr>
          <w:rFonts w:ascii="Times New Roman" w:eastAsia="Calibri" w:hAnsi="Times New Roman" w:cs="Times New Roman"/>
          <w:sz w:val="24"/>
          <w:szCs w:val="24"/>
        </w:rPr>
        <w:t xml:space="preserve">долгосрочный </w:t>
      </w:r>
      <w:r w:rsidRPr="005C53F5">
        <w:rPr>
          <w:rFonts w:ascii="Times New Roman" w:eastAsia="Calibri" w:hAnsi="Times New Roman" w:cs="Times New Roman"/>
          <w:sz w:val="24"/>
          <w:szCs w:val="24"/>
        </w:rPr>
        <w:t xml:space="preserve">кредитный рейтинг в иностранной и национальной </w:t>
      </w:r>
      <w:r w:rsidR="00F2742E" w:rsidRPr="005C53F5">
        <w:rPr>
          <w:rFonts w:ascii="Times New Roman" w:eastAsia="Calibri" w:hAnsi="Times New Roman" w:cs="Times New Roman"/>
          <w:sz w:val="24"/>
          <w:szCs w:val="24"/>
        </w:rPr>
        <w:t xml:space="preserve">валюте </w:t>
      </w:r>
      <w:r w:rsidRPr="005C53F5">
        <w:rPr>
          <w:rFonts w:ascii="Times New Roman" w:eastAsia="Calibri" w:hAnsi="Times New Roman" w:cs="Times New Roman"/>
          <w:sz w:val="24"/>
          <w:szCs w:val="24"/>
        </w:rPr>
        <w:t>на уровне «BBB+» (прогноз «негативный»)</w:t>
      </w:r>
      <w:r w:rsidR="00F2742E" w:rsidRPr="005C53F5">
        <w:rPr>
          <w:rFonts w:ascii="Times New Roman" w:eastAsia="Calibri" w:hAnsi="Times New Roman" w:cs="Times New Roman"/>
          <w:sz w:val="24"/>
          <w:szCs w:val="24"/>
        </w:rPr>
        <w:t>, а также краткосрочный кредитный рейтинг в иностранной и национальной валюте на уровне «S-2»</w:t>
      </w:r>
      <w:r w:rsidR="00924B0B" w:rsidRPr="005C53F5">
        <w:rPr>
          <w:rFonts w:ascii="Times New Roman" w:eastAsia="Calibri" w:hAnsi="Times New Roman" w:cs="Times New Roman"/>
          <w:sz w:val="24"/>
          <w:szCs w:val="24"/>
        </w:rPr>
        <w:t>.</w:t>
      </w:r>
    </w:p>
    <w:p w14:paraId="03AA21C5"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15 ноября 2017 рейтинговое агентство Dagong Global присвоило долгосрочный кредитный рейтинг в иностранной валюте на уровне «BBB-» (прогноз «стабильный») и национальной валюте на уровне «BBB» (прогноз «стабильный»).</w:t>
      </w:r>
    </w:p>
    <w:p w14:paraId="30DE38E4" w14:textId="711CFF2D" w:rsidR="00133D55" w:rsidRPr="005C53F5" w:rsidRDefault="00133D55"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00C61396" w:rsidRPr="005C53F5">
        <w:rPr>
          <w:rFonts w:ascii="Times New Roman" w:eastAsia="Calibri" w:hAnsi="Times New Roman" w:cs="Times New Roman"/>
          <w:b/>
          <w:bCs/>
          <w:i/>
          <w:iCs/>
          <w:sz w:val="24"/>
          <w:szCs w:val="24"/>
        </w:rPr>
        <w:t xml:space="preserve">Республика </w:t>
      </w:r>
      <w:r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583950C1" w14:textId="23DAF407"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 w:eastAsia="Calibri" w:hAnsi="Times New Roman" w:cs="Times New Roman"/>
          <w:i/>
          <w:sz w:val="24"/>
          <w:szCs w:val="24"/>
        </w:rPr>
        <w:t xml:space="preserve"> </w:t>
      </w:r>
      <w:r w:rsidRPr="005C53F5">
        <w:rPr>
          <w:rFonts w:ascii="Times New Roman" w:eastAsia="Calibri" w:hAnsi="Times New Roman" w:cs="Times New Roman"/>
          <w:b/>
          <w:i/>
          <w:sz w:val="24"/>
          <w:szCs w:val="24"/>
        </w:rPr>
        <w:t>долгосрочный суверенный кредитный рейтинг в иностранной валюте на уровне «BBB», прогноз «стабильный»; долгосрочный суверенный кредитный рейтинг в национальной валюте на уровне «BBB», прогноз «стабильный»</w:t>
      </w:r>
      <w:r w:rsidR="00FC58B1" w:rsidRPr="005C53F5">
        <w:rPr>
          <w:rFonts w:ascii="Times New Roman" w:eastAsia="Calibri" w:hAnsi="Times New Roman" w:cs="Times New Roman"/>
          <w:b/>
          <w:i/>
          <w:sz w:val="24"/>
          <w:szCs w:val="24"/>
        </w:rPr>
        <w:t>; краткосрочный кредитный рейтинг в иностранной и национальной валюте на уровне «</w:t>
      </w:r>
      <w:r w:rsidR="00FC58B1" w:rsidRPr="005C53F5">
        <w:rPr>
          <w:rFonts w:ascii="Times New Roman" w:eastAsia="Calibri" w:hAnsi="Times New Roman" w:cs="Times New Roman"/>
          <w:b/>
          <w:i/>
          <w:sz w:val="24"/>
          <w:szCs w:val="24"/>
          <w:lang w:val="en-US"/>
        </w:rPr>
        <w:t>F</w:t>
      </w:r>
      <w:r w:rsidR="00FC58B1" w:rsidRPr="005C53F5">
        <w:rPr>
          <w:rFonts w:ascii="Times New Roman" w:eastAsia="Calibri" w:hAnsi="Times New Roman" w:cs="Times New Roman"/>
          <w:b/>
          <w:i/>
          <w:sz w:val="24"/>
          <w:szCs w:val="24"/>
        </w:rPr>
        <w:t>2»;</w:t>
      </w:r>
    </w:p>
    <w:p w14:paraId="29DBD25C"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 </w:t>
      </w:r>
    </w:p>
    <w:p w14:paraId="7121C984" w14:textId="3B12527D"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1 мая 2015</w:t>
      </w:r>
      <w:r w:rsidR="00F94240" w:rsidRPr="005C53F5">
        <w:rPr>
          <w:rFonts w:ascii="Times New Roman" w:eastAsia="Calibri" w:hAnsi="Times New Roman" w:cs="Times New Roman"/>
          <w:b/>
          <w:i/>
          <w:sz w:val="24"/>
          <w:szCs w:val="24"/>
        </w:rPr>
        <w:t xml:space="preserve"> года</w:t>
      </w:r>
      <w:r w:rsidRPr="005C53F5">
        <w:rPr>
          <w:rFonts w:ascii="Times New Roman" w:eastAsia="Calibri" w:hAnsi="Times New Roman" w:cs="Times New Roman"/>
          <w:b/>
          <w:i/>
          <w:sz w:val="24"/>
          <w:szCs w:val="24"/>
        </w:rPr>
        <w:t xml:space="preserve"> международное рейтинговое агентство Fitch Ratings подтвердило долгосрочный рейтинг Казахстана в иностранной валюте на уровне «BBB+», прогноз «стабильный», а в национальной валюте подтвердило на уровне «A-», прогноз «стабильный»</w:t>
      </w:r>
      <w:r w:rsidR="00420724" w:rsidRPr="005C53F5">
        <w:rPr>
          <w:rFonts w:ascii="Times New Roman" w:eastAsia="Calibri" w:hAnsi="Times New Roman" w:cs="Times New Roman"/>
          <w:b/>
          <w:i/>
          <w:sz w:val="24"/>
          <w:szCs w:val="24"/>
        </w:rPr>
        <w:t>, краткосрочный рейтинг в иностранной валюте также был подтвержден на уровне «</w:t>
      </w:r>
      <w:r w:rsidR="00420724" w:rsidRPr="005C53F5">
        <w:rPr>
          <w:rFonts w:ascii="Times New Roman" w:eastAsia="Calibri" w:hAnsi="Times New Roman" w:cs="Times New Roman"/>
          <w:b/>
          <w:i/>
          <w:sz w:val="24"/>
          <w:szCs w:val="24"/>
          <w:lang w:val="en-US"/>
        </w:rPr>
        <w:t>F</w:t>
      </w:r>
      <w:r w:rsidR="00420724" w:rsidRPr="005C53F5">
        <w:rPr>
          <w:rFonts w:ascii="Times New Roman" w:eastAsia="Calibri" w:hAnsi="Times New Roman" w:cs="Times New Roman"/>
          <w:b/>
          <w:i/>
          <w:sz w:val="24"/>
          <w:szCs w:val="24"/>
        </w:rPr>
        <w:t>-2».</w:t>
      </w:r>
      <w:r w:rsidRPr="005C53F5">
        <w:rPr>
          <w:rFonts w:ascii="Times New Roman" w:eastAsia="Calibri" w:hAnsi="Times New Roman" w:cs="Times New Roman"/>
          <w:b/>
          <w:i/>
          <w:sz w:val="24"/>
          <w:szCs w:val="24"/>
        </w:rPr>
        <w:t xml:space="preserve"> 30 октября 2015</w:t>
      </w:r>
      <w:r w:rsidR="00F94240" w:rsidRPr="005C53F5">
        <w:rPr>
          <w:rFonts w:ascii="Times New Roman" w:eastAsia="Calibri" w:hAnsi="Times New Roman" w:cs="Times New Roman"/>
          <w:b/>
          <w:i/>
          <w:sz w:val="24"/>
          <w:szCs w:val="24"/>
        </w:rPr>
        <w:t xml:space="preserve"> года</w:t>
      </w:r>
      <w:r w:rsidRPr="005C53F5">
        <w:rPr>
          <w:rFonts w:ascii="Times New Roman" w:eastAsia="Calibri" w:hAnsi="Times New Roman" w:cs="Times New Roman"/>
          <w:b/>
          <w:i/>
          <w:sz w:val="24"/>
          <w:szCs w:val="24"/>
        </w:rPr>
        <w:t xml:space="preserve"> рейтинги в иностранной и национальной валюте остались неизменными. 29 апреля 2016</w:t>
      </w:r>
      <w:r w:rsidR="00F94240" w:rsidRPr="005C53F5">
        <w:rPr>
          <w:rFonts w:ascii="Times New Roman" w:eastAsia="Calibri" w:hAnsi="Times New Roman" w:cs="Times New Roman"/>
          <w:b/>
          <w:i/>
          <w:sz w:val="24"/>
          <w:szCs w:val="24"/>
        </w:rPr>
        <w:t xml:space="preserve"> года</w:t>
      </w:r>
      <w:r w:rsidRPr="005C53F5">
        <w:rPr>
          <w:rFonts w:ascii="Times New Roman" w:eastAsia="Calibri" w:hAnsi="Times New Roman" w:cs="Times New Roman"/>
          <w:b/>
          <w:i/>
          <w:sz w:val="24"/>
          <w:szCs w:val="24"/>
        </w:rPr>
        <w:t xml:space="preserve"> рейтинг в иностранной и национальной валюте был понижен до уровня «BBB», прогноз «стабильный»</w:t>
      </w:r>
      <w:r w:rsidR="00420724" w:rsidRPr="005C53F5">
        <w:rPr>
          <w:rFonts w:ascii="Times New Roman" w:eastAsia="Calibri" w:hAnsi="Times New Roman" w:cs="Times New Roman"/>
          <w:b/>
          <w:i/>
          <w:sz w:val="24"/>
          <w:szCs w:val="24"/>
        </w:rPr>
        <w:t>, а краткосрочный рейтинг в иностранной валюте был подтвержден на уровне «</w:t>
      </w:r>
      <w:r w:rsidR="00420724" w:rsidRPr="005C53F5">
        <w:rPr>
          <w:rFonts w:ascii="Times New Roman" w:eastAsia="Calibri" w:hAnsi="Times New Roman" w:cs="Times New Roman"/>
          <w:b/>
          <w:i/>
          <w:sz w:val="24"/>
          <w:szCs w:val="24"/>
          <w:lang w:val="en-US"/>
        </w:rPr>
        <w:t>F</w:t>
      </w:r>
      <w:r w:rsidR="00420724" w:rsidRPr="005C53F5">
        <w:rPr>
          <w:rFonts w:ascii="Times New Roman" w:eastAsia="Calibri" w:hAnsi="Times New Roman" w:cs="Times New Roman"/>
          <w:b/>
          <w:i/>
          <w:sz w:val="24"/>
          <w:szCs w:val="24"/>
        </w:rPr>
        <w:t xml:space="preserve">-2».  </w:t>
      </w:r>
      <w:r w:rsidRPr="005C53F5">
        <w:rPr>
          <w:rFonts w:ascii="Times New Roman" w:eastAsia="Calibri" w:hAnsi="Times New Roman" w:cs="Times New Roman"/>
          <w:b/>
          <w:i/>
          <w:sz w:val="24"/>
          <w:szCs w:val="24"/>
        </w:rPr>
        <w:t>28 октября 2016</w:t>
      </w:r>
      <w:r w:rsidR="00F94240" w:rsidRPr="005C53F5">
        <w:rPr>
          <w:rFonts w:ascii="Times New Roman" w:eastAsia="Calibri" w:hAnsi="Times New Roman" w:cs="Times New Roman"/>
          <w:b/>
          <w:i/>
          <w:sz w:val="24"/>
          <w:szCs w:val="24"/>
        </w:rPr>
        <w:t xml:space="preserve"> года</w:t>
      </w:r>
      <w:r w:rsidRPr="005C53F5">
        <w:rPr>
          <w:rFonts w:ascii="Times New Roman" w:eastAsia="Calibri" w:hAnsi="Times New Roman" w:cs="Times New Roman"/>
          <w:b/>
          <w:i/>
          <w:sz w:val="24"/>
          <w:szCs w:val="24"/>
        </w:rPr>
        <w:t>, 21 апреля 2017</w:t>
      </w:r>
      <w:r w:rsidR="00F94240" w:rsidRPr="005C53F5">
        <w:rPr>
          <w:rFonts w:ascii="Times New Roman" w:eastAsia="Calibri" w:hAnsi="Times New Roman" w:cs="Times New Roman"/>
          <w:b/>
          <w:i/>
          <w:sz w:val="24"/>
          <w:szCs w:val="24"/>
        </w:rPr>
        <w:t xml:space="preserve"> года</w:t>
      </w:r>
      <w:r w:rsidRPr="005C53F5">
        <w:rPr>
          <w:rFonts w:ascii="Times New Roman" w:eastAsia="Calibri" w:hAnsi="Times New Roman" w:cs="Times New Roman"/>
          <w:b/>
          <w:i/>
          <w:sz w:val="24"/>
          <w:szCs w:val="24"/>
        </w:rPr>
        <w:t>, 20 октября 2017</w:t>
      </w:r>
      <w:r w:rsidR="00F94240" w:rsidRPr="005C53F5">
        <w:rPr>
          <w:rFonts w:ascii="Times New Roman" w:eastAsia="Calibri" w:hAnsi="Times New Roman" w:cs="Times New Roman"/>
          <w:b/>
          <w:i/>
          <w:sz w:val="24"/>
          <w:szCs w:val="24"/>
        </w:rPr>
        <w:t xml:space="preserve"> года</w:t>
      </w:r>
      <w:r w:rsidRPr="005C53F5">
        <w:rPr>
          <w:rFonts w:ascii="Times New Roman" w:eastAsia="Calibri" w:hAnsi="Times New Roman" w:cs="Times New Roman"/>
          <w:b/>
          <w:i/>
          <w:sz w:val="24"/>
          <w:szCs w:val="24"/>
        </w:rPr>
        <w:t>, 13 апреля 2018</w:t>
      </w:r>
      <w:r w:rsidR="00F94240" w:rsidRPr="005C53F5">
        <w:rPr>
          <w:rFonts w:ascii="Times New Roman" w:eastAsia="Calibri" w:hAnsi="Times New Roman" w:cs="Times New Roman"/>
          <w:b/>
          <w:i/>
          <w:sz w:val="24"/>
          <w:szCs w:val="24"/>
        </w:rPr>
        <w:t xml:space="preserve"> года</w:t>
      </w:r>
      <w:r w:rsidRPr="005C53F5">
        <w:rPr>
          <w:rFonts w:ascii="Times New Roman" w:eastAsia="Calibri" w:hAnsi="Times New Roman" w:cs="Times New Roman"/>
          <w:b/>
          <w:i/>
          <w:sz w:val="24"/>
          <w:szCs w:val="24"/>
        </w:rPr>
        <w:t>, 28 сентября 2018</w:t>
      </w:r>
      <w:r w:rsidR="00F94240" w:rsidRPr="005C53F5">
        <w:rPr>
          <w:rFonts w:ascii="Times New Roman" w:eastAsia="Calibri" w:hAnsi="Times New Roman" w:cs="Times New Roman"/>
          <w:b/>
          <w:i/>
          <w:sz w:val="24"/>
          <w:szCs w:val="24"/>
        </w:rPr>
        <w:t xml:space="preserve"> года</w:t>
      </w:r>
      <w:r w:rsidRPr="005C53F5">
        <w:rPr>
          <w:rFonts w:ascii="Times New Roman" w:eastAsia="Calibri" w:hAnsi="Times New Roman" w:cs="Times New Roman"/>
          <w:b/>
          <w:i/>
          <w:sz w:val="24"/>
          <w:szCs w:val="24"/>
        </w:rPr>
        <w:t>, 22 марта 2019</w:t>
      </w:r>
      <w:r w:rsidR="00F94240" w:rsidRPr="005C53F5">
        <w:rPr>
          <w:rFonts w:ascii="Times New Roman" w:eastAsia="Calibri" w:hAnsi="Times New Roman" w:cs="Times New Roman"/>
          <w:b/>
          <w:i/>
          <w:sz w:val="24"/>
          <w:szCs w:val="24"/>
        </w:rPr>
        <w:t xml:space="preserve"> года</w:t>
      </w:r>
      <w:r w:rsidRPr="005C53F5">
        <w:rPr>
          <w:rFonts w:ascii="Times New Roman" w:eastAsia="Calibri" w:hAnsi="Times New Roman" w:cs="Times New Roman"/>
          <w:b/>
          <w:i/>
          <w:sz w:val="24"/>
          <w:szCs w:val="24"/>
        </w:rPr>
        <w:t xml:space="preserve">, 6 сентября 2019 </w:t>
      </w:r>
      <w:r w:rsidR="00F94240" w:rsidRPr="005C53F5">
        <w:rPr>
          <w:rFonts w:ascii="Times New Roman" w:eastAsia="Calibri" w:hAnsi="Times New Roman" w:cs="Times New Roman"/>
          <w:b/>
          <w:i/>
          <w:sz w:val="24"/>
          <w:szCs w:val="24"/>
        </w:rPr>
        <w:t xml:space="preserve">года </w:t>
      </w:r>
      <w:r w:rsidRPr="005C53F5">
        <w:rPr>
          <w:rFonts w:ascii="Times New Roman" w:eastAsia="Calibri" w:hAnsi="Times New Roman" w:cs="Times New Roman"/>
          <w:b/>
          <w:i/>
          <w:sz w:val="24"/>
          <w:szCs w:val="24"/>
        </w:rPr>
        <w:t xml:space="preserve">и 21 февраля 2020 </w:t>
      </w:r>
      <w:r w:rsidR="00F94240" w:rsidRPr="005C53F5">
        <w:rPr>
          <w:rFonts w:ascii="Times New Roman" w:eastAsia="Calibri" w:hAnsi="Times New Roman" w:cs="Times New Roman"/>
          <w:b/>
          <w:i/>
          <w:sz w:val="24"/>
          <w:szCs w:val="24"/>
        </w:rPr>
        <w:t xml:space="preserve">года </w:t>
      </w:r>
      <w:r w:rsidRPr="005C53F5">
        <w:rPr>
          <w:rFonts w:ascii="Times New Roman" w:eastAsia="Calibri" w:hAnsi="Times New Roman" w:cs="Times New Roman"/>
          <w:b/>
          <w:i/>
          <w:sz w:val="24"/>
          <w:szCs w:val="24"/>
        </w:rPr>
        <w:t xml:space="preserve">агентство Fitch Ratings подтвердило рейтинги в национальной и иностранной валюте на уровне «BBB», прогноз «стабильный». 22 июля 2016 года было произведено повторное подтверждение </w:t>
      </w:r>
      <w:r w:rsidR="00420724" w:rsidRPr="005C53F5">
        <w:rPr>
          <w:rFonts w:ascii="Times New Roman" w:eastAsia="Calibri" w:hAnsi="Times New Roman" w:cs="Times New Roman"/>
          <w:b/>
          <w:i/>
          <w:sz w:val="24"/>
          <w:szCs w:val="24"/>
        </w:rPr>
        <w:t xml:space="preserve">долгосрочного и краткосрочного </w:t>
      </w:r>
      <w:r w:rsidRPr="005C53F5">
        <w:rPr>
          <w:rFonts w:ascii="Times New Roman" w:eastAsia="Calibri" w:hAnsi="Times New Roman" w:cs="Times New Roman"/>
          <w:b/>
          <w:i/>
          <w:sz w:val="24"/>
          <w:szCs w:val="24"/>
        </w:rPr>
        <w:t>рейтинг</w:t>
      </w:r>
      <w:r w:rsidR="00420724" w:rsidRPr="005C53F5">
        <w:rPr>
          <w:rFonts w:ascii="Times New Roman" w:eastAsia="Calibri" w:hAnsi="Times New Roman" w:cs="Times New Roman"/>
          <w:b/>
          <w:i/>
          <w:sz w:val="24"/>
          <w:szCs w:val="24"/>
        </w:rPr>
        <w:t>ов</w:t>
      </w:r>
      <w:r w:rsidRPr="005C53F5">
        <w:rPr>
          <w:rFonts w:ascii="Times New Roman" w:eastAsia="Calibri" w:hAnsi="Times New Roman" w:cs="Times New Roman"/>
          <w:b/>
          <w:i/>
          <w:sz w:val="24"/>
          <w:szCs w:val="24"/>
        </w:rPr>
        <w:t xml:space="preserve"> в национальной валюте на уровне «BBB</w:t>
      </w:r>
      <w:r w:rsidR="00420724" w:rsidRPr="005C53F5">
        <w:rPr>
          <w:rFonts w:ascii="Times New Roman" w:eastAsia="Calibri" w:hAnsi="Times New Roman" w:cs="Times New Roman"/>
          <w:b/>
          <w:i/>
          <w:sz w:val="24"/>
          <w:szCs w:val="24"/>
        </w:rPr>
        <w:t>/F-2</w:t>
      </w:r>
      <w:r w:rsidRPr="005C53F5">
        <w:rPr>
          <w:rFonts w:ascii="Times New Roman" w:eastAsia="Calibri" w:hAnsi="Times New Roman" w:cs="Times New Roman"/>
          <w:b/>
          <w:i/>
          <w:sz w:val="24"/>
          <w:szCs w:val="24"/>
        </w:rPr>
        <w:t>», прогноз «стабильный». На 21 февраля 2020</w:t>
      </w:r>
      <w:r w:rsidR="00F94240" w:rsidRPr="005C53F5">
        <w:rPr>
          <w:rFonts w:ascii="Times New Roman" w:eastAsia="Calibri" w:hAnsi="Times New Roman" w:cs="Times New Roman"/>
          <w:b/>
          <w:i/>
          <w:sz w:val="24"/>
          <w:szCs w:val="24"/>
        </w:rPr>
        <w:t xml:space="preserve"> года</w:t>
      </w:r>
      <w:r w:rsidRPr="005C53F5">
        <w:rPr>
          <w:rFonts w:ascii="Times New Roman" w:eastAsia="Calibri" w:hAnsi="Times New Roman" w:cs="Times New Roman"/>
          <w:b/>
          <w:i/>
          <w:sz w:val="24"/>
          <w:szCs w:val="24"/>
        </w:rPr>
        <w:t xml:space="preserve"> Казахстану подтверждён долгосрочный суверенный кредитный рейтинг в иностранной и национальной валюте на уровне «BBB», прогноз «стабильный»</w:t>
      </w:r>
      <w:r w:rsidR="00420724" w:rsidRPr="005C53F5">
        <w:rPr>
          <w:rFonts w:ascii="Times New Roman" w:eastAsia="Calibri" w:hAnsi="Times New Roman" w:cs="Times New Roman"/>
          <w:b/>
          <w:i/>
          <w:sz w:val="24"/>
          <w:szCs w:val="24"/>
        </w:rPr>
        <w:t>, а также краткосрочный рейтинг в иностранной и национальной валюте на уровне «</w:t>
      </w:r>
      <w:r w:rsidR="00420724" w:rsidRPr="005C53F5">
        <w:rPr>
          <w:rFonts w:ascii="Times New Roman" w:eastAsia="Calibri" w:hAnsi="Times New Roman" w:cs="Times New Roman"/>
          <w:b/>
          <w:i/>
          <w:sz w:val="24"/>
          <w:szCs w:val="24"/>
          <w:lang w:val="en-US"/>
        </w:rPr>
        <w:t>F</w:t>
      </w:r>
      <w:r w:rsidR="00420724" w:rsidRPr="005C53F5">
        <w:rPr>
          <w:rFonts w:ascii="Times New Roman" w:eastAsia="Calibri" w:hAnsi="Times New Roman" w:cs="Times New Roman"/>
          <w:b/>
          <w:i/>
          <w:sz w:val="24"/>
          <w:szCs w:val="24"/>
        </w:rPr>
        <w:t>-2».</w:t>
      </w:r>
    </w:p>
    <w:p w14:paraId="383CD2B3"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полное и сокращенное фирменные наименования (для некоммерческой организации - наименование), место нахождения организации, присвоившей кредитный рейтинг: </w:t>
      </w:r>
    </w:p>
    <w:p w14:paraId="106BFFB6" w14:textId="77777777" w:rsidR="00133D55" w:rsidRPr="005C53F5" w:rsidRDefault="00133D55" w:rsidP="00057BE5">
      <w:pPr>
        <w:spacing w:after="0" w:line="240" w:lineRule="auto"/>
        <w:ind w:firstLine="709"/>
        <w:jc w:val="both"/>
        <w:rPr>
          <w:rFonts w:ascii="Times New Roman" w:eastAsia="Calibri" w:hAnsi="Times New Roman" w:cs="Times New Roman"/>
          <w:i/>
          <w:iCs/>
          <w:sz w:val="24"/>
          <w:szCs w:val="24"/>
        </w:rPr>
      </w:pPr>
      <w:r w:rsidRPr="005C53F5">
        <w:rPr>
          <w:rFonts w:ascii="Times New Roman" w:eastAsia="Calibri" w:hAnsi="Times New Roman" w:cs="Times New Roman"/>
          <w:b/>
          <w:i/>
          <w:iCs/>
          <w:sz w:val="24"/>
          <w:szCs w:val="24"/>
        </w:rPr>
        <w:t xml:space="preserve">полное фирменное наименование – Fitch Ratings Ltd.; сокращенное фирменное наименование – </w:t>
      </w:r>
      <w:r w:rsidRPr="005C53F5">
        <w:rPr>
          <w:rFonts w:ascii="Times New Roman" w:eastAsia="Calibri" w:hAnsi="Times New Roman" w:cs="Times New Roman"/>
          <w:b/>
          <w:i/>
          <w:iCs/>
          <w:sz w:val="24"/>
          <w:szCs w:val="24"/>
          <w:lang w:val="en-US"/>
        </w:rPr>
        <w:t>Fitch</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Ratings</w:t>
      </w:r>
      <w:r w:rsidRPr="005C53F5">
        <w:rPr>
          <w:rFonts w:ascii="Times New Roman" w:eastAsia="Calibri" w:hAnsi="Times New Roman" w:cs="Times New Roman"/>
          <w:b/>
          <w:i/>
          <w:iCs/>
          <w:sz w:val="24"/>
          <w:szCs w:val="24"/>
        </w:rPr>
        <w:t xml:space="preserve">; место нахождения – 33 </w:t>
      </w:r>
      <w:r w:rsidRPr="005C53F5">
        <w:rPr>
          <w:rFonts w:ascii="Times New Roman" w:eastAsia="Calibri" w:hAnsi="Times New Roman" w:cs="Times New Roman"/>
          <w:b/>
          <w:i/>
          <w:iCs/>
          <w:sz w:val="24"/>
          <w:szCs w:val="24"/>
          <w:lang w:val="en-US"/>
        </w:rPr>
        <w:t>Whitehall</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Street</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New</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York</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NY</w:t>
      </w:r>
      <w:r w:rsidRPr="005C53F5">
        <w:rPr>
          <w:rFonts w:ascii="Times New Roman" w:eastAsia="Calibri" w:hAnsi="Times New Roman" w:cs="Times New Roman"/>
          <w:b/>
          <w:i/>
          <w:iCs/>
          <w:sz w:val="24"/>
          <w:szCs w:val="24"/>
        </w:rPr>
        <w:t xml:space="preserve"> 10004, United States;</w:t>
      </w:r>
    </w:p>
    <w:p w14:paraId="1A3DA510"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p>
    <w:p w14:paraId="49F21647" w14:textId="77777777" w:rsidR="00133D55" w:rsidRPr="005C53F5" w:rsidRDefault="00133D55" w:rsidP="00057BE5">
      <w:pPr>
        <w:spacing w:after="0" w:line="240" w:lineRule="auto"/>
        <w:ind w:firstLine="709"/>
        <w:jc w:val="both"/>
        <w:rPr>
          <w:rFonts w:ascii="Times New Roman" w:eastAsia="Calibri" w:hAnsi="Times New Roman" w:cs="Times New Roman"/>
          <w:b/>
          <w:i/>
          <w:iCs/>
          <w:sz w:val="24"/>
          <w:szCs w:val="24"/>
        </w:rPr>
      </w:pPr>
      <w:r w:rsidRPr="005C53F5">
        <w:rPr>
          <w:rFonts w:ascii="Times New Roman" w:eastAsia="Calibri" w:hAnsi="Times New Roman" w:cs="Times New Roman"/>
          <w:b/>
          <w:i/>
          <w:iCs/>
          <w:sz w:val="24"/>
          <w:szCs w:val="24"/>
        </w:rPr>
        <w:t>информация о методике присвоения кредитного рейтинга размещена (опубликована) в информационно- телекоммуникационной сети «Интернет» в свободном доступе по адресу www.fitchratings.com;</w:t>
      </w:r>
    </w:p>
    <w:p w14:paraId="674D75DC"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иные сведения о кредитном рейтинге, указываемые эмитентом по собственному усмотрению</w:t>
      </w:r>
      <w:r w:rsidRPr="005C53F5">
        <w:rPr>
          <w:rFonts w:ascii="Times New Roman" w:eastAsia="Calibri" w:hAnsi="Times New Roman" w:cs="Times New Roman"/>
          <w:b/>
          <w:sz w:val="24"/>
          <w:szCs w:val="24"/>
        </w:rPr>
        <w:t xml:space="preserve">: </w:t>
      </w:r>
      <w:r w:rsidRPr="005C53F5">
        <w:rPr>
          <w:rFonts w:ascii="Times New Roman" w:eastAsia="Calibri" w:hAnsi="Times New Roman" w:cs="Times New Roman"/>
          <w:b/>
          <w:i/>
          <w:iCs/>
          <w:sz w:val="24"/>
          <w:szCs w:val="24"/>
        </w:rPr>
        <w:t>отсутствуют</w:t>
      </w:r>
      <w:r w:rsidRPr="005C53F5">
        <w:rPr>
          <w:rFonts w:ascii="Times New Roman" w:eastAsia="Calibri" w:hAnsi="Times New Roman" w:cs="Times New Roman"/>
          <w:i/>
          <w:iCs/>
          <w:sz w:val="24"/>
          <w:szCs w:val="24"/>
        </w:rPr>
        <w:t>.</w:t>
      </w:r>
    </w:p>
    <w:p w14:paraId="21AF717C" w14:textId="6D32A8EE" w:rsidR="00133D55" w:rsidRPr="005C53F5" w:rsidRDefault="00133D55"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00C61396" w:rsidRPr="005C53F5">
        <w:rPr>
          <w:rFonts w:ascii="Times New Roman" w:eastAsia="Calibri" w:hAnsi="Times New Roman" w:cs="Times New Roman"/>
          <w:b/>
          <w:bCs/>
          <w:i/>
          <w:iCs/>
          <w:sz w:val="24"/>
          <w:szCs w:val="24"/>
        </w:rPr>
        <w:t xml:space="preserve">Республика </w:t>
      </w:r>
      <w:r w:rsidR="00C61396"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62A15F7C" w14:textId="77777777"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 w:eastAsia="Calibri" w:hAnsi="Times New Roman" w:cs="Times New Roman"/>
          <w:b/>
          <w:i/>
          <w:sz w:val="24"/>
          <w:szCs w:val="24"/>
        </w:rPr>
        <w:t xml:space="preserve"> долгосрочный суверенный кредитный рейтинг в иностранной валюте на уровне «Baa3», прогноз «позитивный»; долгосрочный суверенный кредитный рейтинг в национальной валюте на уровне «Baa3», прогноз «позитивный».</w:t>
      </w:r>
    </w:p>
    <w:p w14:paraId="63D91626"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 </w:t>
      </w:r>
    </w:p>
    <w:p w14:paraId="1A33A48C" w14:textId="12986266"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 xml:space="preserve">31 марта 2015 </w:t>
      </w:r>
      <w:r w:rsidR="00F94240" w:rsidRPr="005C53F5">
        <w:rPr>
          <w:rFonts w:ascii="Times New Roman" w:eastAsia="Calibri" w:hAnsi="Times New Roman" w:cs="Times New Roman"/>
          <w:b/>
          <w:i/>
          <w:sz w:val="24"/>
          <w:szCs w:val="24"/>
        </w:rPr>
        <w:t xml:space="preserve">года </w:t>
      </w:r>
      <w:r w:rsidRPr="005C53F5">
        <w:rPr>
          <w:rFonts w:ascii="Times New Roman" w:eastAsia="Calibri" w:hAnsi="Times New Roman" w:cs="Times New Roman"/>
          <w:b/>
          <w:i/>
          <w:sz w:val="24"/>
          <w:szCs w:val="24"/>
        </w:rPr>
        <w:t>международное рейтинговое агентство Moody's присвоило Казахстану долгосрочный рейтинг в иностранной и национальной валюте на уровне «Baa2», прогноз «стабильный». 22 апреля 2016</w:t>
      </w:r>
      <w:r w:rsidR="00F94240" w:rsidRPr="005C53F5">
        <w:rPr>
          <w:rFonts w:ascii="Times New Roman" w:eastAsia="Calibri" w:hAnsi="Times New Roman" w:cs="Times New Roman"/>
          <w:b/>
          <w:i/>
          <w:sz w:val="24"/>
          <w:szCs w:val="24"/>
        </w:rPr>
        <w:t xml:space="preserve"> года</w:t>
      </w:r>
      <w:r w:rsidRPr="005C53F5">
        <w:rPr>
          <w:rFonts w:ascii="Times New Roman" w:eastAsia="Calibri" w:hAnsi="Times New Roman" w:cs="Times New Roman"/>
          <w:b/>
          <w:i/>
          <w:sz w:val="24"/>
          <w:szCs w:val="24"/>
        </w:rPr>
        <w:t xml:space="preserve"> долгосрочный рейтинг в иностранной и национальной валюте был снижен до уровня «Baa3», прогноз «негативный». 26 июля 2017 </w:t>
      </w:r>
      <w:r w:rsidR="00F94240" w:rsidRPr="005C53F5">
        <w:rPr>
          <w:rFonts w:ascii="Times New Roman" w:eastAsia="Calibri" w:hAnsi="Times New Roman" w:cs="Times New Roman"/>
          <w:b/>
          <w:i/>
          <w:sz w:val="24"/>
          <w:szCs w:val="24"/>
        </w:rPr>
        <w:t xml:space="preserve">года </w:t>
      </w:r>
      <w:r w:rsidRPr="005C53F5">
        <w:rPr>
          <w:rFonts w:ascii="Times New Roman" w:eastAsia="Calibri" w:hAnsi="Times New Roman" w:cs="Times New Roman"/>
          <w:b/>
          <w:i/>
          <w:sz w:val="24"/>
          <w:szCs w:val="24"/>
        </w:rPr>
        <w:t xml:space="preserve">долгосрочный рейтинг в иностранной и национальной валюте был установлен на уровне «Baa3, прогноз «стабильный». 22 августа 2019 </w:t>
      </w:r>
      <w:r w:rsidR="00F94240" w:rsidRPr="005C53F5">
        <w:rPr>
          <w:rFonts w:ascii="Times New Roman" w:eastAsia="Calibri" w:hAnsi="Times New Roman" w:cs="Times New Roman"/>
          <w:b/>
          <w:i/>
          <w:sz w:val="24"/>
          <w:szCs w:val="24"/>
        </w:rPr>
        <w:t xml:space="preserve">года </w:t>
      </w:r>
      <w:r w:rsidRPr="005C53F5">
        <w:rPr>
          <w:rFonts w:ascii="Times New Roman" w:eastAsia="Calibri" w:hAnsi="Times New Roman" w:cs="Times New Roman"/>
          <w:b/>
          <w:i/>
          <w:sz w:val="24"/>
          <w:szCs w:val="24"/>
        </w:rPr>
        <w:t xml:space="preserve">долгосрочный рейтинг в иностранной и национальной валюте был установлен на уровне «Baa3», прогноз «позитивный». </w:t>
      </w:r>
    </w:p>
    <w:p w14:paraId="4A3C422F"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полное и сокращенное фирменные наименования (для некоммерческой организации - наименование), место нахождения организации, присвоившей кредитный рейтинг: </w:t>
      </w:r>
    </w:p>
    <w:p w14:paraId="04C3EF2D" w14:textId="77777777"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полное фирменное наименование – Moody’s Investors Service Ltd.; сокращенное фирменное наименование – Moody’s; место нахождения – 99 Church Street, New York, NY 10007;</w:t>
      </w:r>
    </w:p>
    <w:p w14:paraId="6BBB4C9D"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p>
    <w:p w14:paraId="0B7716E1" w14:textId="77777777"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информация о методике присвоения кредитного рейтинга размещена (опубликована) в информационно- телекоммуникационной сети «Интернет» в свободном доступе по адресу www.moodys.com;</w:t>
      </w:r>
    </w:p>
    <w:p w14:paraId="72B56251"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i/>
          <w:sz w:val="24"/>
          <w:szCs w:val="24"/>
        </w:rPr>
        <w:t>отсутствуют;</w:t>
      </w:r>
    </w:p>
    <w:p w14:paraId="3389C08D" w14:textId="2C26803D" w:rsidR="00133D55" w:rsidRPr="005C53F5" w:rsidRDefault="00133D55" w:rsidP="00057BE5">
      <w:pPr>
        <w:numPr>
          <w:ilvl w:val="0"/>
          <w:numId w:val="10"/>
        </w:numPr>
        <w:spacing w:after="0" w:line="240" w:lineRule="auto"/>
        <w:ind w:left="0" w:firstLine="709"/>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00C61396" w:rsidRPr="005C53F5">
        <w:rPr>
          <w:rFonts w:ascii="Times New Roman" w:eastAsia="Calibri" w:hAnsi="Times New Roman" w:cs="Times New Roman"/>
          <w:b/>
          <w:bCs/>
          <w:i/>
          <w:iCs/>
          <w:sz w:val="24"/>
          <w:szCs w:val="24"/>
        </w:rPr>
        <w:t xml:space="preserve">Республика </w:t>
      </w:r>
      <w:r w:rsidR="00C61396"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46ACB644" w14:textId="52E3C5E4"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 w:eastAsia="Calibri" w:hAnsi="Times New Roman" w:cs="Times New Roman"/>
          <w:b/>
          <w:i/>
          <w:sz w:val="24"/>
          <w:szCs w:val="24"/>
        </w:rPr>
        <w:t xml:space="preserve"> долгосрочный суверенный кредитный рейтинг в иностранной валюте на уровне «BBB</w:t>
      </w:r>
      <w:r w:rsidR="00961F5A" w:rsidRPr="005C53F5">
        <w:rPr>
          <w:rFonts w:ascii="Times New Roman" w:eastAsia="Calibri" w:hAnsi="Times New Roman" w:cs="Times New Roman"/>
          <w:b/>
          <w:i/>
          <w:sz w:val="24"/>
          <w:szCs w:val="24"/>
        </w:rPr>
        <w:t>-</w:t>
      </w:r>
      <w:r w:rsidRPr="005C53F5">
        <w:rPr>
          <w:rFonts w:ascii="Times New Roman" w:eastAsia="Calibri" w:hAnsi="Times New Roman" w:cs="Times New Roman"/>
          <w:b/>
          <w:i/>
          <w:sz w:val="24"/>
          <w:szCs w:val="24"/>
        </w:rPr>
        <w:t>», прогноз «стабильный»; долгосрочный суверенный кредитный рейтинг в национальной валюте на уровне «BBB</w:t>
      </w:r>
      <w:r w:rsidR="00961F5A" w:rsidRPr="005C53F5">
        <w:rPr>
          <w:rFonts w:ascii="Times New Roman" w:eastAsia="Calibri" w:hAnsi="Times New Roman" w:cs="Times New Roman"/>
          <w:b/>
          <w:i/>
          <w:sz w:val="24"/>
          <w:szCs w:val="24"/>
        </w:rPr>
        <w:t>-</w:t>
      </w:r>
      <w:r w:rsidRPr="005C53F5">
        <w:rPr>
          <w:rFonts w:ascii="Times New Roman" w:eastAsia="Calibri" w:hAnsi="Times New Roman" w:cs="Times New Roman"/>
          <w:b/>
          <w:i/>
          <w:sz w:val="24"/>
          <w:szCs w:val="24"/>
        </w:rPr>
        <w:t>»,</w:t>
      </w:r>
      <w:r w:rsidR="00737C7B"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rPr>
        <w:t>прогноз «стабильный»;</w:t>
      </w:r>
      <w:r w:rsidR="00FE128E" w:rsidRPr="005C53F5">
        <w:rPr>
          <w:rFonts w:ascii="Times New Roman" w:eastAsia="Calibri" w:hAnsi="Times New Roman" w:cs="Times New Roman"/>
          <w:b/>
          <w:i/>
          <w:sz w:val="24"/>
          <w:szCs w:val="24"/>
        </w:rPr>
        <w:t xml:space="preserve"> краткосрочный кредитный рейтинг в иностранной и национальной валюте на уровне «</w:t>
      </w:r>
      <w:r w:rsidR="00FE128E" w:rsidRPr="005C53F5">
        <w:rPr>
          <w:rFonts w:ascii="Times New Roman" w:eastAsia="Calibri" w:hAnsi="Times New Roman" w:cs="Times New Roman"/>
          <w:b/>
          <w:i/>
          <w:sz w:val="24"/>
          <w:szCs w:val="24"/>
          <w:lang w:val="en-US"/>
        </w:rPr>
        <w:t>A</w:t>
      </w:r>
      <w:r w:rsidR="00FE128E" w:rsidRPr="005C53F5">
        <w:rPr>
          <w:rFonts w:ascii="Times New Roman" w:eastAsia="Calibri" w:hAnsi="Times New Roman" w:cs="Times New Roman"/>
          <w:b/>
          <w:i/>
          <w:sz w:val="24"/>
          <w:szCs w:val="24"/>
        </w:rPr>
        <w:t>-3»;</w:t>
      </w:r>
      <w:r w:rsidR="00FE128E" w:rsidRPr="005C53F5">
        <w:rPr>
          <w:rFonts w:ascii="Times New Roman" w:eastAsia="Calibri" w:hAnsi="Times New Roman" w:cs="Times New Roman"/>
          <w:sz w:val="24"/>
          <w:szCs w:val="24"/>
        </w:rPr>
        <w:t xml:space="preserve"> </w:t>
      </w:r>
      <w:r w:rsidR="00FE128E" w:rsidRPr="005C53F5">
        <w:rPr>
          <w:rFonts w:ascii="Times New Roman" w:eastAsia="Calibri" w:hAnsi="Times New Roman" w:cs="Times New Roman"/>
          <w:b/>
          <w:i/>
          <w:sz w:val="24"/>
          <w:szCs w:val="24"/>
        </w:rPr>
        <w:t>долгосрочный рейтинг по национальной шкале - «kzAAA».</w:t>
      </w:r>
    </w:p>
    <w:p w14:paraId="6AD92EC2"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 </w:t>
      </w:r>
    </w:p>
    <w:p w14:paraId="28E3C370" w14:textId="7181B35A"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 xml:space="preserve">9 февраля 2015 </w:t>
      </w:r>
      <w:r w:rsidR="00F94240" w:rsidRPr="005C53F5">
        <w:rPr>
          <w:rFonts w:ascii="Times New Roman" w:eastAsia="Calibri" w:hAnsi="Times New Roman" w:cs="Times New Roman"/>
          <w:b/>
          <w:i/>
          <w:sz w:val="24"/>
          <w:szCs w:val="24"/>
        </w:rPr>
        <w:t xml:space="preserve">года </w:t>
      </w:r>
      <w:r w:rsidRPr="005C53F5">
        <w:rPr>
          <w:rFonts w:ascii="Times New Roman" w:eastAsia="Calibri" w:hAnsi="Times New Roman" w:cs="Times New Roman"/>
          <w:b/>
          <w:i/>
          <w:sz w:val="24"/>
          <w:szCs w:val="24"/>
        </w:rPr>
        <w:t xml:space="preserve">международное рейтинговое агентство Standard &amp; Poor’s присвоило Казахстану долгосрочный рейтинг в иностранной и национальной валюте на уровне «BBB», прогноз «негативный». 13 марта 2015 </w:t>
      </w:r>
      <w:r w:rsidR="00115624" w:rsidRPr="005C53F5">
        <w:rPr>
          <w:rFonts w:ascii="Times New Roman" w:eastAsia="Calibri" w:hAnsi="Times New Roman" w:cs="Times New Roman"/>
          <w:b/>
          <w:i/>
          <w:sz w:val="24"/>
          <w:szCs w:val="24"/>
        </w:rPr>
        <w:t xml:space="preserve">года </w:t>
      </w:r>
      <w:r w:rsidRPr="005C53F5">
        <w:rPr>
          <w:rFonts w:ascii="Times New Roman" w:eastAsia="Calibri" w:hAnsi="Times New Roman" w:cs="Times New Roman"/>
          <w:b/>
          <w:i/>
          <w:sz w:val="24"/>
          <w:szCs w:val="24"/>
        </w:rPr>
        <w:t xml:space="preserve">и 11 сентября 2015 </w:t>
      </w:r>
      <w:r w:rsidR="00115624" w:rsidRPr="005C53F5">
        <w:rPr>
          <w:rFonts w:ascii="Times New Roman" w:eastAsia="Calibri" w:hAnsi="Times New Roman" w:cs="Times New Roman"/>
          <w:b/>
          <w:i/>
          <w:sz w:val="24"/>
          <w:szCs w:val="24"/>
        </w:rPr>
        <w:t xml:space="preserve">года </w:t>
      </w:r>
      <w:r w:rsidRPr="005C53F5">
        <w:rPr>
          <w:rFonts w:ascii="Times New Roman" w:eastAsia="Calibri" w:hAnsi="Times New Roman" w:cs="Times New Roman"/>
          <w:b/>
          <w:i/>
          <w:sz w:val="24"/>
          <w:szCs w:val="24"/>
        </w:rPr>
        <w:t>агентство подтвердило ранее выставленный рейтинг на уровне «BBB», прогноз «негативный»</w:t>
      </w:r>
      <w:r w:rsidR="00FE128E" w:rsidRPr="005C53F5">
        <w:rPr>
          <w:rFonts w:ascii="Times New Roman" w:eastAsia="Calibri" w:hAnsi="Times New Roman" w:cs="Times New Roman"/>
          <w:b/>
          <w:i/>
          <w:sz w:val="24"/>
          <w:szCs w:val="24"/>
        </w:rPr>
        <w:t>, краткосрочный рейтинг в иностранной и национальной валюте на уровне «А-2», а также рейтинг по национальной шкале — на уровне «kzAA+».</w:t>
      </w:r>
      <w:r w:rsidRPr="005C53F5">
        <w:rPr>
          <w:rFonts w:ascii="Times New Roman" w:eastAsia="Calibri" w:hAnsi="Times New Roman" w:cs="Times New Roman"/>
          <w:b/>
          <w:i/>
          <w:sz w:val="24"/>
          <w:szCs w:val="24"/>
        </w:rPr>
        <w:t xml:space="preserve"> 17 февраля 2016</w:t>
      </w:r>
      <w:r w:rsidR="00F94240" w:rsidRPr="005C53F5">
        <w:rPr>
          <w:rFonts w:ascii="Times New Roman" w:eastAsia="Calibri" w:hAnsi="Times New Roman" w:cs="Times New Roman"/>
          <w:b/>
          <w:i/>
          <w:sz w:val="24"/>
          <w:szCs w:val="24"/>
        </w:rPr>
        <w:t xml:space="preserve"> года</w:t>
      </w:r>
      <w:r w:rsidRPr="005C53F5">
        <w:rPr>
          <w:rFonts w:ascii="Times New Roman" w:eastAsia="Calibri" w:hAnsi="Times New Roman" w:cs="Times New Roman"/>
          <w:b/>
          <w:i/>
          <w:sz w:val="24"/>
          <w:szCs w:val="24"/>
        </w:rPr>
        <w:t xml:space="preserve"> долгосрочный рейтинг в иностранной и национальной валюте был установлен на уровне «BBB</w:t>
      </w:r>
      <w:r w:rsidR="00961F5A" w:rsidRPr="005C53F5">
        <w:rPr>
          <w:rFonts w:ascii="Times New Roman" w:eastAsia="Calibri" w:hAnsi="Times New Roman" w:cs="Times New Roman"/>
          <w:b/>
          <w:i/>
          <w:sz w:val="24"/>
          <w:szCs w:val="24"/>
        </w:rPr>
        <w:t>-</w:t>
      </w:r>
      <w:r w:rsidRPr="005C53F5">
        <w:rPr>
          <w:rFonts w:ascii="Times New Roman" w:eastAsia="Calibri" w:hAnsi="Times New Roman" w:cs="Times New Roman"/>
          <w:b/>
          <w:i/>
          <w:sz w:val="24"/>
          <w:szCs w:val="24"/>
        </w:rPr>
        <w:t>», прогноз «негативный»</w:t>
      </w:r>
      <w:r w:rsidR="00FE128E" w:rsidRPr="005C53F5">
        <w:rPr>
          <w:rFonts w:ascii="Times New Roman" w:eastAsia="Calibri" w:hAnsi="Times New Roman" w:cs="Times New Roman"/>
          <w:b/>
          <w:i/>
          <w:sz w:val="24"/>
          <w:szCs w:val="24"/>
        </w:rPr>
        <w:t xml:space="preserve">, краткосрочный рейтинг в иностранной и национальной валюте – на уровне «А-3», а также рейтинг по национальной шкале — на уровне «kzAA». </w:t>
      </w:r>
      <w:r w:rsidRPr="005C53F5">
        <w:rPr>
          <w:rFonts w:ascii="Times New Roman" w:eastAsia="Calibri" w:hAnsi="Times New Roman" w:cs="Times New Roman"/>
          <w:b/>
          <w:i/>
          <w:sz w:val="24"/>
          <w:szCs w:val="24"/>
        </w:rPr>
        <w:t xml:space="preserve"> 8 сентября 2017 </w:t>
      </w:r>
      <w:r w:rsidR="00F94240" w:rsidRPr="005C53F5">
        <w:rPr>
          <w:rFonts w:ascii="Times New Roman" w:eastAsia="Calibri" w:hAnsi="Times New Roman" w:cs="Times New Roman"/>
          <w:b/>
          <w:i/>
          <w:sz w:val="24"/>
          <w:szCs w:val="24"/>
        </w:rPr>
        <w:t xml:space="preserve">года </w:t>
      </w:r>
      <w:r w:rsidR="00FE128E" w:rsidRPr="005C53F5">
        <w:rPr>
          <w:rFonts w:ascii="Times New Roman" w:eastAsia="Calibri" w:hAnsi="Times New Roman" w:cs="Times New Roman"/>
          <w:b/>
          <w:i/>
          <w:sz w:val="24"/>
          <w:szCs w:val="24"/>
        </w:rPr>
        <w:t xml:space="preserve">долгосрочный </w:t>
      </w:r>
      <w:r w:rsidRPr="005C53F5">
        <w:rPr>
          <w:rFonts w:ascii="Times New Roman" w:eastAsia="Calibri" w:hAnsi="Times New Roman" w:cs="Times New Roman"/>
          <w:b/>
          <w:i/>
          <w:sz w:val="24"/>
          <w:szCs w:val="24"/>
        </w:rPr>
        <w:t>рейтинг был установлен на уровне «BBB</w:t>
      </w:r>
      <w:r w:rsidR="00961F5A" w:rsidRPr="005C53F5">
        <w:rPr>
          <w:rFonts w:ascii="Times New Roman" w:eastAsia="Calibri" w:hAnsi="Times New Roman" w:cs="Times New Roman"/>
          <w:b/>
          <w:i/>
          <w:sz w:val="24"/>
          <w:szCs w:val="24"/>
        </w:rPr>
        <w:t>-</w:t>
      </w:r>
      <w:r w:rsidRPr="005C53F5">
        <w:rPr>
          <w:rFonts w:ascii="Times New Roman" w:eastAsia="Calibri" w:hAnsi="Times New Roman" w:cs="Times New Roman"/>
          <w:b/>
          <w:i/>
          <w:sz w:val="24"/>
          <w:szCs w:val="24"/>
        </w:rPr>
        <w:t>», прогноз «стабильный»</w:t>
      </w:r>
      <w:r w:rsidR="00FE128E" w:rsidRPr="005C53F5">
        <w:rPr>
          <w:rFonts w:ascii="Times New Roman" w:eastAsia="Calibri" w:hAnsi="Times New Roman" w:cs="Times New Roman"/>
          <w:b/>
          <w:i/>
          <w:sz w:val="24"/>
          <w:szCs w:val="24"/>
        </w:rPr>
        <w:t>, краткосрочный рейтинг в иностранной и национальной валюте – на уровне «А-3», а также рейтинг по национальной шкале — на уровне «kzAA».</w:t>
      </w:r>
      <w:r w:rsidRPr="005C53F5">
        <w:rPr>
          <w:rFonts w:ascii="Times New Roman" w:eastAsia="Calibri" w:hAnsi="Times New Roman" w:cs="Times New Roman"/>
          <w:b/>
          <w:i/>
          <w:sz w:val="24"/>
          <w:szCs w:val="24"/>
        </w:rPr>
        <w:t xml:space="preserve"> </w:t>
      </w:r>
      <w:r w:rsidR="00A77117" w:rsidRPr="005C53F5">
        <w:rPr>
          <w:rFonts w:ascii="Times New Roman" w:eastAsia="Calibri" w:hAnsi="Times New Roman" w:cs="Times New Roman"/>
          <w:b/>
          <w:i/>
          <w:sz w:val="24"/>
          <w:szCs w:val="24"/>
        </w:rPr>
        <w:t xml:space="preserve">26 марта 2020 года </w:t>
      </w:r>
      <w:r w:rsidRPr="005C53F5">
        <w:rPr>
          <w:rFonts w:ascii="Times New Roman" w:eastAsia="Calibri" w:hAnsi="Times New Roman" w:cs="Times New Roman"/>
          <w:b/>
          <w:i/>
          <w:sz w:val="24"/>
          <w:szCs w:val="24"/>
        </w:rPr>
        <w:t xml:space="preserve">Standard &amp; Poor’s подтвердило </w:t>
      </w:r>
      <w:r w:rsidR="00FE128E" w:rsidRPr="005C53F5">
        <w:rPr>
          <w:rFonts w:ascii="Times New Roman" w:eastAsia="Calibri" w:hAnsi="Times New Roman" w:cs="Times New Roman"/>
          <w:b/>
          <w:i/>
          <w:sz w:val="24"/>
          <w:szCs w:val="24"/>
        </w:rPr>
        <w:t xml:space="preserve">долгосрочный и краткосрочный рейтинги </w:t>
      </w:r>
      <w:r w:rsidRPr="005C53F5">
        <w:rPr>
          <w:rFonts w:ascii="Times New Roman" w:eastAsia="Calibri" w:hAnsi="Times New Roman" w:cs="Times New Roman"/>
          <w:b/>
          <w:i/>
          <w:sz w:val="24"/>
          <w:szCs w:val="24"/>
        </w:rPr>
        <w:t>«BBB</w:t>
      </w:r>
      <w:r w:rsidR="003F44D9" w:rsidRPr="005C53F5">
        <w:rPr>
          <w:rFonts w:ascii="Times New Roman" w:eastAsia="Calibri" w:hAnsi="Times New Roman" w:cs="Times New Roman"/>
          <w:b/>
          <w:i/>
          <w:sz w:val="24"/>
          <w:szCs w:val="24"/>
        </w:rPr>
        <w:t>-</w:t>
      </w:r>
      <w:r w:rsidR="00FE128E" w:rsidRPr="005C53F5">
        <w:rPr>
          <w:rFonts w:ascii="Times New Roman" w:eastAsia="Calibri" w:hAnsi="Times New Roman" w:cs="Times New Roman"/>
          <w:b/>
          <w:i/>
          <w:sz w:val="24"/>
          <w:szCs w:val="24"/>
        </w:rPr>
        <w:t>/А-3</w:t>
      </w:r>
      <w:r w:rsidRPr="005C53F5">
        <w:rPr>
          <w:rFonts w:ascii="Times New Roman" w:eastAsia="Calibri" w:hAnsi="Times New Roman" w:cs="Times New Roman"/>
          <w:b/>
          <w:i/>
          <w:sz w:val="24"/>
          <w:szCs w:val="24"/>
        </w:rPr>
        <w:t>», прогноз «стабильный»</w:t>
      </w:r>
      <w:r w:rsidR="00FE128E" w:rsidRPr="005C53F5">
        <w:rPr>
          <w:rFonts w:ascii="Times New Roman" w:eastAsia="Calibri" w:hAnsi="Times New Roman" w:cs="Times New Roman"/>
          <w:b/>
          <w:i/>
          <w:sz w:val="24"/>
          <w:szCs w:val="24"/>
        </w:rPr>
        <w:t>, а также рейтинг по национальной шкале — на уровне «kzAA».</w:t>
      </w:r>
    </w:p>
    <w:p w14:paraId="44CD5603"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полное и сокращенное фирменные наименования (для некоммерческой организации - наименование), место нахождения организации, присвоившей кредитный рейтинг: </w:t>
      </w:r>
    </w:p>
    <w:p w14:paraId="14697F05" w14:textId="77777777"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 xml:space="preserve">полное фирменное наименование – Standard&amp;Poor’s Inc.; сокращенное фирменное наименование – </w:t>
      </w:r>
      <w:r w:rsidRPr="005C53F5">
        <w:rPr>
          <w:rFonts w:ascii="Times New Roman" w:eastAsia="Calibri" w:hAnsi="Times New Roman" w:cs="Times New Roman"/>
          <w:b/>
          <w:i/>
          <w:sz w:val="24"/>
          <w:szCs w:val="24"/>
          <w:lang w:val="en-US"/>
        </w:rPr>
        <w:t>Standard</w:t>
      </w:r>
      <w:r w:rsidRPr="005C53F5">
        <w:rPr>
          <w:rFonts w:ascii="Times New Roman" w:eastAsia="Calibri" w:hAnsi="Times New Roman" w:cs="Times New Roman"/>
          <w:b/>
          <w:i/>
          <w:sz w:val="24"/>
          <w:szCs w:val="24"/>
        </w:rPr>
        <w:t xml:space="preserve"> &amp; </w:t>
      </w:r>
      <w:r w:rsidRPr="005C53F5">
        <w:rPr>
          <w:rFonts w:ascii="Times New Roman" w:eastAsia="Calibri" w:hAnsi="Times New Roman" w:cs="Times New Roman"/>
          <w:b/>
          <w:i/>
          <w:sz w:val="24"/>
          <w:szCs w:val="24"/>
          <w:lang w:val="en-US"/>
        </w:rPr>
        <w:t>Poor</w:t>
      </w:r>
      <w:r w:rsidRPr="005C53F5">
        <w:rPr>
          <w:rFonts w:ascii="Times New Roman" w:eastAsia="Calibri" w:hAnsi="Times New Roman" w:cs="Times New Roman"/>
          <w:b/>
          <w:i/>
          <w:sz w:val="24"/>
          <w:szCs w:val="24"/>
        </w:rPr>
        <w:t>’</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место нахождения – 55 </w:t>
      </w:r>
      <w:r w:rsidRPr="005C53F5">
        <w:rPr>
          <w:rFonts w:ascii="Times New Roman" w:eastAsia="Calibri" w:hAnsi="Times New Roman" w:cs="Times New Roman"/>
          <w:b/>
          <w:i/>
          <w:sz w:val="24"/>
          <w:szCs w:val="24"/>
          <w:lang w:val="en-US"/>
        </w:rPr>
        <w:t>Water</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Street</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New</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York</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NY</w:t>
      </w:r>
      <w:r w:rsidRPr="005C53F5">
        <w:rPr>
          <w:rFonts w:ascii="Times New Roman" w:eastAsia="Calibri" w:hAnsi="Times New Roman" w:cs="Times New Roman"/>
          <w:b/>
          <w:i/>
          <w:sz w:val="24"/>
          <w:szCs w:val="24"/>
        </w:rPr>
        <w:t xml:space="preserve">, United States; </w:t>
      </w:r>
    </w:p>
    <w:p w14:paraId="2E3A92B2"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p>
    <w:p w14:paraId="181A9321" w14:textId="77777777"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информация о методике присвоения кредитного рейтинга размещена (опубликована) в информационно-телекоммуникационной сети «Интернет» в свободном доступе по адресу www.standardandpoors.ru;</w:t>
      </w:r>
    </w:p>
    <w:p w14:paraId="4E8B1202" w14:textId="77777777" w:rsidR="00133D55" w:rsidRPr="005C53F5" w:rsidRDefault="00133D55" w:rsidP="00057BE5">
      <w:pPr>
        <w:spacing w:after="0" w:line="240" w:lineRule="auto"/>
        <w:ind w:firstLine="709"/>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sz w:val="24"/>
          <w:szCs w:val="24"/>
        </w:rPr>
        <w:t>отсутствуют;</w:t>
      </w:r>
    </w:p>
    <w:p w14:paraId="483EB955" w14:textId="5C126C8A" w:rsidR="00133D55" w:rsidRPr="005C53F5" w:rsidRDefault="00133D55"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00537D90" w:rsidRPr="005C53F5">
        <w:rPr>
          <w:rFonts w:ascii="Times New Roman" w:eastAsia="Calibri" w:hAnsi="Times New Roman" w:cs="Times New Roman"/>
          <w:b/>
          <w:bCs/>
          <w:i/>
          <w:iCs/>
          <w:sz w:val="24"/>
          <w:szCs w:val="24"/>
        </w:rPr>
        <w:t xml:space="preserve">Республика </w:t>
      </w:r>
      <w:r w:rsidR="00537D90"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sz w:val="24"/>
          <w:szCs w:val="24"/>
        </w:rPr>
        <w:t>;</w:t>
      </w:r>
    </w:p>
    <w:p w14:paraId="2958CD38" w14:textId="332EE295"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 w:eastAsia="Calibri" w:hAnsi="Times New Roman" w:cs="Times New Roman"/>
          <w:b/>
          <w:i/>
          <w:sz w:val="24"/>
          <w:szCs w:val="24"/>
        </w:rPr>
        <w:t xml:space="preserve"> долгосрочный суверенный кредитный рейтинг в иностранной валюте на уровне «BBB+», прогноз «негативный»; долгосрочный суверенный кредитный рейтинг в национальной валюте на уровне «BBB+», прогноз «негативный»</w:t>
      </w:r>
      <w:r w:rsidR="00924B0B" w:rsidRPr="005C53F5">
        <w:rPr>
          <w:rFonts w:ascii="Times New Roman" w:eastAsia="Calibri" w:hAnsi="Times New Roman" w:cs="Times New Roman"/>
          <w:b/>
          <w:i/>
          <w:sz w:val="24"/>
          <w:szCs w:val="24"/>
        </w:rPr>
        <w:t>; краткосрочный кредитный рейтинг в иностранной и национальной валюте на уровне «S-2».</w:t>
      </w:r>
    </w:p>
    <w:p w14:paraId="4EC5A0EE"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 </w:t>
      </w:r>
    </w:p>
    <w:p w14:paraId="0EBB9E29" w14:textId="4F807CE2" w:rsidR="00133D55" w:rsidRPr="005C53F5" w:rsidRDefault="00133D55" w:rsidP="00057BE5">
      <w:pPr>
        <w:spacing w:after="0" w:line="240" w:lineRule="auto"/>
        <w:ind w:firstLine="709"/>
        <w:jc w:val="both"/>
        <w:rPr>
          <w:rFonts w:ascii="Times New Roman" w:eastAsia="Calibri" w:hAnsi="Times New Roman" w:cs="Times New Roman"/>
          <w:b/>
          <w:i/>
          <w:iCs/>
          <w:sz w:val="24"/>
          <w:szCs w:val="24"/>
        </w:rPr>
      </w:pPr>
      <w:r w:rsidRPr="005C53F5">
        <w:rPr>
          <w:rFonts w:ascii="Times New Roman" w:eastAsia="Calibri" w:hAnsi="Times New Roman" w:cs="Times New Roman"/>
          <w:b/>
          <w:i/>
          <w:iCs/>
          <w:sz w:val="24"/>
          <w:szCs w:val="24"/>
        </w:rPr>
        <w:t>24 сентября 2019 АКРА присвоила Казахстану долгосрочный рейтинг в иностранной и национальной валюте на уровне «BBB+», прогноз «стабильный». 18 марта 2020</w:t>
      </w:r>
      <w:r w:rsidR="00924B0B" w:rsidRPr="005C53F5">
        <w:rPr>
          <w:rFonts w:ascii="Times New Roman" w:eastAsia="Calibri" w:hAnsi="Times New Roman" w:cs="Times New Roman"/>
          <w:b/>
          <w:i/>
          <w:iCs/>
          <w:sz w:val="24"/>
          <w:szCs w:val="24"/>
        </w:rPr>
        <w:t xml:space="preserve"> долгосрочный</w:t>
      </w:r>
      <w:r w:rsidRPr="005C53F5">
        <w:rPr>
          <w:rFonts w:ascii="Times New Roman" w:eastAsia="Calibri" w:hAnsi="Times New Roman" w:cs="Times New Roman"/>
          <w:b/>
          <w:i/>
          <w:iCs/>
          <w:sz w:val="24"/>
          <w:szCs w:val="24"/>
        </w:rPr>
        <w:t xml:space="preserve"> рейтинг установлен на уровне «BBB+», прогноз «негативный»</w:t>
      </w:r>
      <w:r w:rsidR="00924B0B" w:rsidRPr="005C53F5">
        <w:rPr>
          <w:rFonts w:ascii="Times New Roman" w:eastAsia="Calibri" w:hAnsi="Times New Roman" w:cs="Times New Roman"/>
          <w:b/>
          <w:i/>
          <w:iCs/>
          <w:sz w:val="24"/>
          <w:szCs w:val="24"/>
        </w:rPr>
        <w:t>, а</w:t>
      </w:r>
      <w:r w:rsidR="00924B0B" w:rsidRPr="005C53F5">
        <w:rPr>
          <w:rFonts w:ascii="Times New Roman" w:eastAsia="Calibri" w:hAnsi="Times New Roman" w:cs="Times New Roman"/>
          <w:sz w:val="24"/>
          <w:szCs w:val="24"/>
        </w:rPr>
        <w:t xml:space="preserve"> </w:t>
      </w:r>
      <w:r w:rsidR="00924B0B" w:rsidRPr="005C53F5">
        <w:rPr>
          <w:rFonts w:ascii="Times New Roman" w:eastAsia="Calibri" w:hAnsi="Times New Roman" w:cs="Times New Roman"/>
          <w:b/>
          <w:i/>
          <w:sz w:val="24"/>
          <w:szCs w:val="24"/>
        </w:rPr>
        <w:t>краткосрочный кредитный рейтинг в иностранной и национальной валюте подтвержден на уровне «S-2».</w:t>
      </w:r>
    </w:p>
    <w:p w14:paraId="4EAF3A40" w14:textId="77777777" w:rsidR="00133D55" w:rsidRPr="005C53F5" w:rsidRDefault="00133D55" w:rsidP="00057BE5">
      <w:pPr>
        <w:spacing w:after="0" w:line="240" w:lineRule="auto"/>
        <w:ind w:firstLine="709"/>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r w:rsidRPr="005C53F5">
        <w:rPr>
          <w:rFonts w:ascii="Times New Roman" w:eastAsia="Calibri" w:hAnsi="Times New Roman" w:cs="Times New Roman"/>
          <w:b/>
          <w:sz w:val="24"/>
          <w:szCs w:val="24"/>
        </w:rPr>
        <w:t xml:space="preserve"> </w:t>
      </w:r>
    </w:p>
    <w:p w14:paraId="335A7B4C" w14:textId="6B491A59"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полное фирменное наименование – Аналитическое Кредитное Рейтинговое Агентство</w:t>
      </w:r>
      <w:r w:rsidR="00537D90" w:rsidRPr="005C53F5">
        <w:rPr>
          <w:rFonts w:ascii="Times New Roman" w:eastAsia="Calibri" w:hAnsi="Times New Roman" w:cs="Times New Roman"/>
          <w:b/>
          <w:i/>
          <w:sz w:val="24"/>
          <w:szCs w:val="24"/>
        </w:rPr>
        <w:t xml:space="preserve"> (Акционерное общество)</w:t>
      </w:r>
      <w:r w:rsidRPr="005C53F5">
        <w:rPr>
          <w:rFonts w:ascii="Times New Roman" w:eastAsia="Calibri" w:hAnsi="Times New Roman" w:cs="Times New Roman"/>
          <w:b/>
          <w:i/>
          <w:sz w:val="24"/>
          <w:szCs w:val="24"/>
        </w:rPr>
        <w:t>; сокращенное фирменное наименование – АКРА</w:t>
      </w:r>
      <w:r w:rsidR="00537D90" w:rsidRPr="005C53F5">
        <w:rPr>
          <w:rFonts w:ascii="Times New Roman" w:eastAsia="Calibri" w:hAnsi="Times New Roman" w:cs="Times New Roman"/>
          <w:b/>
          <w:i/>
          <w:sz w:val="24"/>
          <w:szCs w:val="24"/>
        </w:rPr>
        <w:t xml:space="preserve"> (АО)</w:t>
      </w:r>
      <w:r w:rsidRPr="005C53F5">
        <w:rPr>
          <w:rFonts w:ascii="Times New Roman" w:eastAsia="Calibri" w:hAnsi="Times New Roman" w:cs="Times New Roman"/>
          <w:b/>
          <w:i/>
          <w:sz w:val="24"/>
          <w:szCs w:val="24"/>
        </w:rPr>
        <w:t xml:space="preserve">; место нахождения – </w:t>
      </w:r>
      <w:r w:rsidR="00537D90" w:rsidRPr="005C53F5">
        <w:rPr>
          <w:rFonts w:ascii="Times New Roman" w:eastAsia="Calibri" w:hAnsi="Times New Roman" w:cs="Times New Roman"/>
          <w:b/>
          <w:i/>
          <w:sz w:val="24"/>
          <w:szCs w:val="24"/>
        </w:rPr>
        <w:t xml:space="preserve">Российская Федерация, г. Москва, </w:t>
      </w:r>
      <w:r w:rsidRPr="005C53F5">
        <w:rPr>
          <w:rFonts w:ascii="Times New Roman" w:eastAsia="Calibri" w:hAnsi="Times New Roman" w:cs="Times New Roman"/>
          <w:b/>
          <w:i/>
          <w:sz w:val="24"/>
          <w:szCs w:val="24"/>
        </w:rPr>
        <w:t xml:space="preserve">Садовническая наб., </w:t>
      </w:r>
      <w:r w:rsidR="00537D90" w:rsidRPr="005C53F5">
        <w:rPr>
          <w:rFonts w:ascii="Times New Roman" w:eastAsia="Calibri" w:hAnsi="Times New Roman" w:cs="Times New Roman"/>
          <w:b/>
          <w:i/>
          <w:sz w:val="24"/>
          <w:szCs w:val="24"/>
        </w:rPr>
        <w:t xml:space="preserve">д. </w:t>
      </w:r>
      <w:r w:rsidRPr="005C53F5">
        <w:rPr>
          <w:rFonts w:ascii="Times New Roman" w:eastAsia="Calibri" w:hAnsi="Times New Roman" w:cs="Times New Roman"/>
          <w:b/>
          <w:i/>
          <w:sz w:val="24"/>
          <w:szCs w:val="24"/>
        </w:rPr>
        <w:t xml:space="preserve">75; </w:t>
      </w:r>
    </w:p>
    <w:p w14:paraId="3138E87A"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p>
    <w:p w14:paraId="6F3B704D" w14:textId="77777777"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информация о методике присвоения кредитного рейтинга размещена (опубликована) в информационно-телекоммуникационной сети «Интернет» в свободном доступе по адресу www.acra-ratings.ru;</w:t>
      </w:r>
    </w:p>
    <w:p w14:paraId="56502DF6" w14:textId="77777777" w:rsidR="00133D55" w:rsidRPr="005C53F5" w:rsidRDefault="00133D55" w:rsidP="00057BE5">
      <w:pPr>
        <w:spacing w:after="0" w:line="240" w:lineRule="auto"/>
        <w:ind w:firstLine="709"/>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i/>
          <w:sz w:val="24"/>
          <w:szCs w:val="24"/>
        </w:rPr>
        <w:t>отсутствуют;</w:t>
      </w:r>
    </w:p>
    <w:p w14:paraId="5D001719" w14:textId="6E84B25A" w:rsidR="00133D55" w:rsidRPr="005C53F5" w:rsidRDefault="00133D55"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00537D90" w:rsidRPr="005C53F5">
        <w:rPr>
          <w:rFonts w:ascii="Times New Roman" w:eastAsia="Calibri" w:hAnsi="Times New Roman" w:cs="Times New Roman"/>
          <w:b/>
          <w:bCs/>
          <w:i/>
          <w:iCs/>
          <w:sz w:val="24"/>
          <w:szCs w:val="24"/>
        </w:rPr>
        <w:t xml:space="preserve">Республика </w:t>
      </w:r>
      <w:r w:rsidR="00537D90"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67830707" w14:textId="77777777"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 w:eastAsia="Calibri" w:hAnsi="Times New Roman" w:cs="Times New Roman"/>
          <w:b/>
          <w:i/>
          <w:sz w:val="24"/>
          <w:szCs w:val="24"/>
        </w:rPr>
        <w:t xml:space="preserve"> долгосрочный суверенный кредитный рейтинг в иностранной валюте на уровне «BBB -», прогноз «стабильный»; долгосрочный суверенный кредитный рейтинг в национальной валюте на уровне «BBB», прогноз «стабильный».</w:t>
      </w:r>
    </w:p>
    <w:p w14:paraId="28B1756E"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 </w:t>
      </w:r>
    </w:p>
    <w:p w14:paraId="3AF2C74A" w14:textId="3DEA6D5A"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 xml:space="preserve">22 февраля 2016 </w:t>
      </w:r>
      <w:r w:rsidR="00DA1F23" w:rsidRPr="005C53F5">
        <w:rPr>
          <w:rFonts w:ascii="Times New Roman" w:eastAsia="Calibri" w:hAnsi="Times New Roman" w:cs="Times New Roman"/>
          <w:b/>
          <w:i/>
          <w:sz w:val="24"/>
          <w:szCs w:val="24"/>
        </w:rPr>
        <w:t xml:space="preserve">года </w:t>
      </w:r>
      <w:r w:rsidRPr="005C53F5">
        <w:rPr>
          <w:rFonts w:ascii="Times New Roman" w:eastAsia="Calibri" w:hAnsi="Times New Roman" w:cs="Times New Roman"/>
          <w:b/>
          <w:i/>
          <w:sz w:val="24"/>
          <w:szCs w:val="24"/>
        </w:rPr>
        <w:t xml:space="preserve">был присужден долгосрочный суверенный кредитный рейтинг в иностранной валюте на уровне «BBB-», прогноз «негативный» и в национальной валюте на уровне «BBB», прогноз «негативный». 15 ноября 2017 </w:t>
      </w:r>
      <w:r w:rsidR="00DA1F23" w:rsidRPr="005C53F5">
        <w:rPr>
          <w:rFonts w:ascii="Times New Roman" w:eastAsia="Calibri" w:hAnsi="Times New Roman" w:cs="Times New Roman"/>
          <w:b/>
          <w:i/>
          <w:sz w:val="24"/>
          <w:szCs w:val="24"/>
        </w:rPr>
        <w:t xml:space="preserve">года </w:t>
      </w:r>
      <w:r w:rsidRPr="005C53F5">
        <w:rPr>
          <w:rFonts w:ascii="Times New Roman" w:eastAsia="Calibri" w:hAnsi="Times New Roman" w:cs="Times New Roman"/>
          <w:b/>
          <w:i/>
          <w:sz w:val="24"/>
          <w:szCs w:val="24"/>
        </w:rPr>
        <w:t>был присужден долгосрочный суверенный кредитный рейтинг в иностранной валюте на уровне «BBB-», прогноз «стабильный» и в национальной валюте на уровне «BBB», прогноз «стабильный».</w:t>
      </w:r>
    </w:p>
    <w:p w14:paraId="0ED442EB"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полное и сокращенное фирменные наименования (для некоммерческой организации - наименование), место нахождения организации, присвоившей кредитный рейтинг: </w:t>
      </w:r>
    </w:p>
    <w:p w14:paraId="0017ED78" w14:textId="77777777"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полное фирменное наименование – Dagong Global Credit Rating Co.Ltd; сокращенное фирменное наименование – Dagong Global; место нахождения – 8/</w:t>
      </w:r>
      <w:r w:rsidRPr="005C53F5">
        <w:rPr>
          <w:rFonts w:ascii="Times New Roman" w:eastAsia="Calibri" w:hAnsi="Times New Roman" w:cs="Times New Roman"/>
          <w:b/>
          <w:i/>
          <w:sz w:val="24"/>
          <w:szCs w:val="24"/>
          <w:lang w:val="en-US"/>
        </w:rPr>
        <w:t>F</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Unit</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Eagle</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Run</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Plaza</w:t>
      </w:r>
      <w:r w:rsidRPr="005C53F5">
        <w:rPr>
          <w:rFonts w:ascii="Times New Roman" w:eastAsia="Calibri" w:hAnsi="Times New Roman" w:cs="Times New Roman"/>
          <w:b/>
          <w:i/>
          <w:sz w:val="24"/>
          <w:szCs w:val="24"/>
        </w:rPr>
        <w:t xml:space="preserve">, № 26 </w:t>
      </w:r>
      <w:r w:rsidRPr="005C53F5">
        <w:rPr>
          <w:rFonts w:ascii="Times New Roman" w:eastAsia="Calibri" w:hAnsi="Times New Roman" w:cs="Times New Roman"/>
          <w:b/>
          <w:i/>
          <w:sz w:val="24"/>
          <w:szCs w:val="24"/>
          <w:lang w:val="en-US"/>
        </w:rPr>
        <w:t>Xioyun</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Road</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Chaoyag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District</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Beijing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P</w:t>
      </w:r>
      <w:r w:rsidRPr="005C53F5">
        <w:rPr>
          <w:rFonts w:ascii="Times New Roman" w:eastAsia="Calibri" w:hAnsi="Times New Roman" w:cs="Times New Roman"/>
          <w:b/>
          <w:i/>
          <w:sz w:val="24"/>
          <w:szCs w:val="24"/>
        </w:rPr>
        <w:t>.</w:t>
      </w:r>
      <w:r w:rsidRPr="005C53F5">
        <w:rPr>
          <w:rFonts w:ascii="Times New Roman" w:eastAsia="Calibri" w:hAnsi="Times New Roman" w:cs="Times New Roman"/>
          <w:b/>
          <w:i/>
          <w:sz w:val="24"/>
          <w:szCs w:val="24"/>
          <w:lang w:val="en-US"/>
        </w:rPr>
        <w:t>R</w:t>
      </w:r>
      <w:r w:rsidRPr="005C53F5">
        <w:rPr>
          <w:rFonts w:ascii="Times New Roman" w:eastAsia="Calibri" w:hAnsi="Times New Roman" w:cs="Times New Roman"/>
          <w:b/>
          <w:i/>
          <w:sz w:val="24"/>
          <w:szCs w:val="24"/>
        </w:rPr>
        <w:t>.</w:t>
      </w:r>
      <w:r w:rsidRPr="005C53F5">
        <w:rPr>
          <w:rFonts w:ascii="Times New Roman" w:eastAsia="Calibri" w:hAnsi="Times New Roman" w:cs="Times New Roman"/>
          <w:b/>
          <w:i/>
          <w:sz w:val="24"/>
          <w:szCs w:val="24"/>
          <w:lang w:val="en-US"/>
        </w:rPr>
        <w:t>China</w:t>
      </w:r>
      <w:r w:rsidRPr="005C53F5">
        <w:rPr>
          <w:rFonts w:ascii="Times New Roman" w:eastAsia="Calibri" w:hAnsi="Times New Roman" w:cs="Times New Roman"/>
          <w:b/>
          <w:i/>
          <w:sz w:val="24"/>
          <w:szCs w:val="24"/>
        </w:rPr>
        <w:t>, 100125</w:t>
      </w:r>
    </w:p>
    <w:p w14:paraId="30FDBBA2" w14:textId="77777777" w:rsidR="00133D55" w:rsidRPr="005C53F5" w:rsidRDefault="00133D55" w:rsidP="00057BE5">
      <w:pPr>
        <w:spacing w:after="0" w:line="240" w:lineRule="auto"/>
        <w:ind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p>
    <w:p w14:paraId="111401AF" w14:textId="77777777" w:rsidR="00133D55"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информация о методике присвоения кредитного рейтинга размещена (опубликована) в информационно-телекоммуникационной сети «Интернет» в свободном доступе по адресу www.en.dagongcredit.com</w:t>
      </w:r>
    </w:p>
    <w:p w14:paraId="406E8183" w14:textId="6708949E" w:rsidR="003A1D6B" w:rsidRPr="005C53F5" w:rsidRDefault="00133D55"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i/>
          <w:sz w:val="24"/>
          <w:szCs w:val="24"/>
        </w:rPr>
        <w:t>отсутствуют.</w:t>
      </w:r>
    </w:p>
    <w:p w14:paraId="3DF5FE9E" w14:textId="5CB20094" w:rsidR="00AA6F0F" w:rsidRPr="005C53F5" w:rsidRDefault="00AA6F0F"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00737C7B" w:rsidRPr="005C53F5">
        <w:rPr>
          <w:rFonts w:ascii="Times New Roman" w:eastAsia="Calibri" w:hAnsi="Times New Roman" w:cs="Times New Roman"/>
          <w:b/>
          <w:i/>
          <w:sz w:val="24"/>
          <w:szCs w:val="24"/>
        </w:rPr>
        <w:t xml:space="preserve">еврооблигации </w:t>
      </w:r>
      <w:r w:rsidR="00737C7B" w:rsidRPr="005C53F5">
        <w:rPr>
          <w:rFonts w:ascii="Times New Roman" w:eastAsia="Calibri" w:hAnsi="Times New Roman" w:cs="Times New Roman"/>
          <w:b/>
          <w:bCs/>
          <w:i/>
          <w:iCs/>
          <w:sz w:val="24"/>
          <w:szCs w:val="24"/>
        </w:rPr>
        <w:t>Республики</w:t>
      </w:r>
      <w:r w:rsidRPr="005C53F5">
        <w:rPr>
          <w:rFonts w:ascii="Times New Roman" w:eastAsia="Calibri" w:hAnsi="Times New Roman" w:cs="Times New Roman"/>
          <w:b/>
          <w:bCs/>
          <w:i/>
          <w:iCs/>
          <w:sz w:val="24"/>
          <w:szCs w:val="24"/>
        </w:rPr>
        <w:t xml:space="preserve"> </w:t>
      </w:r>
      <w:r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50C47C61" w14:textId="1A240671" w:rsidR="00AD66F6" w:rsidRPr="005C53F5" w:rsidRDefault="006968F1"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вид, категория (тип), серия, форма и иные идентификационные признаки ценных бумаг:</w:t>
      </w:r>
      <w:r w:rsidR="000E6145" w:rsidRPr="005C53F5">
        <w:rPr>
          <w:rFonts w:ascii="Times New Roman" w:eastAsia="Calibri" w:hAnsi="Times New Roman" w:cs="Times New Roman"/>
          <w:sz w:val="24"/>
          <w:szCs w:val="24"/>
        </w:rPr>
        <w:t xml:space="preserve"> </w:t>
      </w:r>
      <w:r w:rsidR="00AD66F6" w:rsidRPr="005C53F5">
        <w:rPr>
          <w:rFonts w:ascii="Times New Roman" w:eastAsia="Calibri" w:hAnsi="Times New Roman" w:cs="Times New Roman"/>
          <w:b/>
          <w:i/>
          <w:sz w:val="24"/>
          <w:szCs w:val="24"/>
        </w:rPr>
        <w:t>купонные документарн</w:t>
      </w:r>
      <w:r w:rsidR="00961F5A" w:rsidRPr="005C53F5">
        <w:rPr>
          <w:rFonts w:ascii="Times New Roman" w:eastAsia="Calibri" w:hAnsi="Times New Roman" w:cs="Times New Roman"/>
          <w:b/>
          <w:i/>
          <w:sz w:val="24"/>
          <w:szCs w:val="24"/>
        </w:rPr>
        <w:t xml:space="preserve">ые именные ноты по правилу 144А </w:t>
      </w:r>
      <w:r w:rsidR="00AD66F6" w:rsidRPr="005C53F5">
        <w:rPr>
          <w:rFonts w:ascii="Times New Roman" w:eastAsia="Calibri" w:hAnsi="Times New Roman" w:cs="Times New Roman"/>
          <w:b/>
          <w:i/>
          <w:sz w:val="24"/>
          <w:szCs w:val="24"/>
        </w:rPr>
        <w:t>/</w:t>
      </w:r>
      <w:r w:rsidR="00961F5A" w:rsidRPr="005C53F5">
        <w:rPr>
          <w:rFonts w:ascii="Times New Roman" w:eastAsia="Calibri" w:hAnsi="Times New Roman" w:cs="Times New Roman"/>
          <w:b/>
          <w:i/>
          <w:sz w:val="24"/>
          <w:szCs w:val="24"/>
        </w:rPr>
        <w:t xml:space="preserve"> </w:t>
      </w:r>
      <w:r w:rsidR="00AD66F6" w:rsidRPr="005C53F5">
        <w:rPr>
          <w:rFonts w:ascii="Times New Roman" w:eastAsia="Calibri" w:hAnsi="Times New Roman" w:cs="Times New Roman"/>
          <w:b/>
          <w:i/>
          <w:sz w:val="24"/>
          <w:szCs w:val="24"/>
        </w:rPr>
        <w:t>Постановлению S номинальной стоимостью 1000 долларов США каждая, размещенные двумя траншами 06 октября 2014 года:</w:t>
      </w:r>
    </w:p>
    <w:p w14:paraId="1CE478E6" w14:textId="77777777" w:rsidR="00AD66F6" w:rsidRPr="005C53F5" w:rsidRDefault="00AD66F6"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на сумму 1 500 млн долларов США под ставку 3,875% годовых с погашением 14 октября 2024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XS1120709669, общий код: 112070966;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US486661</w:t>
      </w:r>
      <w:r w:rsidRPr="005C53F5">
        <w:rPr>
          <w:rFonts w:ascii="Times New Roman" w:eastAsia="Calibri" w:hAnsi="Times New Roman" w:cs="Times New Roman"/>
          <w:b/>
          <w:i/>
          <w:sz w:val="24"/>
          <w:szCs w:val="24"/>
          <w:lang w:val="en-US"/>
        </w:rPr>
        <w:t>AE</w:t>
      </w:r>
      <w:r w:rsidRPr="005C53F5">
        <w:rPr>
          <w:rFonts w:ascii="Times New Roman" w:eastAsia="Calibri" w:hAnsi="Times New Roman" w:cs="Times New Roman"/>
          <w:b/>
          <w:i/>
          <w:sz w:val="24"/>
          <w:szCs w:val="24"/>
        </w:rPr>
        <w:t>13, общий код: 112087389,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486661 </w:t>
      </w:r>
      <w:r w:rsidRPr="005C53F5">
        <w:rPr>
          <w:rFonts w:ascii="Times New Roman" w:eastAsia="Calibri" w:hAnsi="Times New Roman" w:cs="Times New Roman"/>
          <w:b/>
          <w:i/>
          <w:sz w:val="24"/>
          <w:szCs w:val="24"/>
          <w:lang w:val="en-US"/>
        </w:rPr>
        <w:t>AE</w:t>
      </w:r>
      <w:r w:rsidRPr="005C53F5">
        <w:rPr>
          <w:rFonts w:ascii="Times New Roman" w:eastAsia="Calibri" w:hAnsi="Times New Roman" w:cs="Times New Roman"/>
          <w:b/>
          <w:i/>
          <w:sz w:val="24"/>
          <w:szCs w:val="24"/>
        </w:rPr>
        <w:t>1);</w:t>
      </w:r>
    </w:p>
    <w:p w14:paraId="1E120247" w14:textId="1074B268" w:rsidR="00737C7B" w:rsidRPr="005C53F5" w:rsidRDefault="00AD66F6"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sz w:val="24"/>
          <w:szCs w:val="24"/>
        </w:rPr>
        <w:t>на сумму 1 000 млн долларов США под ставку 4,875% годовых с погашением 14 октября 2044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XS1120709826, общий код: 112070982;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US486661</w:t>
      </w:r>
      <w:r w:rsidRPr="005C53F5">
        <w:rPr>
          <w:rFonts w:ascii="Times New Roman" w:eastAsia="Calibri" w:hAnsi="Times New Roman" w:cs="Times New Roman"/>
          <w:b/>
          <w:i/>
          <w:sz w:val="24"/>
          <w:szCs w:val="24"/>
          <w:lang w:val="en-US"/>
        </w:rPr>
        <w:t>AF</w:t>
      </w:r>
      <w:r w:rsidRPr="005C53F5">
        <w:rPr>
          <w:rFonts w:ascii="Times New Roman" w:eastAsia="Calibri" w:hAnsi="Times New Roman" w:cs="Times New Roman"/>
          <w:b/>
          <w:i/>
          <w:sz w:val="24"/>
          <w:szCs w:val="24"/>
        </w:rPr>
        <w:t>87, общий код: 112087630,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486661 </w:t>
      </w:r>
      <w:r w:rsidRPr="005C53F5">
        <w:rPr>
          <w:rFonts w:ascii="Times New Roman" w:eastAsia="Calibri" w:hAnsi="Times New Roman" w:cs="Times New Roman"/>
          <w:b/>
          <w:i/>
          <w:sz w:val="24"/>
          <w:szCs w:val="24"/>
          <w:lang w:val="en-US"/>
        </w:rPr>
        <w:t>AF</w:t>
      </w:r>
      <w:r w:rsidRPr="005C53F5">
        <w:rPr>
          <w:rFonts w:ascii="Times New Roman" w:eastAsia="Calibri" w:hAnsi="Times New Roman" w:cs="Times New Roman"/>
          <w:b/>
          <w:i/>
          <w:sz w:val="24"/>
          <w:szCs w:val="24"/>
        </w:rPr>
        <w:t>8);</w:t>
      </w:r>
    </w:p>
    <w:p w14:paraId="234AE34F" w14:textId="0AD2F654" w:rsidR="00BE0057" w:rsidRPr="005C53F5" w:rsidRDefault="00BE0057"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w:t>
      </w:r>
      <w:r w:rsidR="00737C7B" w:rsidRPr="005C53F5">
        <w:rPr>
          <w:rFonts w:ascii="Times New Roman" w:eastAsia="Calibri" w:hAnsi="Times New Roman" w:cs="Times New Roman"/>
          <w:sz w:val="24"/>
          <w:szCs w:val="24"/>
        </w:rPr>
        <w:t xml:space="preserve"> </w:t>
      </w:r>
      <w:r w:rsidR="00737C7B" w:rsidRPr="005C53F5">
        <w:rPr>
          <w:rFonts w:ascii="Times New Roman" w:eastAsia="Calibri" w:hAnsi="Times New Roman" w:cs="Times New Roman"/>
          <w:b/>
          <w:bCs/>
          <w:i/>
          <w:iCs/>
          <w:sz w:val="24"/>
          <w:szCs w:val="24"/>
        </w:rPr>
        <w:t>еврооблигации Республики Казахстан не имеют государственный регистрационный номер (идентификационный номер), присвоенный в соответствии с законодательством Российской Федерации;</w:t>
      </w:r>
    </w:p>
    <w:p w14:paraId="0E93F7D8" w14:textId="799AE8D8" w:rsidR="00BE0057" w:rsidRPr="005C53F5" w:rsidRDefault="00BE0057"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00737C7B" w:rsidRPr="005C53F5">
        <w:rPr>
          <w:rFonts w:ascii="Times New Roman,BoldItalic" w:hAnsi="Times New Roman,BoldItalic" w:cs="Times New Roman,BoldItalic"/>
          <w:b/>
          <w:bCs/>
          <w:i/>
          <w:iCs/>
          <w:sz w:val="24"/>
          <w:szCs w:val="24"/>
        </w:rPr>
        <w:t xml:space="preserve"> </w:t>
      </w:r>
      <w:r w:rsidR="00737C7B" w:rsidRPr="005C53F5">
        <w:rPr>
          <w:rFonts w:ascii="Times New Roman" w:eastAsia="Calibri" w:hAnsi="Times New Roman" w:cs="Times New Roman"/>
          <w:b/>
          <w:bCs/>
          <w:i/>
          <w:iCs/>
          <w:sz w:val="24"/>
          <w:szCs w:val="24"/>
        </w:rPr>
        <w:t>рейтинг эмиссии на уровне долгосрочного суверенного кредитного рейтинга эм</w:t>
      </w:r>
      <w:r w:rsidR="0068585E" w:rsidRPr="005C53F5">
        <w:rPr>
          <w:rFonts w:ascii="Times New Roman" w:eastAsia="Calibri" w:hAnsi="Times New Roman" w:cs="Times New Roman"/>
          <w:b/>
          <w:bCs/>
          <w:i/>
          <w:iCs/>
          <w:sz w:val="24"/>
          <w:szCs w:val="24"/>
        </w:rPr>
        <w:t>итента в иностранной валюте – «BBB</w:t>
      </w:r>
      <w:r w:rsidR="00C23021" w:rsidRPr="005C53F5">
        <w:rPr>
          <w:rFonts w:ascii="Times New Roman" w:eastAsia="Calibri" w:hAnsi="Times New Roman" w:cs="Times New Roman"/>
          <w:b/>
          <w:bCs/>
          <w:i/>
          <w:iCs/>
          <w:sz w:val="24"/>
          <w:szCs w:val="24"/>
        </w:rPr>
        <w:t>-</w:t>
      </w:r>
      <w:r w:rsidR="00737C7B" w:rsidRPr="005C53F5">
        <w:rPr>
          <w:rFonts w:ascii="Times New Roman" w:eastAsia="Calibri" w:hAnsi="Times New Roman" w:cs="Times New Roman"/>
          <w:b/>
          <w:bCs/>
          <w:i/>
          <w:iCs/>
          <w:sz w:val="24"/>
          <w:szCs w:val="24"/>
        </w:rPr>
        <w:t>»;</w:t>
      </w:r>
    </w:p>
    <w:p w14:paraId="195445E8" w14:textId="5CBC0449" w:rsidR="00BE0057" w:rsidRPr="005C53F5" w:rsidRDefault="00BE0057"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sz w:val="24"/>
          <w:szCs w:val="24"/>
        </w:rPr>
        <w:t>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w:t>
      </w:r>
      <w:r w:rsidR="0068585E" w:rsidRPr="005C53F5">
        <w:rPr>
          <w:rFonts w:ascii="Times New Roman,BoldItalic" w:hAnsi="Times New Roman,BoldItalic" w:cs="Times New Roman,BoldItalic"/>
          <w:b/>
          <w:bCs/>
          <w:i/>
          <w:iCs/>
          <w:sz w:val="24"/>
          <w:szCs w:val="24"/>
        </w:rPr>
        <w:t xml:space="preserve"> </w:t>
      </w:r>
      <w:r w:rsidR="0068585E" w:rsidRPr="005C53F5">
        <w:rPr>
          <w:rFonts w:ascii="Times New Roman" w:eastAsia="Calibri" w:hAnsi="Times New Roman" w:cs="Times New Roman"/>
          <w:b/>
          <w:bCs/>
          <w:i/>
          <w:iCs/>
          <w:sz w:val="24"/>
          <w:szCs w:val="24"/>
        </w:rPr>
        <w:t>в</w:t>
      </w:r>
      <w:r w:rsidR="00B5402F" w:rsidRPr="005C53F5">
        <w:rPr>
          <w:rFonts w:ascii="Times New Roman" w:eastAsia="Calibri" w:hAnsi="Times New Roman" w:cs="Times New Roman"/>
          <w:b/>
          <w:bCs/>
          <w:i/>
          <w:iCs/>
          <w:sz w:val="24"/>
          <w:szCs w:val="24"/>
        </w:rPr>
        <w:t xml:space="preserve"> </w:t>
      </w:r>
      <w:r w:rsidR="00C23021" w:rsidRPr="005C53F5">
        <w:rPr>
          <w:rFonts w:ascii="Times New Roman" w:eastAsia="Calibri" w:hAnsi="Times New Roman" w:cs="Times New Roman"/>
          <w:b/>
          <w:bCs/>
          <w:i/>
          <w:iCs/>
          <w:sz w:val="24"/>
          <w:szCs w:val="24"/>
        </w:rPr>
        <w:t xml:space="preserve">2014 году </w:t>
      </w:r>
      <w:r w:rsidR="0068585E" w:rsidRPr="005C53F5">
        <w:rPr>
          <w:rFonts w:ascii="Times New Roman" w:eastAsia="Calibri" w:hAnsi="Times New Roman" w:cs="Times New Roman"/>
          <w:b/>
          <w:bCs/>
          <w:i/>
          <w:iCs/>
          <w:sz w:val="24"/>
          <w:szCs w:val="24"/>
        </w:rPr>
        <w:t xml:space="preserve"> международное рейтинговое агентство Standard&amp;Poor’s присвоило еврооблигациям Республики </w:t>
      </w:r>
      <w:r w:rsidR="00D87B7D" w:rsidRPr="005C53F5">
        <w:rPr>
          <w:rFonts w:ascii="Times New Roman" w:eastAsia="Calibri" w:hAnsi="Times New Roman" w:cs="Times New Roman"/>
          <w:b/>
          <w:bCs/>
          <w:i/>
          <w:iCs/>
          <w:sz w:val="24"/>
          <w:szCs w:val="24"/>
        </w:rPr>
        <w:t>Казахстан</w:t>
      </w:r>
      <w:r w:rsidR="0068585E" w:rsidRPr="005C53F5">
        <w:rPr>
          <w:rFonts w:ascii="Times New Roman" w:eastAsia="Calibri" w:hAnsi="Times New Roman" w:cs="Times New Roman"/>
          <w:b/>
          <w:bCs/>
          <w:i/>
          <w:iCs/>
          <w:sz w:val="24"/>
          <w:szCs w:val="24"/>
        </w:rPr>
        <w:t xml:space="preserve">, эмитированным в </w:t>
      </w:r>
      <w:r w:rsidR="00C23021" w:rsidRPr="005C53F5">
        <w:rPr>
          <w:rFonts w:ascii="Times New Roman" w:eastAsia="Calibri" w:hAnsi="Times New Roman" w:cs="Times New Roman"/>
          <w:b/>
          <w:bCs/>
          <w:i/>
          <w:iCs/>
          <w:sz w:val="24"/>
          <w:szCs w:val="24"/>
        </w:rPr>
        <w:t>октябре</w:t>
      </w:r>
      <w:r w:rsidR="0068585E" w:rsidRPr="005C53F5">
        <w:rPr>
          <w:rFonts w:ascii="Times New Roman" w:eastAsia="Calibri" w:hAnsi="Times New Roman" w:cs="Times New Roman"/>
          <w:b/>
          <w:bCs/>
          <w:i/>
          <w:iCs/>
          <w:sz w:val="24"/>
          <w:szCs w:val="24"/>
        </w:rPr>
        <w:t xml:space="preserve"> 2014 года </w:t>
      </w:r>
      <w:r w:rsidR="00A5742D" w:rsidRPr="005C53F5">
        <w:rPr>
          <w:rFonts w:ascii="Times New Roman" w:eastAsia="Calibri" w:hAnsi="Times New Roman" w:cs="Times New Roman"/>
          <w:b/>
          <w:bCs/>
          <w:i/>
          <w:iCs/>
          <w:sz w:val="24"/>
          <w:szCs w:val="24"/>
        </w:rPr>
        <w:t xml:space="preserve">двумя траншами на </w:t>
      </w:r>
      <w:r w:rsidR="00C23021" w:rsidRPr="005C53F5">
        <w:rPr>
          <w:rFonts w:ascii="Times New Roman" w:eastAsia="Calibri" w:hAnsi="Times New Roman" w:cs="Times New Roman"/>
          <w:b/>
          <w:bCs/>
          <w:i/>
          <w:iCs/>
          <w:sz w:val="24"/>
          <w:szCs w:val="24"/>
        </w:rPr>
        <w:t xml:space="preserve">общую </w:t>
      </w:r>
      <w:r w:rsidR="00A5742D" w:rsidRPr="005C53F5">
        <w:rPr>
          <w:rFonts w:ascii="Times New Roman" w:eastAsia="Calibri" w:hAnsi="Times New Roman" w:cs="Times New Roman"/>
          <w:b/>
          <w:bCs/>
          <w:i/>
          <w:iCs/>
          <w:sz w:val="24"/>
          <w:szCs w:val="24"/>
        </w:rPr>
        <w:t xml:space="preserve">сумму </w:t>
      </w:r>
      <w:r w:rsidR="00C23021" w:rsidRPr="005C53F5">
        <w:rPr>
          <w:rFonts w:ascii="Times New Roman" w:eastAsia="Calibri" w:hAnsi="Times New Roman" w:cs="Times New Roman"/>
          <w:b/>
          <w:bCs/>
          <w:i/>
          <w:iCs/>
          <w:sz w:val="24"/>
          <w:szCs w:val="24"/>
        </w:rPr>
        <w:t>2,5 млрд долларов США</w:t>
      </w:r>
      <w:r w:rsidR="0068585E" w:rsidRPr="005C53F5">
        <w:rPr>
          <w:rFonts w:ascii="Times New Roman" w:eastAsia="Calibri" w:hAnsi="Times New Roman" w:cs="Times New Roman"/>
          <w:b/>
          <w:bCs/>
          <w:i/>
          <w:iCs/>
          <w:sz w:val="24"/>
          <w:szCs w:val="24"/>
        </w:rPr>
        <w:t>, рейтинг на уровне «BBB+»</w:t>
      </w:r>
      <w:r w:rsidR="00C23021" w:rsidRPr="005C53F5">
        <w:rPr>
          <w:rFonts w:ascii="Times New Roman" w:eastAsia="Calibri" w:hAnsi="Times New Roman" w:cs="Times New Roman"/>
          <w:b/>
          <w:bCs/>
          <w:i/>
          <w:iCs/>
          <w:sz w:val="24"/>
          <w:szCs w:val="24"/>
        </w:rPr>
        <w:t>.</w:t>
      </w:r>
      <w:r w:rsidR="009F2307" w:rsidRPr="005C53F5">
        <w:rPr>
          <w:rFonts w:ascii="Times New Roman" w:eastAsia="Calibri" w:hAnsi="Times New Roman" w:cs="Times New Roman"/>
          <w:b/>
          <w:bCs/>
          <w:i/>
          <w:iCs/>
          <w:sz w:val="24"/>
          <w:szCs w:val="24"/>
        </w:rPr>
        <w:t xml:space="preserve"> </w:t>
      </w:r>
      <w:r w:rsidR="009F2307" w:rsidRPr="005C53F5">
        <w:rPr>
          <w:rFonts w:ascii="Times New Roman" w:eastAsia="Calibri" w:hAnsi="Times New Roman" w:cs="Times New Roman"/>
          <w:b/>
          <w:i/>
          <w:sz w:val="24"/>
          <w:szCs w:val="24"/>
        </w:rPr>
        <w:t xml:space="preserve">9 февраля 2015 года </w:t>
      </w:r>
      <w:r w:rsidR="009F2307" w:rsidRPr="005C53F5">
        <w:rPr>
          <w:rFonts w:ascii="Times New Roman" w:eastAsia="Calibri" w:hAnsi="Times New Roman" w:cs="Times New Roman"/>
          <w:b/>
          <w:bCs/>
          <w:i/>
          <w:iCs/>
          <w:sz w:val="24"/>
          <w:szCs w:val="24"/>
        </w:rPr>
        <w:t xml:space="preserve">вместе с понижением суверенного кредитного рейтинга в феврале 2015 года рейтинг эмиссии понижен до </w:t>
      </w:r>
      <w:r w:rsidR="009F2307" w:rsidRPr="005C53F5">
        <w:rPr>
          <w:rFonts w:ascii="Times New Roman" w:eastAsia="Calibri" w:hAnsi="Times New Roman" w:cs="Times New Roman"/>
          <w:b/>
          <w:i/>
          <w:sz w:val="24"/>
          <w:szCs w:val="24"/>
        </w:rPr>
        <w:t xml:space="preserve">уровня «BBB», прогноз «негативный». 13 марта 2015 года и 11 сентября 2015 года агентство подтвердило ранее выставленный рейтинг на уровне «BBB», прогноз «негативный». </w:t>
      </w:r>
      <w:r w:rsidR="009F2307" w:rsidRPr="005C53F5">
        <w:rPr>
          <w:rFonts w:ascii="Times New Roman" w:eastAsia="Calibri" w:hAnsi="Times New Roman" w:cs="Times New Roman"/>
          <w:b/>
          <w:bCs/>
          <w:i/>
          <w:iCs/>
          <w:sz w:val="24"/>
          <w:szCs w:val="24"/>
        </w:rPr>
        <w:t xml:space="preserve">Вместе с понижением суверенного кредитного рейтинга в феврале 2016 года рейтинг эмиссии понижен до </w:t>
      </w:r>
      <w:r w:rsidR="009F2307" w:rsidRPr="005C53F5">
        <w:rPr>
          <w:rFonts w:ascii="Times New Roman" w:eastAsia="Calibri" w:hAnsi="Times New Roman" w:cs="Times New Roman"/>
          <w:b/>
          <w:i/>
          <w:sz w:val="24"/>
          <w:szCs w:val="24"/>
        </w:rPr>
        <w:t xml:space="preserve">уровня «BBB-», прогноз «негативный». 8 сентября 2017 года рейтинг был установлен на уровне «BBB-», прогноз «стабильный». 26 марта 2020 года Standard &amp; Poor’s подтвердило рейтинг «BBB-», прогноз «стабильный». </w:t>
      </w:r>
    </w:p>
    <w:p w14:paraId="473C8E88" w14:textId="4FCF43E8" w:rsidR="00BE0057" w:rsidRPr="005C53F5" w:rsidRDefault="00BE0057"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14:paraId="7139D7CA" w14:textId="2552AD19" w:rsidR="0068585E" w:rsidRPr="005C53F5" w:rsidRDefault="0068585E"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 xml:space="preserve">полное фирменное наименование – Standard&amp;Poor’s Inc.; сокращенное фирменное наименование – </w:t>
      </w:r>
      <w:r w:rsidRPr="005C53F5">
        <w:rPr>
          <w:rFonts w:ascii="Times New Roman" w:eastAsia="Calibri" w:hAnsi="Times New Roman" w:cs="Times New Roman"/>
          <w:b/>
          <w:i/>
          <w:sz w:val="24"/>
          <w:szCs w:val="24"/>
          <w:lang w:val="en-US"/>
        </w:rPr>
        <w:t>Standard</w:t>
      </w:r>
      <w:r w:rsidRPr="005C53F5">
        <w:rPr>
          <w:rFonts w:ascii="Times New Roman" w:eastAsia="Calibri" w:hAnsi="Times New Roman" w:cs="Times New Roman"/>
          <w:b/>
          <w:i/>
          <w:sz w:val="24"/>
          <w:szCs w:val="24"/>
        </w:rPr>
        <w:t xml:space="preserve"> &amp; </w:t>
      </w:r>
      <w:r w:rsidRPr="005C53F5">
        <w:rPr>
          <w:rFonts w:ascii="Times New Roman" w:eastAsia="Calibri" w:hAnsi="Times New Roman" w:cs="Times New Roman"/>
          <w:b/>
          <w:i/>
          <w:sz w:val="24"/>
          <w:szCs w:val="24"/>
          <w:lang w:val="en-US"/>
        </w:rPr>
        <w:t>Poor</w:t>
      </w:r>
      <w:r w:rsidRPr="005C53F5">
        <w:rPr>
          <w:rFonts w:ascii="Times New Roman" w:eastAsia="Calibri" w:hAnsi="Times New Roman" w:cs="Times New Roman"/>
          <w:b/>
          <w:i/>
          <w:sz w:val="24"/>
          <w:szCs w:val="24"/>
        </w:rPr>
        <w:t>’</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место нахождения – 55 </w:t>
      </w:r>
      <w:r w:rsidRPr="005C53F5">
        <w:rPr>
          <w:rFonts w:ascii="Times New Roman" w:eastAsia="Calibri" w:hAnsi="Times New Roman" w:cs="Times New Roman"/>
          <w:b/>
          <w:i/>
          <w:sz w:val="24"/>
          <w:szCs w:val="24"/>
          <w:lang w:val="en-US"/>
        </w:rPr>
        <w:t>Water</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Street</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New</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York</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NY</w:t>
      </w:r>
      <w:r w:rsidRPr="005C53F5">
        <w:rPr>
          <w:rFonts w:ascii="Times New Roman" w:eastAsia="Calibri" w:hAnsi="Times New Roman" w:cs="Times New Roman"/>
          <w:b/>
          <w:i/>
          <w:sz w:val="24"/>
          <w:szCs w:val="24"/>
        </w:rPr>
        <w:t xml:space="preserve">, United States; </w:t>
      </w:r>
    </w:p>
    <w:p w14:paraId="5D6D0587" w14:textId="33BE915C" w:rsidR="00BE0057" w:rsidRPr="005C53F5" w:rsidRDefault="00BE0057"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14:paraId="4DD265CA" w14:textId="15CA659B" w:rsidR="0068585E" w:rsidRPr="005C53F5" w:rsidRDefault="0068585E"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информация о методике присвоения кредитного рейтинга размещена (опубликована) в информационно-телекоммуникационной сети «Интернет» в свободном доступе по адресу www.standardandpoors.ru;</w:t>
      </w:r>
    </w:p>
    <w:p w14:paraId="154960C2" w14:textId="53A8D6A0" w:rsidR="00AA6F0F" w:rsidRPr="005C53F5" w:rsidRDefault="00BE0057" w:rsidP="00057BE5">
      <w:pPr>
        <w:spacing w:after="0" w:line="240" w:lineRule="auto"/>
        <w:ind w:firstLine="708"/>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иные сведения о кредитном рейтинге, указываемые эмитентом по собственному усмотрению:</w:t>
      </w:r>
      <w:r w:rsidR="0068585E" w:rsidRPr="005C53F5">
        <w:rPr>
          <w:rFonts w:ascii="Times New Roman" w:eastAsia="Calibri" w:hAnsi="Times New Roman" w:cs="Times New Roman"/>
          <w:sz w:val="24"/>
          <w:szCs w:val="24"/>
        </w:rPr>
        <w:t xml:space="preserve"> </w:t>
      </w:r>
      <w:r w:rsidR="0068585E" w:rsidRPr="005C53F5">
        <w:rPr>
          <w:rFonts w:ascii="Times New Roman" w:eastAsia="Calibri" w:hAnsi="Times New Roman" w:cs="Times New Roman"/>
          <w:b/>
          <w:sz w:val="24"/>
          <w:szCs w:val="24"/>
        </w:rPr>
        <w:t>отсутствуют;</w:t>
      </w:r>
    </w:p>
    <w:p w14:paraId="094C0554" w14:textId="77777777" w:rsidR="0068585E" w:rsidRPr="005C53F5" w:rsidRDefault="0068585E"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Pr="005C53F5">
        <w:rPr>
          <w:rFonts w:ascii="Times New Roman" w:eastAsia="Calibri" w:hAnsi="Times New Roman" w:cs="Times New Roman"/>
          <w:b/>
          <w:i/>
          <w:sz w:val="24"/>
          <w:szCs w:val="24"/>
        </w:rPr>
        <w:t xml:space="preserve">еврооблигации </w:t>
      </w:r>
      <w:r w:rsidRPr="005C53F5">
        <w:rPr>
          <w:rFonts w:ascii="Times New Roman" w:eastAsia="Calibri" w:hAnsi="Times New Roman" w:cs="Times New Roman"/>
          <w:b/>
          <w:bCs/>
          <w:i/>
          <w:iCs/>
          <w:sz w:val="24"/>
          <w:szCs w:val="24"/>
        </w:rPr>
        <w:t xml:space="preserve">Республики </w:t>
      </w:r>
      <w:r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2E854D19" w14:textId="74183C35" w:rsidR="003D12BF" w:rsidRPr="005C53F5" w:rsidRDefault="0068585E"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вид, категория (тип), серия, форма и иные идентификационные признаки ценных бумаг:</w:t>
      </w:r>
      <w:r w:rsidR="000E6145" w:rsidRPr="005C53F5">
        <w:rPr>
          <w:rFonts w:ascii="Times New Roman" w:eastAsia="Calibri" w:hAnsi="Times New Roman" w:cs="Times New Roman"/>
          <w:sz w:val="24"/>
          <w:szCs w:val="24"/>
        </w:rPr>
        <w:t xml:space="preserve"> </w:t>
      </w:r>
      <w:r w:rsidR="003D12BF" w:rsidRPr="005C53F5">
        <w:rPr>
          <w:rFonts w:ascii="Times New Roman" w:eastAsia="Calibri" w:hAnsi="Times New Roman" w:cs="Times New Roman"/>
          <w:b/>
          <w:i/>
          <w:sz w:val="24"/>
          <w:szCs w:val="24"/>
        </w:rPr>
        <w:t>купонные документарные именные ноты по правилу 144А /</w:t>
      </w:r>
      <w:r w:rsidR="00216E14" w:rsidRPr="005C53F5">
        <w:rPr>
          <w:rFonts w:ascii="Times New Roman" w:eastAsia="Calibri" w:hAnsi="Times New Roman" w:cs="Times New Roman"/>
          <w:b/>
          <w:i/>
          <w:sz w:val="24"/>
          <w:szCs w:val="24"/>
        </w:rPr>
        <w:t xml:space="preserve"> </w:t>
      </w:r>
      <w:r w:rsidR="003D12BF" w:rsidRPr="005C53F5">
        <w:rPr>
          <w:rFonts w:ascii="Times New Roman" w:eastAsia="Calibri" w:hAnsi="Times New Roman" w:cs="Times New Roman"/>
          <w:b/>
          <w:i/>
          <w:sz w:val="24"/>
          <w:szCs w:val="24"/>
        </w:rPr>
        <w:t>Постановлению S номинальной стоимостью 1000 долларов США каждая, размещенные двумя траншами 06 октября 2014 года:</w:t>
      </w:r>
    </w:p>
    <w:p w14:paraId="4AEB96B7" w14:textId="77777777" w:rsidR="003D12BF" w:rsidRPr="005C53F5" w:rsidRDefault="003D12BF"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на сумму 1 500 млн долларов США под ставку 3,875% годовых с погашением 14 октября 2024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XS1120709669, общий код: 112070966;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US486661</w:t>
      </w:r>
      <w:r w:rsidRPr="005C53F5">
        <w:rPr>
          <w:rFonts w:ascii="Times New Roman" w:eastAsia="Calibri" w:hAnsi="Times New Roman" w:cs="Times New Roman"/>
          <w:b/>
          <w:i/>
          <w:sz w:val="24"/>
          <w:szCs w:val="24"/>
          <w:lang w:val="en-US"/>
        </w:rPr>
        <w:t>AE</w:t>
      </w:r>
      <w:r w:rsidRPr="005C53F5">
        <w:rPr>
          <w:rFonts w:ascii="Times New Roman" w:eastAsia="Calibri" w:hAnsi="Times New Roman" w:cs="Times New Roman"/>
          <w:b/>
          <w:i/>
          <w:sz w:val="24"/>
          <w:szCs w:val="24"/>
        </w:rPr>
        <w:t>13, общий код: 112087389,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486661 </w:t>
      </w:r>
      <w:r w:rsidRPr="005C53F5">
        <w:rPr>
          <w:rFonts w:ascii="Times New Roman" w:eastAsia="Calibri" w:hAnsi="Times New Roman" w:cs="Times New Roman"/>
          <w:b/>
          <w:i/>
          <w:sz w:val="24"/>
          <w:szCs w:val="24"/>
          <w:lang w:val="en-US"/>
        </w:rPr>
        <w:t>AE</w:t>
      </w:r>
      <w:r w:rsidRPr="005C53F5">
        <w:rPr>
          <w:rFonts w:ascii="Times New Roman" w:eastAsia="Calibri" w:hAnsi="Times New Roman" w:cs="Times New Roman"/>
          <w:b/>
          <w:i/>
          <w:sz w:val="24"/>
          <w:szCs w:val="24"/>
        </w:rPr>
        <w:t>1);</w:t>
      </w:r>
    </w:p>
    <w:p w14:paraId="589298B1" w14:textId="334CA90C" w:rsidR="004849C1" w:rsidRPr="005C53F5" w:rsidRDefault="003D12BF"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sz w:val="24"/>
          <w:szCs w:val="24"/>
        </w:rPr>
        <w:t>на сумму 1 000 млн долларов США под ставку 4,875% годовых с погашением 14 октября 2044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XS1120709826, общий код: 112070982;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US486661</w:t>
      </w:r>
      <w:r w:rsidRPr="005C53F5">
        <w:rPr>
          <w:rFonts w:ascii="Times New Roman" w:eastAsia="Calibri" w:hAnsi="Times New Roman" w:cs="Times New Roman"/>
          <w:b/>
          <w:i/>
          <w:sz w:val="24"/>
          <w:szCs w:val="24"/>
          <w:lang w:val="en-US"/>
        </w:rPr>
        <w:t>AF</w:t>
      </w:r>
      <w:r w:rsidRPr="005C53F5">
        <w:rPr>
          <w:rFonts w:ascii="Times New Roman" w:eastAsia="Calibri" w:hAnsi="Times New Roman" w:cs="Times New Roman"/>
          <w:b/>
          <w:i/>
          <w:sz w:val="24"/>
          <w:szCs w:val="24"/>
        </w:rPr>
        <w:t>87, общий код: 112087630,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486661 </w:t>
      </w:r>
      <w:r w:rsidRPr="005C53F5">
        <w:rPr>
          <w:rFonts w:ascii="Times New Roman" w:eastAsia="Calibri" w:hAnsi="Times New Roman" w:cs="Times New Roman"/>
          <w:b/>
          <w:i/>
          <w:sz w:val="24"/>
          <w:szCs w:val="24"/>
          <w:lang w:val="en-US"/>
        </w:rPr>
        <w:t>AF</w:t>
      </w:r>
      <w:r w:rsidRPr="005C53F5">
        <w:rPr>
          <w:rFonts w:ascii="Times New Roman" w:eastAsia="Calibri" w:hAnsi="Times New Roman" w:cs="Times New Roman"/>
          <w:b/>
          <w:i/>
          <w:sz w:val="24"/>
          <w:szCs w:val="24"/>
        </w:rPr>
        <w:t>8);</w:t>
      </w:r>
    </w:p>
    <w:p w14:paraId="2DF6F2D7" w14:textId="2F3DE0D2" w:rsidR="0068585E" w:rsidRPr="005C53F5" w:rsidRDefault="0068585E"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 xml:space="preserve">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 </w:t>
      </w:r>
      <w:r w:rsidRPr="005C53F5">
        <w:rPr>
          <w:rFonts w:ascii="Times New Roman" w:eastAsia="Calibri" w:hAnsi="Times New Roman" w:cs="Times New Roman"/>
          <w:b/>
          <w:bCs/>
          <w:i/>
          <w:iCs/>
          <w:sz w:val="24"/>
          <w:szCs w:val="24"/>
        </w:rPr>
        <w:t>еврооблигации Республики Казахстан не имеют государственный регистрационный номер (идентификационный номер), присвоенный в соответствии с законодательством Российской Федерации;</w:t>
      </w:r>
    </w:p>
    <w:p w14:paraId="75CEDCB2" w14:textId="11EDFA95" w:rsidR="0068585E" w:rsidRPr="005C53F5" w:rsidRDefault="0068585E"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рейтинг эмиссии на уровне долгосрочного суверенного кредитного рейтинга эмитента в иностранной валюте – «BBB»;</w:t>
      </w:r>
    </w:p>
    <w:p w14:paraId="301A160B" w14:textId="640A096E" w:rsidR="00216E14" w:rsidRPr="005C53F5" w:rsidRDefault="0068585E"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 xml:space="preserve">в </w:t>
      </w:r>
      <w:r w:rsidR="00216E14" w:rsidRPr="005C53F5">
        <w:rPr>
          <w:rFonts w:ascii="Times New Roman" w:eastAsia="Calibri" w:hAnsi="Times New Roman" w:cs="Times New Roman"/>
          <w:b/>
          <w:bCs/>
          <w:i/>
          <w:iCs/>
          <w:sz w:val="24"/>
          <w:szCs w:val="24"/>
        </w:rPr>
        <w:t>октябре</w:t>
      </w:r>
      <w:r w:rsidRPr="005C53F5">
        <w:rPr>
          <w:rFonts w:ascii="Times New Roman" w:eastAsia="Calibri" w:hAnsi="Times New Roman" w:cs="Times New Roman"/>
          <w:b/>
          <w:bCs/>
          <w:i/>
          <w:iCs/>
          <w:sz w:val="24"/>
          <w:szCs w:val="24"/>
        </w:rPr>
        <w:t xml:space="preserve"> 2014 года международное рейтинговое агентство Fitch Ratings присвоило еврооблигациям Республики </w:t>
      </w:r>
      <w:r w:rsidR="00D87B7D" w:rsidRPr="005C53F5">
        <w:rPr>
          <w:rFonts w:ascii="Times New Roman" w:eastAsia="Calibri" w:hAnsi="Times New Roman" w:cs="Times New Roman"/>
          <w:b/>
          <w:bCs/>
          <w:i/>
          <w:iCs/>
          <w:sz w:val="24"/>
          <w:szCs w:val="24"/>
        </w:rPr>
        <w:t>Казахстан</w:t>
      </w:r>
      <w:r w:rsidRPr="005C53F5">
        <w:rPr>
          <w:rFonts w:ascii="Times New Roman" w:eastAsia="Calibri" w:hAnsi="Times New Roman" w:cs="Times New Roman"/>
          <w:b/>
          <w:bCs/>
          <w:i/>
          <w:iCs/>
          <w:sz w:val="24"/>
          <w:szCs w:val="24"/>
        </w:rPr>
        <w:t xml:space="preserve">, эмитированным в </w:t>
      </w:r>
      <w:r w:rsidR="00216E14" w:rsidRPr="005C53F5">
        <w:rPr>
          <w:rFonts w:ascii="Times New Roman" w:eastAsia="Calibri" w:hAnsi="Times New Roman" w:cs="Times New Roman"/>
          <w:b/>
          <w:bCs/>
          <w:i/>
          <w:iCs/>
          <w:sz w:val="24"/>
          <w:szCs w:val="24"/>
        </w:rPr>
        <w:t xml:space="preserve">октябре </w:t>
      </w:r>
      <w:r w:rsidRPr="005C53F5">
        <w:rPr>
          <w:rFonts w:ascii="Times New Roman" w:eastAsia="Calibri" w:hAnsi="Times New Roman" w:cs="Times New Roman"/>
          <w:b/>
          <w:bCs/>
          <w:i/>
          <w:iCs/>
          <w:sz w:val="24"/>
          <w:szCs w:val="24"/>
        </w:rPr>
        <w:t xml:space="preserve">2014 года </w:t>
      </w:r>
      <w:r w:rsidR="00A5742D" w:rsidRPr="005C53F5">
        <w:rPr>
          <w:rFonts w:ascii="Times New Roman" w:eastAsia="Calibri" w:hAnsi="Times New Roman" w:cs="Times New Roman"/>
          <w:b/>
          <w:bCs/>
          <w:i/>
          <w:iCs/>
          <w:sz w:val="24"/>
          <w:szCs w:val="24"/>
        </w:rPr>
        <w:t>двумя траншами на</w:t>
      </w:r>
      <w:r w:rsidR="00216E14" w:rsidRPr="005C53F5">
        <w:rPr>
          <w:rFonts w:ascii="Times New Roman" w:eastAsia="Calibri" w:hAnsi="Times New Roman" w:cs="Times New Roman"/>
          <w:b/>
          <w:bCs/>
          <w:i/>
          <w:iCs/>
          <w:sz w:val="24"/>
          <w:szCs w:val="24"/>
        </w:rPr>
        <w:t xml:space="preserve"> общую </w:t>
      </w:r>
      <w:r w:rsidR="00A5742D" w:rsidRPr="005C53F5">
        <w:rPr>
          <w:rFonts w:ascii="Times New Roman" w:eastAsia="Calibri" w:hAnsi="Times New Roman" w:cs="Times New Roman"/>
          <w:b/>
          <w:bCs/>
          <w:i/>
          <w:iCs/>
          <w:sz w:val="24"/>
          <w:szCs w:val="24"/>
        </w:rPr>
        <w:t xml:space="preserve">сумму </w:t>
      </w:r>
      <w:r w:rsidR="00216E14" w:rsidRPr="005C53F5">
        <w:rPr>
          <w:rFonts w:ascii="Times New Roman" w:eastAsia="Calibri" w:hAnsi="Times New Roman" w:cs="Times New Roman"/>
          <w:b/>
          <w:bCs/>
          <w:i/>
          <w:iCs/>
          <w:sz w:val="24"/>
          <w:szCs w:val="24"/>
        </w:rPr>
        <w:t>2,5 млрд долларов США</w:t>
      </w:r>
      <w:r w:rsidRPr="005C53F5">
        <w:rPr>
          <w:rFonts w:ascii="Times New Roman" w:eastAsia="Calibri" w:hAnsi="Times New Roman" w:cs="Times New Roman"/>
          <w:b/>
          <w:bCs/>
          <w:i/>
          <w:iCs/>
          <w:sz w:val="24"/>
          <w:szCs w:val="24"/>
        </w:rPr>
        <w:t>, рейтинг на уровне «BBB+»</w:t>
      </w:r>
      <w:r w:rsidR="00216E14" w:rsidRPr="005C53F5">
        <w:rPr>
          <w:rFonts w:ascii="Times New Roman" w:eastAsia="Calibri" w:hAnsi="Times New Roman" w:cs="Times New Roman"/>
          <w:b/>
          <w:bCs/>
          <w:i/>
          <w:iCs/>
          <w:sz w:val="24"/>
          <w:szCs w:val="24"/>
        </w:rPr>
        <w:t>.</w:t>
      </w:r>
      <w:r w:rsidR="00B31C22" w:rsidRPr="005C53F5">
        <w:rPr>
          <w:rFonts w:ascii="Times New Roman" w:eastAsia="Calibri" w:hAnsi="Times New Roman" w:cs="Times New Roman"/>
          <w:b/>
          <w:bCs/>
          <w:i/>
          <w:iCs/>
          <w:sz w:val="24"/>
          <w:szCs w:val="24"/>
        </w:rPr>
        <w:t xml:space="preserve"> 7 ноября 2014 года, 1 мая 2015 года и 30 октября 2015 года </w:t>
      </w:r>
      <w:r w:rsidR="00B31C22" w:rsidRPr="005C53F5">
        <w:rPr>
          <w:rFonts w:ascii="Times New Roman" w:eastAsia="Calibri" w:hAnsi="Times New Roman" w:cs="Times New Roman"/>
          <w:b/>
          <w:i/>
          <w:sz w:val="24"/>
          <w:szCs w:val="24"/>
        </w:rPr>
        <w:t xml:space="preserve">международное рейтинговое агентство Fitch Ratings подтверждало рейтинг на уровне </w:t>
      </w:r>
      <w:r w:rsidR="00B31C22" w:rsidRPr="005C53F5">
        <w:rPr>
          <w:rFonts w:ascii="Times New Roman" w:eastAsia="Calibri" w:hAnsi="Times New Roman" w:cs="Times New Roman"/>
          <w:b/>
          <w:bCs/>
          <w:i/>
          <w:iCs/>
          <w:sz w:val="24"/>
          <w:szCs w:val="24"/>
        </w:rPr>
        <w:t>«BBB+». Вместе с понижением суве</w:t>
      </w:r>
      <w:r w:rsidR="00803798" w:rsidRPr="005C53F5">
        <w:rPr>
          <w:rFonts w:ascii="Times New Roman" w:eastAsia="Calibri" w:hAnsi="Times New Roman" w:cs="Times New Roman"/>
          <w:b/>
          <w:bCs/>
          <w:i/>
          <w:iCs/>
          <w:sz w:val="24"/>
          <w:szCs w:val="24"/>
        </w:rPr>
        <w:t>ренного кредитного рейтинга в апреле 2016</w:t>
      </w:r>
      <w:r w:rsidR="00B31C22" w:rsidRPr="005C53F5">
        <w:rPr>
          <w:rFonts w:ascii="Times New Roman" w:eastAsia="Calibri" w:hAnsi="Times New Roman" w:cs="Times New Roman"/>
          <w:b/>
          <w:bCs/>
          <w:i/>
          <w:iCs/>
          <w:sz w:val="24"/>
          <w:szCs w:val="24"/>
        </w:rPr>
        <w:t xml:space="preserve"> года рейтинг эмиссии понижен до уровня «</w:t>
      </w:r>
      <w:r w:rsidR="00B31C22" w:rsidRPr="005C53F5">
        <w:rPr>
          <w:rFonts w:ascii="Times New Roman" w:eastAsia="Calibri" w:hAnsi="Times New Roman" w:cs="Times New Roman"/>
          <w:b/>
          <w:bCs/>
          <w:i/>
          <w:iCs/>
          <w:sz w:val="24"/>
          <w:szCs w:val="24"/>
          <w:lang w:val="en-US"/>
        </w:rPr>
        <w:t>BB</w:t>
      </w:r>
      <w:r w:rsidR="00B31C22" w:rsidRPr="005C53F5">
        <w:rPr>
          <w:rFonts w:ascii="Times New Roman" w:eastAsia="Calibri" w:hAnsi="Times New Roman" w:cs="Times New Roman"/>
          <w:b/>
          <w:bCs/>
          <w:i/>
          <w:iCs/>
          <w:sz w:val="24"/>
          <w:szCs w:val="24"/>
        </w:rPr>
        <w:t xml:space="preserve">В», прогноз «стабильный». </w:t>
      </w:r>
      <w:r w:rsidR="00803798" w:rsidRPr="005C53F5">
        <w:rPr>
          <w:rFonts w:ascii="Times New Roman" w:eastAsia="Calibri" w:hAnsi="Times New Roman" w:cs="Times New Roman"/>
          <w:b/>
          <w:i/>
          <w:sz w:val="24"/>
          <w:szCs w:val="24"/>
        </w:rPr>
        <w:t>28 октября 2016 года, 21 апреля 2017 года, 20 октября 2017 года, 13 апреля 2018 года, 28 сентября 2018 года, 22 марта 2019 года, 6 сентября 2019 года и 21 февраля 2020 года агентство Fitch Ratings подтвердило кредитный рейтинг на уровне «BBB», прогноз «стабильный»</w:t>
      </w:r>
      <w:r w:rsidR="00B31C22" w:rsidRPr="005C53F5">
        <w:rPr>
          <w:rFonts w:ascii="Times New Roman" w:eastAsia="Calibri" w:hAnsi="Times New Roman" w:cs="Times New Roman"/>
          <w:b/>
          <w:bCs/>
          <w:i/>
          <w:iCs/>
          <w:sz w:val="24"/>
          <w:szCs w:val="24"/>
        </w:rPr>
        <w:t>;</w:t>
      </w:r>
    </w:p>
    <w:p w14:paraId="38358B8D" w14:textId="77777777" w:rsidR="0068585E" w:rsidRPr="005C53F5" w:rsidRDefault="0068585E"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14:paraId="75ECDAE6" w14:textId="77777777" w:rsidR="00D87B7D" w:rsidRPr="005C53F5" w:rsidRDefault="00D87B7D" w:rsidP="00057BE5">
      <w:pPr>
        <w:spacing w:after="0" w:line="240" w:lineRule="auto"/>
        <w:ind w:firstLine="709"/>
        <w:jc w:val="both"/>
        <w:rPr>
          <w:rFonts w:ascii="Times New Roman" w:eastAsia="Calibri" w:hAnsi="Times New Roman" w:cs="Times New Roman"/>
          <w:i/>
          <w:iCs/>
          <w:sz w:val="24"/>
          <w:szCs w:val="24"/>
        </w:rPr>
      </w:pPr>
      <w:r w:rsidRPr="005C53F5">
        <w:rPr>
          <w:rFonts w:ascii="Times New Roman" w:eastAsia="Calibri" w:hAnsi="Times New Roman" w:cs="Times New Roman"/>
          <w:b/>
          <w:i/>
          <w:iCs/>
          <w:sz w:val="24"/>
          <w:szCs w:val="24"/>
        </w:rPr>
        <w:t xml:space="preserve">полное фирменное наименование – Fitch Ratings Ltd.; сокращенное фирменное наименование – </w:t>
      </w:r>
      <w:r w:rsidRPr="005C53F5">
        <w:rPr>
          <w:rFonts w:ascii="Times New Roman" w:eastAsia="Calibri" w:hAnsi="Times New Roman" w:cs="Times New Roman"/>
          <w:b/>
          <w:i/>
          <w:iCs/>
          <w:sz w:val="24"/>
          <w:szCs w:val="24"/>
          <w:lang w:val="en-US"/>
        </w:rPr>
        <w:t>Fitch</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Ratings</w:t>
      </w:r>
      <w:r w:rsidRPr="005C53F5">
        <w:rPr>
          <w:rFonts w:ascii="Times New Roman" w:eastAsia="Calibri" w:hAnsi="Times New Roman" w:cs="Times New Roman"/>
          <w:b/>
          <w:i/>
          <w:iCs/>
          <w:sz w:val="24"/>
          <w:szCs w:val="24"/>
        </w:rPr>
        <w:t xml:space="preserve">; место нахождения – 33 </w:t>
      </w:r>
      <w:r w:rsidRPr="005C53F5">
        <w:rPr>
          <w:rFonts w:ascii="Times New Roman" w:eastAsia="Calibri" w:hAnsi="Times New Roman" w:cs="Times New Roman"/>
          <w:b/>
          <w:i/>
          <w:iCs/>
          <w:sz w:val="24"/>
          <w:szCs w:val="24"/>
          <w:lang w:val="en-US"/>
        </w:rPr>
        <w:t>Whitehall</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Street</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New</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York</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NY</w:t>
      </w:r>
      <w:r w:rsidRPr="005C53F5">
        <w:rPr>
          <w:rFonts w:ascii="Times New Roman" w:eastAsia="Calibri" w:hAnsi="Times New Roman" w:cs="Times New Roman"/>
          <w:b/>
          <w:i/>
          <w:iCs/>
          <w:sz w:val="24"/>
          <w:szCs w:val="24"/>
        </w:rPr>
        <w:t xml:space="preserve"> 10004, United States;</w:t>
      </w:r>
    </w:p>
    <w:p w14:paraId="5F35F649" w14:textId="41D5F254" w:rsidR="0068585E" w:rsidRPr="005C53F5" w:rsidRDefault="0068585E"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14:paraId="09B638A7" w14:textId="012A1721" w:rsidR="00D87B7D"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iCs/>
          <w:sz w:val="24"/>
          <w:szCs w:val="24"/>
        </w:rPr>
        <w:t>информация о методике присвоения кредитного рейтинга размещена (опубликована) в информационно- телекоммуникационной сети «Интернет» в свободном доступе по адресу www.fitchratings.com</w:t>
      </w:r>
      <w:r w:rsidRPr="005C53F5">
        <w:rPr>
          <w:rFonts w:ascii="Times New Roman" w:eastAsia="Calibri" w:hAnsi="Times New Roman" w:cs="Times New Roman"/>
          <w:sz w:val="24"/>
          <w:szCs w:val="24"/>
        </w:rPr>
        <w:t>;</w:t>
      </w:r>
    </w:p>
    <w:p w14:paraId="204EF9B6" w14:textId="2EA80C87" w:rsidR="0068585E" w:rsidRPr="005C53F5" w:rsidRDefault="0068585E" w:rsidP="00057BE5">
      <w:pPr>
        <w:spacing w:after="0" w:line="240" w:lineRule="auto"/>
        <w:ind w:firstLine="708"/>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sz w:val="24"/>
          <w:szCs w:val="24"/>
        </w:rPr>
        <w:t>отсутствуют;</w:t>
      </w:r>
    </w:p>
    <w:p w14:paraId="460E442F" w14:textId="77777777" w:rsidR="00D87B7D" w:rsidRPr="005C53F5" w:rsidRDefault="00D87B7D"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Pr="005C53F5">
        <w:rPr>
          <w:rFonts w:ascii="Times New Roman" w:eastAsia="Calibri" w:hAnsi="Times New Roman" w:cs="Times New Roman"/>
          <w:b/>
          <w:i/>
          <w:sz w:val="24"/>
          <w:szCs w:val="24"/>
        </w:rPr>
        <w:t xml:space="preserve">еврооблигации </w:t>
      </w:r>
      <w:r w:rsidRPr="005C53F5">
        <w:rPr>
          <w:rFonts w:ascii="Times New Roman" w:eastAsia="Calibri" w:hAnsi="Times New Roman" w:cs="Times New Roman"/>
          <w:b/>
          <w:bCs/>
          <w:i/>
          <w:iCs/>
          <w:sz w:val="24"/>
          <w:szCs w:val="24"/>
        </w:rPr>
        <w:t xml:space="preserve">Республики </w:t>
      </w:r>
      <w:r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62AE9199" w14:textId="4216D8E3" w:rsidR="003D12BF"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вид, категория (тип), серия, форма и иные идентификационные признаки ценных бумаг:</w:t>
      </w:r>
      <w:r w:rsidR="003B13E2" w:rsidRPr="005C53F5">
        <w:rPr>
          <w:rFonts w:ascii="Times New Roman" w:eastAsia="Calibri" w:hAnsi="Times New Roman" w:cs="Times New Roman"/>
          <w:sz w:val="24"/>
          <w:szCs w:val="24"/>
        </w:rPr>
        <w:t xml:space="preserve"> </w:t>
      </w:r>
      <w:r w:rsidR="003D12BF" w:rsidRPr="005C53F5">
        <w:rPr>
          <w:rFonts w:ascii="Times New Roman" w:eastAsia="Calibri" w:hAnsi="Times New Roman" w:cs="Times New Roman"/>
          <w:b/>
          <w:i/>
          <w:sz w:val="24"/>
          <w:szCs w:val="24"/>
        </w:rPr>
        <w:t>купонные документарные именные ноты по правилу 144А /</w:t>
      </w:r>
      <w:r w:rsidR="003F44D9" w:rsidRPr="005C53F5">
        <w:rPr>
          <w:rFonts w:ascii="Times New Roman" w:eastAsia="Calibri" w:hAnsi="Times New Roman" w:cs="Times New Roman"/>
          <w:b/>
          <w:i/>
          <w:sz w:val="24"/>
          <w:szCs w:val="24"/>
        </w:rPr>
        <w:t xml:space="preserve"> </w:t>
      </w:r>
      <w:r w:rsidR="003D12BF" w:rsidRPr="005C53F5">
        <w:rPr>
          <w:rFonts w:ascii="Times New Roman" w:eastAsia="Calibri" w:hAnsi="Times New Roman" w:cs="Times New Roman"/>
          <w:b/>
          <w:i/>
          <w:sz w:val="24"/>
          <w:szCs w:val="24"/>
        </w:rPr>
        <w:t>Постановлению S номинальной стоимостью 1000 долларов США каждая, размещенные двумя траншами 06 октября 2014 года:</w:t>
      </w:r>
    </w:p>
    <w:p w14:paraId="5E1474DE" w14:textId="77777777" w:rsidR="003D12BF" w:rsidRPr="005C53F5" w:rsidRDefault="003D12BF"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на сумму 1 500 млн долларов США под ставку 3,875% годовых с погашением 14 октября 2024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XS1120709669, общий код: 112070966;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US486661</w:t>
      </w:r>
      <w:r w:rsidRPr="005C53F5">
        <w:rPr>
          <w:rFonts w:ascii="Times New Roman" w:eastAsia="Calibri" w:hAnsi="Times New Roman" w:cs="Times New Roman"/>
          <w:b/>
          <w:i/>
          <w:sz w:val="24"/>
          <w:szCs w:val="24"/>
          <w:lang w:val="en-US"/>
        </w:rPr>
        <w:t>AE</w:t>
      </w:r>
      <w:r w:rsidRPr="005C53F5">
        <w:rPr>
          <w:rFonts w:ascii="Times New Roman" w:eastAsia="Calibri" w:hAnsi="Times New Roman" w:cs="Times New Roman"/>
          <w:b/>
          <w:i/>
          <w:sz w:val="24"/>
          <w:szCs w:val="24"/>
        </w:rPr>
        <w:t>13, общий код: 112087389,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486661 </w:t>
      </w:r>
      <w:r w:rsidRPr="005C53F5">
        <w:rPr>
          <w:rFonts w:ascii="Times New Roman" w:eastAsia="Calibri" w:hAnsi="Times New Roman" w:cs="Times New Roman"/>
          <w:b/>
          <w:i/>
          <w:sz w:val="24"/>
          <w:szCs w:val="24"/>
          <w:lang w:val="en-US"/>
        </w:rPr>
        <w:t>AE</w:t>
      </w:r>
      <w:r w:rsidRPr="005C53F5">
        <w:rPr>
          <w:rFonts w:ascii="Times New Roman" w:eastAsia="Calibri" w:hAnsi="Times New Roman" w:cs="Times New Roman"/>
          <w:b/>
          <w:i/>
          <w:sz w:val="24"/>
          <w:szCs w:val="24"/>
        </w:rPr>
        <w:t>1);</w:t>
      </w:r>
    </w:p>
    <w:p w14:paraId="1028AA13" w14:textId="2E6D4DAE" w:rsidR="004849C1" w:rsidRPr="005C53F5" w:rsidRDefault="003D12BF"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sz w:val="24"/>
          <w:szCs w:val="24"/>
        </w:rPr>
        <w:t>на сумму 1 000 млн долларов США под ставку 4,875% годовых с погашением 14 октября 2044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XS1120709826, общий код: 112070982;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US486661</w:t>
      </w:r>
      <w:r w:rsidRPr="005C53F5">
        <w:rPr>
          <w:rFonts w:ascii="Times New Roman" w:eastAsia="Calibri" w:hAnsi="Times New Roman" w:cs="Times New Roman"/>
          <w:b/>
          <w:i/>
          <w:sz w:val="24"/>
          <w:szCs w:val="24"/>
          <w:lang w:val="en-US"/>
        </w:rPr>
        <w:t>AF</w:t>
      </w:r>
      <w:r w:rsidRPr="005C53F5">
        <w:rPr>
          <w:rFonts w:ascii="Times New Roman" w:eastAsia="Calibri" w:hAnsi="Times New Roman" w:cs="Times New Roman"/>
          <w:b/>
          <w:i/>
          <w:sz w:val="24"/>
          <w:szCs w:val="24"/>
        </w:rPr>
        <w:t>87, общий код: 112087630,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486661 </w:t>
      </w:r>
      <w:r w:rsidRPr="005C53F5">
        <w:rPr>
          <w:rFonts w:ascii="Times New Roman" w:eastAsia="Calibri" w:hAnsi="Times New Roman" w:cs="Times New Roman"/>
          <w:b/>
          <w:i/>
          <w:sz w:val="24"/>
          <w:szCs w:val="24"/>
          <w:lang w:val="en-US"/>
        </w:rPr>
        <w:t>AF</w:t>
      </w:r>
      <w:r w:rsidRPr="005C53F5">
        <w:rPr>
          <w:rFonts w:ascii="Times New Roman" w:eastAsia="Calibri" w:hAnsi="Times New Roman" w:cs="Times New Roman"/>
          <w:b/>
          <w:i/>
          <w:sz w:val="24"/>
          <w:szCs w:val="24"/>
        </w:rPr>
        <w:t>8);</w:t>
      </w:r>
    </w:p>
    <w:p w14:paraId="5210C185" w14:textId="4AC85CC8" w:rsidR="00D87B7D" w:rsidRPr="005C53F5" w:rsidRDefault="00D87B7D"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 xml:space="preserve">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 </w:t>
      </w:r>
      <w:r w:rsidRPr="005C53F5">
        <w:rPr>
          <w:rFonts w:ascii="Times New Roman" w:eastAsia="Calibri" w:hAnsi="Times New Roman" w:cs="Times New Roman"/>
          <w:b/>
          <w:bCs/>
          <w:i/>
          <w:iCs/>
          <w:sz w:val="24"/>
          <w:szCs w:val="24"/>
        </w:rPr>
        <w:t>еврооблигации Республики Казахстан не имеют государственный регистрационный номер (идентификационный номер), присвоенный в соответствии с законодательством Российской Федерации;</w:t>
      </w:r>
    </w:p>
    <w:p w14:paraId="67DCEF0B" w14:textId="2B44E875" w:rsidR="00D87B7D" w:rsidRPr="005C53F5" w:rsidRDefault="00D87B7D"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рейтинг эмиссии на уровне долгосрочного суверенного кредитного рейтинга эмитента в иностранной валюте – «</w:t>
      </w:r>
      <w:r w:rsidR="003F44D9" w:rsidRPr="005C53F5">
        <w:rPr>
          <w:rFonts w:ascii="Times New Roman" w:eastAsia="Calibri" w:hAnsi="Times New Roman" w:cs="Times New Roman"/>
          <w:b/>
          <w:bCs/>
          <w:i/>
          <w:iCs/>
          <w:sz w:val="24"/>
          <w:szCs w:val="24"/>
        </w:rPr>
        <w:t>Baa3</w:t>
      </w:r>
      <w:r w:rsidRPr="005C53F5">
        <w:rPr>
          <w:rFonts w:ascii="Times New Roman" w:eastAsia="Calibri" w:hAnsi="Times New Roman" w:cs="Times New Roman"/>
          <w:b/>
          <w:bCs/>
          <w:i/>
          <w:iCs/>
          <w:sz w:val="24"/>
          <w:szCs w:val="24"/>
        </w:rPr>
        <w:t>»;</w:t>
      </w:r>
    </w:p>
    <w:p w14:paraId="73B217FA" w14:textId="17B719C9" w:rsidR="00650922" w:rsidRPr="005C53F5" w:rsidRDefault="00D87B7D" w:rsidP="00057BE5">
      <w:pPr>
        <w:spacing w:after="0" w:line="240" w:lineRule="auto"/>
        <w:ind w:firstLine="708"/>
        <w:jc w:val="both"/>
        <w:rPr>
          <w:rFonts w:ascii="Times New Roman" w:eastAsia="Calibri" w:hAnsi="Times New Roman" w:cs="Times New Roman"/>
          <w:b/>
          <w:i/>
          <w:sz w:val="24"/>
          <w:szCs w:val="24"/>
        </w:rPr>
      </w:pPr>
      <w:r w:rsidRPr="005C53F5">
        <w:rPr>
          <w:rFonts w:ascii="Times New Roman" w:eastAsia="Calibri" w:hAnsi="Times New Roman" w:cs="Times New Roman"/>
          <w:sz w:val="24"/>
          <w:szCs w:val="24"/>
        </w:rPr>
        <w:t>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 xml:space="preserve">в </w:t>
      </w:r>
      <w:r w:rsidR="003F44D9" w:rsidRPr="005C53F5">
        <w:rPr>
          <w:rFonts w:ascii="Times New Roman" w:eastAsia="Calibri" w:hAnsi="Times New Roman" w:cs="Times New Roman"/>
          <w:b/>
          <w:bCs/>
          <w:i/>
          <w:iCs/>
          <w:sz w:val="24"/>
          <w:szCs w:val="24"/>
        </w:rPr>
        <w:t>октябре</w:t>
      </w:r>
      <w:r w:rsidRPr="005C53F5">
        <w:rPr>
          <w:rFonts w:ascii="Times New Roman" w:eastAsia="Calibri" w:hAnsi="Times New Roman" w:cs="Times New Roman"/>
          <w:b/>
          <w:bCs/>
          <w:i/>
          <w:iCs/>
          <w:sz w:val="24"/>
          <w:szCs w:val="24"/>
        </w:rPr>
        <w:t xml:space="preserve"> 2014 года международное рейтинговое агентство</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bCs/>
          <w:i/>
          <w:iCs/>
          <w:sz w:val="24"/>
          <w:szCs w:val="24"/>
        </w:rPr>
        <w:t xml:space="preserve">Moody's присвоило еврооблигациям Республики Казахстан, эмитированным в </w:t>
      </w:r>
      <w:r w:rsidR="003F44D9" w:rsidRPr="005C53F5">
        <w:rPr>
          <w:rFonts w:ascii="Times New Roman" w:eastAsia="Calibri" w:hAnsi="Times New Roman" w:cs="Times New Roman"/>
          <w:b/>
          <w:bCs/>
          <w:i/>
          <w:iCs/>
          <w:sz w:val="24"/>
          <w:szCs w:val="24"/>
        </w:rPr>
        <w:t xml:space="preserve">октябре </w:t>
      </w:r>
      <w:r w:rsidRPr="005C53F5">
        <w:rPr>
          <w:rFonts w:ascii="Times New Roman" w:eastAsia="Calibri" w:hAnsi="Times New Roman" w:cs="Times New Roman"/>
          <w:b/>
          <w:bCs/>
          <w:i/>
          <w:iCs/>
          <w:sz w:val="24"/>
          <w:szCs w:val="24"/>
        </w:rPr>
        <w:t xml:space="preserve">2014 года </w:t>
      </w:r>
      <w:r w:rsidR="00A5742D" w:rsidRPr="005C53F5">
        <w:rPr>
          <w:rFonts w:ascii="Times New Roman" w:eastAsia="Calibri" w:hAnsi="Times New Roman" w:cs="Times New Roman"/>
          <w:b/>
          <w:bCs/>
          <w:i/>
          <w:iCs/>
          <w:sz w:val="24"/>
          <w:szCs w:val="24"/>
        </w:rPr>
        <w:t xml:space="preserve">двумя траншами </w:t>
      </w:r>
      <w:r w:rsidRPr="005C53F5">
        <w:rPr>
          <w:rFonts w:ascii="Times New Roman" w:eastAsia="Calibri" w:hAnsi="Times New Roman" w:cs="Times New Roman"/>
          <w:b/>
          <w:bCs/>
          <w:i/>
          <w:iCs/>
          <w:sz w:val="24"/>
          <w:szCs w:val="24"/>
        </w:rPr>
        <w:t>на</w:t>
      </w:r>
      <w:r w:rsidR="003F44D9" w:rsidRPr="005C53F5">
        <w:rPr>
          <w:rFonts w:ascii="Times New Roman" w:eastAsia="Calibri" w:hAnsi="Times New Roman" w:cs="Times New Roman"/>
          <w:b/>
          <w:bCs/>
          <w:i/>
          <w:iCs/>
          <w:sz w:val="24"/>
          <w:szCs w:val="24"/>
        </w:rPr>
        <w:t xml:space="preserve"> общую</w:t>
      </w:r>
      <w:r w:rsidRPr="005C53F5">
        <w:rPr>
          <w:rFonts w:ascii="Times New Roman" w:eastAsia="Calibri" w:hAnsi="Times New Roman" w:cs="Times New Roman"/>
          <w:b/>
          <w:bCs/>
          <w:i/>
          <w:iCs/>
          <w:sz w:val="24"/>
          <w:szCs w:val="24"/>
        </w:rPr>
        <w:t xml:space="preserve"> </w:t>
      </w:r>
      <w:r w:rsidR="00A5742D" w:rsidRPr="005C53F5">
        <w:rPr>
          <w:rFonts w:ascii="Times New Roman" w:eastAsia="Calibri" w:hAnsi="Times New Roman" w:cs="Times New Roman"/>
          <w:b/>
          <w:bCs/>
          <w:i/>
          <w:iCs/>
          <w:sz w:val="24"/>
          <w:szCs w:val="24"/>
        </w:rPr>
        <w:t xml:space="preserve">сумму </w:t>
      </w:r>
      <w:r w:rsidR="003F44D9" w:rsidRPr="005C53F5">
        <w:rPr>
          <w:rFonts w:ascii="Times New Roman" w:eastAsia="Calibri" w:hAnsi="Times New Roman" w:cs="Times New Roman"/>
          <w:b/>
          <w:bCs/>
          <w:i/>
          <w:iCs/>
          <w:sz w:val="24"/>
          <w:szCs w:val="24"/>
        </w:rPr>
        <w:t>2</w:t>
      </w:r>
      <w:r w:rsidR="00A5742D" w:rsidRPr="005C53F5">
        <w:rPr>
          <w:rFonts w:ascii="Times New Roman" w:eastAsia="Calibri" w:hAnsi="Times New Roman" w:cs="Times New Roman"/>
          <w:b/>
          <w:bCs/>
          <w:i/>
          <w:iCs/>
          <w:sz w:val="24"/>
          <w:szCs w:val="24"/>
        </w:rPr>
        <w:t>,5 млрд долларов США</w:t>
      </w:r>
      <w:r w:rsidRPr="005C53F5">
        <w:rPr>
          <w:rFonts w:ascii="Times New Roman" w:eastAsia="Calibri" w:hAnsi="Times New Roman" w:cs="Times New Roman"/>
          <w:b/>
          <w:bCs/>
          <w:i/>
          <w:iCs/>
          <w:sz w:val="24"/>
          <w:szCs w:val="24"/>
        </w:rPr>
        <w:t>, рейтинг на уровне «Baa2»</w:t>
      </w:r>
      <w:r w:rsidR="003F44D9" w:rsidRPr="005C53F5">
        <w:rPr>
          <w:rFonts w:ascii="Times New Roman" w:eastAsia="Calibri" w:hAnsi="Times New Roman" w:cs="Times New Roman"/>
          <w:b/>
          <w:bCs/>
          <w:i/>
          <w:iCs/>
          <w:sz w:val="24"/>
          <w:szCs w:val="24"/>
        </w:rPr>
        <w:t>.</w:t>
      </w:r>
      <w:r w:rsidR="006D1AB5" w:rsidRPr="005C53F5">
        <w:rPr>
          <w:rFonts w:ascii="Times New Roman" w:eastAsia="Calibri" w:hAnsi="Times New Roman" w:cs="Times New Roman"/>
          <w:b/>
          <w:bCs/>
          <w:i/>
          <w:iCs/>
          <w:sz w:val="24"/>
          <w:szCs w:val="24"/>
        </w:rPr>
        <w:t xml:space="preserve"> В марте 2015 года агентство Moody's подтвердила рейтинг на уровне «Baa2». </w:t>
      </w:r>
      <w:r w:rsidR="003F44D9" w:rsidRPr="005C53F5">
        <w:rPr>
          <w:rFonts w:ascii="Times New Roman" w:eastAsia="Calibri" w:hAnsi="Times New Roman" w:cs="Times New Roman"/>
          <w:b/>
          <w:bCs/>
          <w:i/>
          <w:iCs/>
          <w:sz w:val="24"/>
          <w:szCs w:val="24"/>
        </w:rPr>
        <w:t>Вместе с понижением суверенного кредитного рейтинга в апреле 2016 года рейтинг эмиссии понижен до уровня «</w:t>
      </w:r>
      <w:r w:rsidR="0045202E" w:rsidRPr="005C53F5">
        <w:rPr>
          <w:rFonts w:ascii="Times New Roman" w:eastAsia="Calibri" w:hAnsi="Times New Roman" w:cs="Times New Roman"/>
          <w:b/>
          <w:i/>
          <w:sz w:val="24"/>
          <w:szCs w:val="24"/>
        </w:rPr>
        <w:t>Baa3»</w:t>
      </w:r>
      <w:r w:rsidR="00803798" w:rsidRPr="005C53F5">
        <w:rPr>
          <w:rFonts w:ascii="Times New Roman" w:eastAsia="Calibri" w:hAnsi="Times New Roman" w:cs="Times New Roman"/>
          <w:b/>
          <w:i/>
          <w:sz w:val="24"/>
          <w:szCs w:val="24"/>
        </w:rPr>
        <w:t>, прогноз «негативный»</w:t>
      </w:r>
      <w:r w:rsidR="003F44D9" w:rsidRPr="005C53F5">
        <w:rPr>
          <w:rFonts w:ascii="Times New Roman" w:eastAsia="Calibri" w:hAnsi="Times New Roman" w:cs="Times New Roman"/>
          <w:b/>
          <w:bCs/>
          <w:i/>
          <w:iCs/>
          <w:sz w:val="24"/>
          <w:szCs w:val="24"/>
        </w:rPr>
        <w:t>.</w:t>
      </w:r>
      <w:r w:rsidR="0045202E" w:rsidRPr="005C53F5">
        <w:rPr>
          <w:rFonts w:ascii="Times New Roman" w:eastAsia="Calibri" w:hAnsi="Times New Roman" w:cs="Times New Roman"/>
          <w:b/>
          <w:bCs/>
          <w:i/>
          <w:iCs/>
          <w:sz w:val="24"/>
          <w:szCs w:val="24"/>
        </w:rPr>
        <w:t xml:space="preserve"> </w:t>
      </w:r>
      <w:r w:rsidR="003F44D9" w:rsidRPr="005C53F5">
        <w:rPr>
          <w:rFonts w:ascii="Times New Roman" w:eastAsia="Calibri" w:hAnsi="Times New Roman" w:cs="Times New Roman"/>
          <w:b/>
          <w:bCs/>
          <w:i/>
          <w:iCs/>
          <w:sz w:val="24"/>
          <w:szCs w:val="24"/>
        </w:rPr>
        <w:t xml:space="preserve"> </w:t>
      </w:r>
      <w:r w:rsidR="00650922" w:rsidRPr="005C53F5">
        <w:rPr>
          <w:rFonts w:ascii="Times New Roman" w:eastAsia="Calibri" w:hAnsi="Times New Roman" w:cs="Times New Roman"/>
          <w:b/>
          <w:i/>
          <w:sz w:val="24"/>
          <w:szCs w:val="24"/>
        </w:rPr>
        <w:t xml:space="preserve">26 июля 2017 года </w:t>
      </w:r>
      <w:r w:rsidR="00963779" w:rsidRPr="005C53F5">
        <w:rPr>
          <w:rFonts w:ascii="Times New Roman" w:eastAsia="Calibri" w:hAnsi="Times New Roman" w:cs="Times New Roman"/>
          <w:b/>
          <w:i/>
          <w:sz w:val="24"/>
          <w:szCs w:val="24"/>
        </w:rPr>
        <w:t xml:space="preserve">рейтинг был установлен на уровне </w:t>
      </w:r>
      <w:r w:rsidR="00650922" w:rsidRPr="005C53F5">
        <w:rPr>
          <w:rFonts w:ascii="Times New Roman" w:eastAsia="Calibri" w:hAnsi="Times New Roman" w:cs="Times New Roman"/>
          <w:b/>
          <w:i/>
          <w:sz w:val="24"/>
          <w:szCs w:val="24"/>
        </w:rPr>
        <w:t>«Baa3, прогноз «стабильный»</w:t>
      </w:r>
      <w:r w:rsidR="00963779" w:rsidRPr="005C53F5">
        <w:rPr>
          <w:rFonts w:ascii="Times New Roman" w:eastAsia="Calibri" w:hAnsi="Times New Roman" w:cs="Times New Roman"/>
          <w:b/>
          <w:i/>
          <w:sz w:val="24"/>
          <w:szCs w:val="24"/>
        </w:rPr>
        <w:t xml:space="preserve">. </w:t>
      </w:r>
      <w:r w:rsidR="00650922" w:rsidRPr="005C53F5">
        <w:rPr>
          <w:rFonts w:ascii="Times New Roman" w:eastAsia="Calibri" w:hAnsi="Times New Roman" w:cs="Times New Roman"/>
          <w:b/>
          <w:i/>
          <w:sz w:val="24"/>
          <w:szCs w:val="24"/>
        </w:rPr>
        <w:t xml:space="preserve">22 августа 2019 года рейтинг был установлен на уровне «Baa3, прогноз «позитивный». </w:t>
      </w:r>
    </w:p>
    <w:p w14:paraId="14999ADA" w14:textId="77777777" w:rsidR="00D87B7D"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14:paraId="246FB186" w14:textId="77777777" w:rsidR="00D87B7D" w:rsidRPr="005C53F5" w:rsidRDefault="00D87B7D"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полное фирменное наименование – Moody’s Investors Service Ltd.; сокращенное фирменное наименование – Moody’s; место нахождения – 99 Church Street, New York, NY 10007;</w:t>
      </w:r>
    </w:p>
    <w:p w14:paraId="2FCD8910" w14:textId="77777777" w:rsidR="00D87B7D"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14:paraId="359CE60B" w14:textId="77777777" w:rsidR="00D87B7D" w:rsidRPr="005C53F5" w:rsidRDefault="00D87B7D"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информация о методике присвоения кредитного рейтинга размещена (опубликована) в информационно- телекоммуникационной сети «Интернет» в свободном доступе по адресу www.moodys.com;</w:t>
      </w:r>
    </w:p>
    <w:p w14:paraId="2F10FD8B" w14:textId="77777777" w:rsidR="00D87B7D" w:rsidRPr="005C53F5" w:rsidRDefault="00D87B7D" w:rsidP="00057BE5">
      <w:pPr>
        <w:spacing w:after="0" w:line="240" w:lineRule="auto"/>
        <w:ind w:firstLine="708"/>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sz w:val="24"/>
          <w:szCs w:val="24"/>
        </w:rPr>
        <w:t>отсутствуют;</w:t>
      </w:r>
    </w:p>
    <w:p w14:paraId="5ED2439A" w14:textId="77777777" w:rsidR="00D87B7D" w:rsidRPr="005C53F5" w:rsidRDefault="00D87B7D"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Pr="005C53F5">
        <w:rPr>
          <w:rFonts w:ascii="Times New Roman" w:eastAsia="Calibri" w:hAnsi="Times New Roman" w:cs="Times New Roman"/>
          <w:b/>
          <w:i/>
          <w:sz w:val="24"/>
          <w:szCs w:val="24"/>
        </w:rPr>
        <w:t xml:space="preserve">еврооблигации </w:t>
      </w:r>
      <w:r w:rsidRPr="005C53F5">
        <w:rPr>
          <w:rFonts w:ascii="Times New Roman" w:eastAsia="Calibri" w:hAnsi="Times New Roman" w:cs="Times New Roman"/>
          <w:b/>
          <w:bCs/>
          <w:i/>
          <w:iCs/>
          <w:sz w:val="24"/>
          <w:szCs w:val="24"/>
        </w:rPr>
        <w:t xml:space="preserve">Республики </w:t>
      </w:r>
      <w:r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246EAE81" w14:textId="43E0E1ED" w:rsidR="00B572C1"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вид, категория (тип), серия, форма и иные идентификационные признаки ценных бумаг:</w:t>
      </w:r>
      <w:r w:rsidR="002E3BF7" w:rsidRPr="005C53F5">
        <w:rPr>
          <w:rFonts w:ascii="Times New Roman" w:eastAsia="Calibri" w:hAnsi="Times New Roman" w:cs="Times New Roman"/>
          <w:sz w:val="24"/>
          <w:szCs w:val="24"/>
        </w:rPr>
        <w:t xml:space="preserve"> </w:t>
      </w:r>
      <w:r w:rsidR="00B572C1" w:rsidRPr="005C53F5">
        <w:rPr>
          <w:rFonts w:ascii="Times New Roman" w:eastAsia="Calibri" w:hAnsi="Times New Roman" w:cs="Times New Roman"/>
          <w:b/>
          <w:i/>
          <w:sz w:val="24"/>
          <w:szCs w:val="24"/>
        </w:rPr>
        <w:t>купонные документарные именные ноты по правилу 144А /</w:t>
      </w:r>
      <w:r w:rsidR="00A1348C" w:rsidRPr="005C53F5">
        <w:rPr>
          <w:rFonts w:ascii="Times New Roman" w:eastAsia="Calibri" w:hAnsi="Times New Roman" w:cs="Times New Roman"/>
          <w:b/>
          <w:i/>
          <w:sz w:val="24"/>
          <w:szCs w:val="24"/>
        </w:rPr>
        <w:t xml:space="preserve"> </w:t>
      </w:r>
      <w:r w:rsidR="00B572C1" w:rsidRPr="005C53F5">
        <w:rPr>
          <w:rFonts w:ascii="Times New Roman" w:eastAsia="Calibri" w:hAnsi="Times New Roman" w:cs="Times New Roman"/>
          <w:b/>
          <w:i/>
          <w:sz w:val="24"/>
          <w:szCs w:val="24"/>
        </w:rPr>
        <w:t xml:space="preserve">Постановлению S номинальной стоимостью 1000 долларов США каждая, размещенные двумя траншами </w:t>
      </w:r>
      <w:r w:rsidR="00B7659A" w:rsidRPr="005C53F5">
        <w:rPr>
          <w:rFonts w:ascii="Times New Roman" w:eastAsia="Calibri" w:hAnsi="Times New Roman" w:cs="Times New Roman"/>
          <w:b/>
          <w:i/>
          <w:sz w:val="24"/>
          <w:szCs w:val="24"/>
        </w:rPr>
        <w:t>14</w:t>
      </w:r>
      <w:r w:rsidR="00B572C1" w:rsidRPr="005C53F5">
        <w:rPr>
          <w:rFonts w:ascii="Times New Roman" w:eastAsia="Calibri" w:hAnsi="Times New Roman" w:cs="Times New Roman"/>
          <w:b/>
          <w:i/>
          <w:sz w:val="24"/>
          <w:szCs w:val="24"/>
        </w:rPr>
        <w:t xml:space="preserve"> </w:t>
      </w:r>
      <w:r w:rsidR="00B7659A" w:rsidRPr="005C53F5">
        <w:rPr>
          <w:rFonts w:ascii="Times New Roman" w:eastAsia="Calibri" w:hAnsi="Times New Roman" w:cs="Times New Roman"/>
          <w:b/>
          <w:i/>
          <w:sz w:val="24"/>
          <w:szCs w:val="24"/>
        </w:rPr>
        <w:t>июля</w:t>
      </w:r>
      <w:r w:rsidR="00B572C1" w:rsidRPr="005C53F5">
        <w:rPr>
          <w:rFonts w:ascii="Times New Roman" w:eastAsia="Calibri" w:hAnsi="Times New Roman" w:cs="Times New Roman"/>
          <w:b/>
          <w:i/>
          <w:sz w:val="24"/>
          <w:szCs w:val="24"/>
        </w:rPr>
        <w:t xml:space="preserve"> 201</w:t>
      </w:r>
      <w:r w:rsidR="00B7659A" w:rsidRPr="005C53F5">
        <w:rPr>
          <w:rFonts w:ascii="Times New Roman" w:eastAsia="Calibri" w:hAnsi="Times New Roman" w:cs="Times New Roman"/>
          <w:b/>
          <w:i/>
          <w:sz w:val="24"/>
          <w:szCs w:val="24"/>
        </w:rPr>
        <w:t>5</w:t>
      </w:r>
      <w:r w:rsidR="00B572C1" w:rsidRPr="005C53F5">
        <w:rPr>
          <w:rFonts w:ascii="Times New Roman" w:eastAsia="Calibri" w:hAnsi="Times New Roman" w:cs="Times New Roman"/>
          <w:b/>
          <w:i/>
          <w:sz w:val="24"/>
          <w:szCs w:val="24"/>
        </w:rPr>
        <w:t xml:space="preserve"> года:</w:t>
      </w:r>
    </w:p>
    <w:p w14:paraId="45295F28" w14:textId="39CFFD52" w:rsidR="00B572C1" w:rsidRPr="005C53F5" w:rsidRDefault="00B572C1"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 xml:space="preserve">на сумму 2 500 млн долларов США под ставку 5,125% годовых с погашением </w:t>
      </w:r>
      <w:r w:rsidR="00162FE8" w:rsidRPr="005C53F5">
        <w:rPr>
          <w:rFonts w:ascii="Times New Roman" w:eastAsia="Calibri" w:hAnsi="Times New Roman" w:cs="Times New Roman"/>
          <w:b/>
          <w:i/>
          <w:sz w:val="24"/>
          <w:szCs w:val="24"/>
        </w:rPr>
        <w:t>21</w:t>
      </w:r>
      <w:r w:rsidRPr="005C53F5">
        <w:rPr>
          <w:rFonts w:ascii="Times New Roman" w:eastAsia="Calibri" w:hAnsi="Times New Roman" w:cs="Times New Roman"/>
          <w:b/>
          <w:i/>
          <w:sz w:val="24"/>
          <w:szCs w:val="24"/>
        </w:rPr>
        <w:t> </w:t>
      </w:r>
      <w:r w:rsidR="00162FE8" w:rsidRPr="005C53F5">
        <w:rPr>
          <w:rFonts w:ascii="Times New Roman" w:eastAsia="Calibri" w:hAnsi="Times New Roman" w:cs="Times New Roman"/>
          <w:b/>
          <w:i/>
          <w:sz w:val="24"/>
          <w:szCs w:val="24"/>
        </w:rPr>
        <w:t>июля</w:t>
      </w:r>
      <w:r w:rsidRPr="005C53F5">
        <w:rPr>
          <w:rFonts w:ascii="Times New Roman" w:eastAsia="Calibri" w:hAnsi="Times New Roman" w:cs="Times New Roman"/>
          <w:b/>
          <w:i/>
          <w:sz w:val="24"/>
          <w:szCs w:val="24"/>
        </w:rPr>
        <w:t xml:space="preserve"> 202</w:t>
      </w:r>
      <w:r w:rsidR="00162FE8" w:rsidRPr="005C53F5">
        <w:rPr>
          <w:rFonts w:ascii="Times New Roman" w:eastAsia="Calibri" w:hAnsi="Times New Roman" w:cs="Times New Roman"/>
          <w:b/>
          <w:i/>
          <w:sz w:val="24"/>
          <w:szCs w:val="24"/>
        </w:rPr>
        <w:t>5</w:t>
      </w:r>
      <w:r w:rsidRPr="005C53F5">
        <w:rPr>
          <w:rFonts w:ascii="Times New Roman" w:eastAsia="Calibri" w:hAnsi="Times New Roman" w:cs="Times New Roman"/>
          <w:b/>
          <w:i/>
          <w:sz w:val="24"/>
          <w:szCs w:val="24"/>
        </w:rPr>
        <w:t xml:space="preserve">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w:t>
      </w:r>
      <w:r w:rsidR="00273D92" w:rsidRPr="005C53F5">
        <w:rPr>
          <w:rFonts w:ascii="Times New Roman" w:eastAsia="Calibri" w:hAnsi="Times New Roman" w:cs="Times New Roman"/>
          <w:b/>
          <w:i/>
          <w:sz w:val="24"/>
          <w:szCs w:val="24"/>
        </w:rPr>
        <w:t>1263054519</w:t>
      </w:r>
      <w:r w:rsidRPr="005C53F5">
        <w:rPr>
          <w:rFonts w:ascii="Times New Roman" w:eastAsia="Calibri" w:hAnsi="Times New Roman" w:cs="Times New Roman"/>
          <w:b/>
          <w:i/>
          <w:sz w:val="24"/>
          <w:szCs w:val="24"/>
        </w:rPr>
        <w:t xml:space="preserve">, общий код: </w:t>
      </w:r>
      <w:r w:rsidR="00273D92" w:rsidRPr="005C53F5">
        <w:rPr>
          <w:rFonts w:ascii="Times New Roman" w:eastAsia="Calibri" w:hAnsi="Times New Roman" w:cs="Times New Roman"/>
          <w:b/>
          <w:i/>
          <w:sz w:val="24"/>
          <w:szCs w:val="24"/>
        </w:rPr>
        <w:t>126305451</w:t>
      </w:r>
      <w:r w:rsidRPr="005C53F5">
        <w:rPr>
          <w:rFonts w:ascii="Times New Roman" w:eastAsia="Calibri" w:hAnsi="Times New Roman" w:cs="Times New Roman"/>
          <w:b/>
          <w:i/>
          <w:sz w:val="24"/>
          <w:szCs w:val="24"/>
        </w:rPr>
        <w:t>;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US</w:t>
      </w:r>
      <w:r w:rsidR="00273D92" w:rsidRPr="005C53F5">
        <w:rPr>
          <w:rFonts w:ascii="Times New Roman" w:eastAsia="Calibri" w:hAnsi="Times New Roman" w:cs="Times New Roman"/>
          <w:b/>
          <w:i/>
          <w:sz w:val="24"/>
          <w:szCs w:val="24"/>
        </w:rPr>
        <w:t>486661</w:t>
      </w:r>
      <w:r w:rsidR="00273D92" w:rsidRPr="005C53F5">
        <w:rPr>
          <w:rFonts w:ascii="Times New Roman" w:eastAsia="Calibri" w:hAnsi="Times New Roman" w:cs="Times New Roman"/>
          <w:b/>
          <w:i/>
          <w:sz w:val="24"/>
          <w:szCs w:val="24"/>
          <w:lang w:val="en-US"/>
        </w:rPr>
        <w:t>AG</w:t>
      </w:r>
      <w:r w:rsidR="00273D92" w:rsidRPr="005C53F5">
        <w:rPr>
          <w:rFonts w:ascii="Times New Roman" w:eastAsia="Calibri" w:hAnsi="Times New Roman" w:cs="Times New Roman"/>
          <w:b/>
          <w:i/>
          <w:sz w:val="24"/>
          <w:szCs w:val="24"/>
        </w:rPr>
        <w:t>60</w:t>
      </w:r>
      <w:r w:rsidRPr="005C53F5">
        <w:rPr>
          <w:rFonts w:ascii="Times New Roman" w:eastAsia="Calibri" w:hAnsi="Times New Roman" w:cs="Times New Roman"/>
          <w:b/>
          <w:i/>
          <w:sz w:val="24"/>
          <w:szCs w:val="24"/>
        </w:rPr>
        <w:t xml:space="preserve">, общий код: </w:t>
      </w:r>
      <w:r w:rsidR="00273D92" w:rsidRPr="005C53F5">
        <w:rPr>
          <w:rFonts w:ascii="Times New Roman" w:eastAsia="Calibri" w:hAnsi="Times New Roman" w:cs="Times New Roman"/>
          <w:b/>
          <w:i/>
          <w:sz w:val="24"/>
          <w:szCs w:val="24"/>
        </w:rPr>
        <w:t>126314078</w:t>
      </w:r>
      <w:r w:rsidRPr="005C53F5">
        <w:rPr>
          <w:rFonts w:ascii="Times New Roman" w:eastAsia="Calibri" w:hAnsi="Times New Roman" w:cs="Times New Roman"/>
          <w:b/>
          <w:i/>
          <w:sz w:val="24"/>
          <w:szCs w:val="24"/>
        </w:rPr>
        <w:t>,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486661 </w:t>
      </w:r>
      <w:r w:rsidR="00273D92" w:rsidRPr="005C53F5">
        <w:rPr>
          <w:rFonts w:ascii="Times New Roman" w:eastAsia="Calibri" w:hAnsi="Times New Roman" w:cs="Times New Roman"/>
          <w:b/>
          <w:i/>
          <w:sz w:val="24"/>
          <w:szCs w:val="24"/>
          <w:lang w:val="en-US"/>
        </w:rPr>
        <w:t>AG</w:t>
      </w:r>
      <w:r w:rsidR="00273D92" w:rsidRPr="005C53F5">
        <w:rPr>
          <w:rFonts w:ascii="Times New Roman" w:eastAsia="Calibri" w:hAnsi="Times New Roman" w:cs="Times New Roman"/>
          <w:b/>
          <w:i/>
          <w:sz w:val="24"/>
          <w:szCs w:val="24"/>
        </w:rPr>
        <w:t>6</w:t>
      </w:r>
      <w:r w:rsidRPr="005C53F5">
        <w:rPr>
          <w:rFonts w:ascii="Times New Roman" w:eastAsia="Calibri" w:hAnsi="Times New Roman" w:cs="Times New Roman"/>
          <w:b/>
          <w:i/>
          <w:sz w:val="24"/>
          <w:szCs w:val="24"/>
        </w:rPr>
        <w:t>);</w:t>
      </w:r>
    </w:p>
    <w:p w14:paraId="7DAA1941" w14:textId="5E89D14B" w:rsidR="00AB37BA" w:rsidRPr="005C53F5" w:rsidRDefault="00B572C1"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sz w:val="24"/>
          <w:szCs w:val="24"/>
        </w:rPr>
        <w:t xml:space="preserve">на сумму 1 </w:t>
      </w:r>
      <w:r w:rsidR="003678E2" w:rsidRPr="005C53F5">
        <w:rPr>
          <w:rFonts w:ascii="Times New Roman" w:eastAsia="Calibri" w:hAnsi="Times New Roman" w:cs="Times New Roman"/>
          <w:b/>
          <w:i/>
          <w:sz w:val="24"/>
          <w:szCs w:val="24"/>
        </w:rPr>
        <w:t>5</w:t>
      </w:r>
      <w:r w:rsidRPr="005C53F5">
        <w:rPr>
          <w:rFonts w:ascii="Times New Roman" w:eastAsia="Calibri" w:hAnsi="Times New Roman" w:cs="Times New Roman"/>
          <w:b/>
          <w:i/>
          <w:sz w:val="24"/>
          <w:szCs w:val="24"/>
        </w:rPr>
        <w:t xml:space="preserve">00 млн долларов США под ставку </w:t>
      </w:r>
      <w:r w:rsidR="006C0875" w:rsidRPr="005C53F5">
        <w:rPr>
          <w:rFonts w:ascii="Times New Roman" w:eastAsia="Calibri" w:hAnsi="Times New Roman" w:cs="Times New Roman"/>
          <w:b/>
          <w:i/>
          <w:sz w:val="24"/>
          <w:szCs w:val="24"/>
        </w:rPr>
        <w:t>6</w:t>
      </w:r>
      <w:r w:rsidRPr="005C53F5">
        <w:rPr>
          <w:rFonts w:ascii="Times New Roman" w:eastAsia="Calibri" w:hAnsi="Times New Roman" w:cs="Times New Roman"/>
          <w:b/>
          <w:i/>
          <w:sz w:val="24"/>
          <w:szCs w:val="24"/>
        </w:rPr>
        <w:t xml:space="preserve">,5% годовых с погашением </w:t>
      </w:r>
      <w:r w:rsidR="00BC1A46" w:rsidRPr="005C53F5">
        <w:rPr>
          <w:rFonts w:ascii="Times New Roman" w:eastAsia="Calibri" w:hAnsi="Times New Roman" w:cs="Times New Roman"/>
          <w:b/>
          <w:i/>
          <w:sz w:val="24"/>
          <w:szCs w:val="24"/>
        </w:rPr>
        <w:t>21 июля 2045 года</w:t>
      </w:r>
      <w:r w:rsidRPr="005C53F5">
        <w:rPr>
          <w:rFonts w:ascii="Times New Roman" w:eastAsia="Calibri" w:hAnsi="Times New Roman" w:cs="Times New Roman"/>
          <w:b/>
          <w:i/>
          <w:sz w:val="24"/>
          <w:szCs w:val="24"/>
        </w:rPr>
        <w:t xml:space="preserve">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w:t>
      </w:r>
      <w:r w:rsidR="003678E2" w:rsidRPr="005C53F5">
        <w:rPr>
          <w:rFonts w:ascii="Times New Roman" w:eastAsia="Calibri" w:hAnsi="Times New Roman" w:cs="Times New Roman"/>
          <w:b/>
          <w:i/>
          <w:sz w:val="24"/>
          <w:szCs w:val="24"/>
        </w:rPr>
        <w:t>1263139856</w:t>
      </w:r>
      <w:r w:rsidRPr="005C53F5">
        <w:rPr>
          <w:rFonts w:ascii="Times New Roman" w:eastAsia="Calibri" w:hAnsi="Times New Roman" w:cs="Times New Roman"/>
          <w:b/>
          <w:i/>
          <w:sz w:val="24"/>
          <w:szCs w:val="24"/>
        </w:rPr>
        <w:t xml:space="preserve">, общий код: </w:t>
      </w:r>
      <w:r w:rsidR="003678E2" w:rsidRPr="005C53F5">
        <w:rPr>
          <w:rFonts w:ascii="Times New Roman" w:eastAsia="Calibri" w:hAnsi="Times New Roman" w:cs="Times New Roman"/>
          <w:b/>
          <w:i/>
          <w:sz w:val="24"/>
          <w:szCs w:val="24"/>
        </w:rPr>
        <w:t>126313985</w:t>
      </w:r>
      <w:r w:rsidRPr="005C53F5">
        <w:rPr>
          <w:rFonts w:ascii="Times New Roman" w:eastAsia="Calibri" w:hAnsi="Times New Roman" w:cs="Times New Roman"/>
          <w:b/>
          <w:i/>
          <w:sz w:val="24"/>
          <w:szCs w:val="24"/>
        </w:rPr>
        <w:t>;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US</w:t>
      </w:r>
      <w:r w:rsidR="003678E2" w:rsidRPr="005C53F5">
        <w:rPr>
          <w:rFonts w:ascii="Times New Roman" w:eastAsia="Calibri" w:hAnsi="Times New Roman" w:cs="Times New Roman"/>
          <w:b/>
          <w:i/>
          <w:sz w:val="24"/>
          <w:szCs w:val="24"/>
        </w:rPr>
        <w:t>486661</w:t>
      </w:r>
      <w:r w:rsidR="003678E2" w:rsidRPr="005C53F5">
        <w:rPr>
          <w:rFonts w:ascii="Times New Roman" w:eastAsia="Calibri" w:hAnsi="Times New Roman" w:cs="Times New Roman"/>
          <w:b/>
          <w:i/>
          <w:sz w:val="24"/>
          <w:szCs w:val="24"/>
          <w:lang w:val="en-US"/>
        </w:rPr>
        <w:t>AH</w:t>
      </w:r>
      <w:r w:rsidR="003678E2" w:rsidRPr="005C53F5">
        <w:rPr>
          <w:rFonts w:ascii="Times New Roman" w:eastAsia="Calibri" w:hAnsi="Times New Roman" w:cs="Times New Roman"/>
          <w:b/>
          <w:i/>
          <w:sz w:val="24"/>
          <w:szCs w:val="24"/>
        </w:rPr>
        <w:t>44</w:t>
      </w:r>
      <w:r w:rsidRPr="005C53F5">
        <w:rPr>
          <w:rFonts w:ascii="Times New Roman" w:eastAsia="Calibri" w:hAnsi="Times New Roman" w:cs="Times New Roman"/>
          <w:b/>
          <w:i/>
          <w:sz w:val="24"/>
          <w:szCs w:val="24"/>
        </w:rPr>
        <w:t xml:space="preserve">, общий код: </w:t>
      </w:r>
      <w:r w:rsidR="003678E2" w:rsidRPr="005C53F5">
        <w:rPr>
          <w:rFonts w:ascii="Times New Roman" w:eastAsia="Calibri" w:hAnsi="Times New Roman" w:cs="Times New Roman"/>
          <w:b/>
          <w:i/>
          <w:sz w:val="24"/>
          <w:szCs w:val="24"/>
        </w:rPr>
        <w:t>126314051</w:t>
      </w:r>
      <w:r w:rsidRPr="005C53F5">
        <w:rPr>
          <w:rFonts w:ascii="Times New Roman" w:eastAsia="Calibri" w:hAnsi="Times New Roman" w:cs="Times New Roman"/>
          <w:b/>
          <w:i/>
          <w:sz w:val="24"/>
          <w:szCs w:val="24"/>
        </w:rPr>
        <w:t>,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486661 </w:t>
      </w:r>
      <w:r w:rsidR="003678E2" w:rsidRPr="005C53F5">
        <w:rPr>
          <w:rFonts w:ascii="Times New Roman" w:eastAsia="Calibri" w:hAnsi="Times New Roman" w:cs="Times New Roman"/>
          <w:b/>
          <w:i/>
          <w:sz w:val="24"/>
          <w:szCs w:val="24"/>
          <w:lang w:val="en-US"/>
        </w:rPr>
        <w:t>AH</w:t>
      </w:r>
      <w:r w:rsidR="003678E2" w:rsidRPr="005C53F5">
        <w:rPr>
          <w:rFonts w:ascii="Times New Roman" w:eastAsia="Calibri" w:hAnsi="Times New Roman" w:cs="Times New Roman"/>
          <w:b/>
          <w:i/>
          <w:sz w:val="24"/>
          <w:szCs w:val="24"/>
        </w:rPr>
        <w:t>4</w:t>
      </w:r>
      <w:r w:rsidRPr="005C53F5">
        <w:rPr>
          <w:rFonts w:ascii="Times New Roman" w:eastAsia="Calibri" w:hAnsi="Times New Roman" w:cs="Times New Roman"/>
          <w:b/>
          <w:i/>
          <w:sz w:val="24"/>
          <w:szCs w:val="24"/>
        </w:rPr>
        <w:t>);</w:t>
      </w:r>
    </w:p>
    <w:p w14:paraId="7A5001A1" w14:textId="33E19FA5" w:rsidR="00D87B7D" w:rsidRPr="005C53F5" w:rsidRDefault="00D87B7D"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 xml:space="preserve">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 </w:t>
      </w:r>
      <w:r w:rsidRPr="005C53F5">
        <w:rPr>
          <w:rFonts w:ascii="Times New Roman" w:eastAsia="Calibri" w:hAnsi="Times New Roman" w:cs="Times New Roman"/>
          <w:b/>
          <w:bCs/>
          <w:i/>
          <w:iCs/>
          <w:sz w:val="24"/>
          <w:szCs w:val="24"/>
        </w:rPr>
        <w:t>еврооблигации Республики Казахстан не имеют государственный регистрационный номер (идентификационный номер), присвоенный в соответствии с законодательством Российской Федерации;</w:t>
      </w:r>
    </w:p>
    <w:p w14:paraId="6A5B6E41" w14:textId="39ACF497" w:rsidR="00D87B7D" w:rsidRPr="005C53F5" w:rsidRDefault="00D87B7D"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рейтинг эмиссии на уровне долгосрочного суверенного кредитного рейтинга эмитента в иностранной валюте – «BBB</w:t>
      </w:r>
      <w:r w:rsidR="00A1348C" w:rsidRPr="005C53F5">
        <w:rPr>
          <w:rFonts w:ascii="Times New Roman" w:eastAsia="Calibri" w:hAnsi="Times New Roman" w:cs="Times New Roman"/>
          <w:b/>
          <w:bCs/>
          <w:i/>
          <w:iCs/>
          <w:sz w:val="24"/>
          <w:szCs w:val="24"/>
        </w:rPr>
        <w:t>-</w:t>
      </w:r>
      <w:r w:rsidRPr="005C53F5">
        <w:rPr>
          <w:rFonts w:ascii="Times New Roman" w:eastAsia="Calibri" w:hAnsi="Times New Roman" w:cs="Times New Roman"/>
          <w:b/>
          <w:bCs/>
          <w:i/>
          <w:iCs/>
          <w:sz w:val="24"/>
          <w:szCs w:val="24"/>
        </w:rPr>
        <w:t>»;</w:t>
      </w:r>
    </w:p>
    <w:p w14:paraId="50A19BB0" w14:textId="5C74E5A0" w:rsidR="00D87B7D" w:rsidRPr="005C53F5" w:rsidRDefault="00D87B7D"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в 2015</w:t>
      </w:r>
      <w:r w:rsidR="00A1348C" w:rsidRPr="005C53F5">
        <w:rPr>
          <w:rFonts w:ascii="Times New Roman" w:eastAsia="Calibri" w:hAnsi="Times New Roman" w:cs="Times New Roman"/>
          <w:b/>
          <w:bCs/>
          <w:i/>
          <w:iCs/>
          <w:sz w:val="24"/>
          <w:szCs w:val="24"/>
        </w:rPr>
        <w:t xml:space="preserve"> году</w:t>
      </w:r>
      <w:r w:rsidRPr="005C53F5">
        <w:rPr>
          <w:rFonts w:ascii="Times New Roman" w:eastAsia="Calibri" w:hAnsi="Times New Roman" w:cs="Times New Roman"/>
          <w:b/>
          <w:bCs/>
          <w:i/>
          <w:iCs/>
          <w:sz w:val="24"/>
          <w:szCs w:val="24"/>
        </w:rPr>
        <w:t xml:space="preserve"> международное рейтинговое агентство Standard&amp;Poor’s присвоило еврооблигациям Республики Казахстан, эмитированным в </w:t>
      </w:r>
      <w:r w:rsidR="00A1348C" w:rsidRPr="005C53F5">
        <w:rPr>
          <w:rFonts w:ascii="Times New Roman" w:eastAsia="Calibri" w:hAnsi="Times New Roman" w:cs="Times New Roman"/>
          <w:b/>
          <w:bCs/>
          <w:i/>
          <w:iCs/>
          <w:sz w:val="24"/>
          <w:szCs w:val="24"/>
        </w:rPr>
        <w:t>июле</w:t>
      </w:r>
      <w:r w:rsidRPr="005C53F5">
        <w:rPr>
          <w:rFonts w:ascii="Times New Roman" w:eastAsia="Calibri" w:hAnsi="Times New Roman" w:cs="Times New Roman"/>
          <w:b/>
          <w:bCs/>
          <w:i/>
          <w:iCs/>
          <w:sz w:val="24"/>
          <w:szCs w:val="24"/>
        </w:rPr>
        <w:t xml:space="preserve"> 2015 года </w:t>
      </w:r>
      <w:r w:rsidR="00A5742D" w:rsidRPr="005C53F5">
        <w:rPr>
          <w:rFonts w:ascii="Times New Roman" w:eastAsia="Calibri" w:hAnsi="Times New Roman" w:cs="Times New Roman"/>
          <w:b/>
          <w:bCs/>
          <w:i/>
          <w:iCs/>
          <w:sz w:val="24"/>
          <w:szCs w:val="24"/>
        </w:rPr>
        <w:t xml:space="preserve">двумя траншами </w:t>
      </w:r>
      <w:r w:rsidRPr="005C53F5">
        <w:rPr>
          <w:rFonts w:ascii="Times New Roman" w:eastAsia="Calibri" w:hAnsi="Times New Roman" w:cs="Times New Roman"/>
          <w:b/>
          <w:bCs/>
          <w:i/>
          <w:iCs/>
          <w:sz w:val="24"/>
          <w:szCs w:val="24"/>
        </w:rPr>
        <w:t xml:space="preserve">на </w:t>
      </w:r>
      <w:r w:rsidR="00A1348C" w:rsidRPr="005C53F5">
        <w:rPr>
          <w:rFonts w:ascii="Times New Roman" w:eastAsia="Calibri" w:hAnsi="Times New Roman" w:cs="Times New Roman"/>
          <w:b/>
          <w:bCs/>
          <w:i/>
          <w:iCs/>
          <w:sz w:val="24"/>
          <w:szCs w:val="24"/>
        </w:rPr>
        <w:t xml:space="preserve">общую </w:t>
      </w:r>
      <w:r w:rsidR="00A5742D" w:rsidRPr="005C53F5">
        <w:rPr>
          <w:rFonts w:ascii="Times New Roman" w:eastAsia="Calibri" w:hAnsi="Times New Roman" w:cs="Times New Roman"/>
          <w:b/>
          <w:bCs/>
          <w:i/>
          <w:iCs/>
          <w:sz w:val="24"/>
          <w:szCs w:val="24"/>
        </w:rPr>
        <w:t xml:space="preserve">сумму </w:t>
      </w:r>
      <w:r w:rsidR="00A1348C" w:rsidRPr="005C53F5">
        <w:rPr>
          <w:rFonts w:ascii="Times New Roman" w:eastAsia="Calibri" w:hAnsi="Times New Roman" w:cs="Times New Roman"/>
          <w:b/>
          <w:bCs/>
          <w:i/>
          <w:iCs/>
          <w:sz w:val="24"/>
          <w:szCs w:val="24"/>
        </w:rPr>
        <w:t>4</w:t>
      </w:r>
      <w:r w:rsidR="00A5742D" w:rsidRPr="005C53F5">
        <w:rPr>
          <w:rFonts w:ascii="Times New Roman" w:eastAsia="Calibri" w:hAnsi="Times New Roman" w:cs="Times New Roman"/>
          <w:b/>
          <w:bCs/>
          <w:i/>
          <w:iCs/>
          <w:sz w:val="24"/>
          <w:szCs w:val="24"/>
        </w:rPr>
        <w:t xml:space="preserve"> млрд долларов США</w:t>
      </w:r>
      <w:r w:rsidRPr="005C53F5">
        <w:rPr>
          <w:rFonts w:ascii="Times New Roman" w:eastAsia="Calibri" w:hAnsi="Times New Roman" w:cs="Times New Roman"/>
          <w:b/>
          <w:bCs/>
          <w:i/>
          <w:iCs/>
          <w:sz w:val="24"/>
          <w:szCs w:val="24"/>
        </w:rPr>
        <w:t>, рейтинг на уровне «BBB»</w:t>
      </w:r>
      <w:r w:rsidR="00A1348C" w:rsidRPr="005C53F5">
        <w:rPr>
          <w:rFonts w:ascii="Times New Roman" w:eastAsia="Calibri" w:hAnsi="Times New Roman" w:cs="Times New Roman"/>
          <w:b/>
          <w:bCs/>
          <w:i/>
          <w:iCs/>
          <w:sz w:val="24"/>
          <w:szCs w:val="24"/>
        </w:rPr>
        <w:t xml:space="preserve">. Вместе с понижением суверенного кредитного рейтинга в феврале 2016 года рейтинг эмиссии понижен до </w:t>
      </w:r>
      <w:r w:rsidR="00A1348C" w:rsidRPr="005C53F5">
        <w:rPr>
          <w:rFonts w:ascii="Times New Roman" w:eastAsia="Calibri" w:hAnsi="Times New Roman" w:cs="Times New Roman"/>
          <w:b/>
          <w:i/>
          <w:sz w:val="24"/>
          <w:szCs w:val="24"/>
        </w:rPr>
        <w:t>уровня «BBB-», прогноз «негативный». 8 сентября 2017 года рейтинг был установлен на уровне «BBB-», прогноз «стабильный». 26 марта 2020 года Standard &amp; Poor’s подтвердило рейтинг «BBB-», прогноз «стабильный».</w:t>
      </w:r>
    </w:p>
    <w:p w14:paraId="62DE943D" w14:textId="77777777" w:rsidR="00D87B7D"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14:paraId="0FE9D82E" w14:textId="77777777" w:rsidR="00D87B7D" w:rsidRPr="005C53F5" w:rsidRDefault="00D87B7D"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 xml:space="preserve">полное фирменное наименование – Standard&amp;Poor’s Inc.; сокращенное фирменное наименование – </w:t>
      </w:r>
      <w:r w:rsidRPr="005C53F5">
        <w:rPr>
          <w:rFonts w:ascii="Times New Roman" w:eastAsia="Calibri" w:hAnsi="Times New Roman" w:cs="Times New Roman"/>
          <w:b/>
          <w:i/>
          <w:sz w:val="24"/>
          <w:szCs w:val="24"/>
          <w:lang w:val="en-US"/>
        </w:rPr>
        <w:t>Standard</w:t>
      </w:r>
      <w:r w:rsidRPr="005C53F5">
        <w:rPr>
          <w:rFonts w:ascii="Times New Roman" w:eastAsia="Calibri" w:hAnsi="Times New Roman" w:cs="Times New Roman"/>
          <w:b/>
          <w:i/>
          <w:sz w:val="24"/>
          <w:szCs w:val="24"/>
        </w:rPr>
        <w:t xml:space="preserve"> &amp; </w:t>
      </w:r>
      <w:r w:rsidRPr="005C53F5">
        <w:rPr>
          <w:rFonts w:ascii="Times New Roman" w:eastAsia="Calibri" w:hAnsi="Times New Roman" w:cs="Times New Roman"/>
          <w:b/>
          <w:i/>
          <w:sz w:val="24"/>
          <w:szCs w:val="24"/>
          <w:lang w:val="en-US"/>
        </w:rPr>
        <w:t>Poor</w:t>
      </w:r>
      <w:r w:rsidRPr="005C53F5">
        <w:rPr>
          <w:rFonts w:ascii="Times New Roman" w:eastAsia="Calibri" w:hAnsi="Times New Roman" w:cs="Times New Roman"/>
          <w:b/>
          <w:i/>
          <w:sz w:val="24"/>
          <w:szCs w:val="24"/>
        </w:rPr>
        <w:t>’</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место нахождения – 55 </w:t>
      </w:r>
      <w:r w:rsidRPr="005C53F5">
        <w:rPr>
          <w:rFonts w:ascii="Times New Roman" w:eastAsia="Calibri" w:hAnsi="Times New Roman" w:cs="Times New Roman"/>
          <w:b/>
          <w:i/>
          <w:sz w:val="24"/>
          <w:szCs w:val="24"/>
          <w:lang w:val="en-US"/>
        </w:rPr>
        <w:t>Water</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Street</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New</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York</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NY</w:t>
      </w:r>
      <w:r w:rsidRPr="005C53F5">
        <w:rPr>
          <w:rFonts w:ascii="Times New Roman" w:eastAsia="Calibri" w:hAnsi="Times New Roman" w:cs="Times New Roman"/>
          <w:b/>
          <w:i/>
          <w:sz w:val="24"/>
          <w:szCs w:val="24"/>
        </w:rPr>
        <w:t xml:space="preserve">, United States; </w:t>
      </w:r>
    </w:p>
    <w:p w14:paraId="19172565" w14:textId="77777777" w:rsidR="00D87B7D"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14:paraId="28024E83" w14:textId="77777777" w:rsidR="00D87B7D" w:rsidRPr="005C53F5" w:rsidRDefault="00D87B7D"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информация о методике присвоения кредитного рейтинга размещена (опубликована) в информационно-телекоммуникационной сети «Интернет» в свободном доступе по адресу www.standardandpoors.ru;</w:t>
      </w:r>
    </w:p>
    <w:p w14:paraId="7B8AC19E" w14:textId="77777777" w:rsidR="00D87B7D" w:rsidRPr="005C53F5" w:rsidRDefault="00D87B7D" w:rsidP="00057BE5">
      <w:pPr>
        <w:spacing w:after="0" w:line="240" w:lineRule="auto"/>
        <w:ind w:firstLine="708"/>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sz w:val="24"/>
          <w:szCs w:val="24"/>
        </w:rPr>
        <w:t>отсутствуют;</w:t>
      </w:r>
    </w:p>
    <w:p w14:paraId="6274CF47" w14:textId="77777777" w:rsidR="00D87B7D" w:rsidRPr="005C53F5" w:rsidRDefault="00D87B7D"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Pr="005C53F5">
        <w:rPr>
          <w:rFonts w:ascii="Times New Roman" w:eastAsia="Calibri" w:hAnsi="Times New Roman" w:cs="Times New Roman"/>
          <w:b/>
          <w:i/>
          <w:sz w:val="24"/>
          <w:szCs w:val="24"/>
        </w:rPr>
        <w:t xml:space="preserve">еврооблигации </w:t>
      </w:r>
      <w:r w:rsidRPr="005C53F5">
        <w:rPr>
          <w:rFonts w:ascii="Times New Roman" w:eastAsia="Calibri" w:hAnsi="Times New Roman" w:cs="Times New Roman"/>
          <w:b/>
          <w:bCs/>
          <w:i/>
          <w:iCs/>
          <w:sz w:val="24"/>
          <w:szCs w:val="24"/>
        </w:rPr>
        <w:t xml:space="preserve">Республики </w:t>
      </w:r>
      <w:r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5CA7BAF9" w14:textId="694E9B64" w:rsidR="00E74ACB"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вид, категория (тип), серия, форма и иные идентификационные признаки ценных бумаг:</w:t>
      </w:r>
      <w:r w:rsidR="002E3BF7" w:rsidRPr="005C53F5">
        <w:rPr>
          <w:rFonts w:ascii="Times New Roman" w:eastAsia="Calibri" w:hAnsi="Times New Roman" w:cs="Times New Roman"/>
          <w:sz w:val="24"/>
          <w:szCs w:val="24"/>
        </w:rPr>
        <w:t xml:space="preserve"> </w:t>
      </w:r>
      <w:r w:rsidR="00E74ACB" w:rsidRPr="005C53F5">
        <w:rPr>
          <w:rFonts w:ascii="Times New Roman" w:eastAsia="Calibri" w:hAnsi="Times New Roman" w:cs="Times New Roman"/>
          <w:b/>
          <w:i/>
          <w:sz w:val="24"/>
          <w:szCs w:val="24"/>
        </w:rPr>
        <w:t>купонные документарные именные ноты по правилу 144А /Постановлению S номинальной стоимостью 1000 долларов США каждая, размещенные двумя траншами 14 июля 2015 года:</w:t>
      </w:r>
    </w:p>
    <w:p w14:paraId="29BCDB51" w14:textId="77777777" w:rsidR="00E74ACB" w:rsidRPr="005C53F5" w:rsidRDefault="00E74ACB"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на сумму 2 500 млн долларов США под ставку 5,125% годовых с погашением 21 июля 2025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XS1263054519, общий код: 126305451;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US486661</w:t>
      </w:r>
      <w:r w:rsidRPr="005C53F5">
        <w:rPr>
          <w:rFonts w:ascii="Times New Roman" w:eastAsia="Calibri" w:hAnsi="Times New Roman" w:cs="Times New Roman"/>
          <w:b/>
          <w:i/>
          <w:sz w:val="24"/>
          <w:szCs w:val="24"/>
          <w:lang w:val="en-US"/>
        </w:rPr>
        <w:t>AG</w:t>
      </w:r>
      <w:r w:rsidRPr="005C53F5">
        <w:rPr>
          <w:rFonts w:ascii="Times New Roman" w:eastAsia="Calibri" w:hAnsi="Times New Roman" w:cs="Times New Roman"/>
          <w:b/>
          <w:i/>
          <w:sz w:val="24"/>
          <w:szCs w:val="24"/>
        </w:rPr>
        <w:t>60, общий код: 126314078,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486661 </w:t>
      </w:r>
      <w:r w:rsidRPr="005C53F5">
        <w:rPr>
          <w:rFonts w:ascii="Times New Roman" w:eastAsia="Calibri" w:hAnsi="Times New Roman" w:cs="Times New Roman"/>
          <w:b/>
          <w:i/>
          <w:sz w:val="24"/>
          <w:szCs w:val="24"/>
          <w:lang w:val="en-US"/>
        </w:rPr>
        <w:t>AG</w:t>
      </w:r>
      <w:r w:rsidRPr="005C53F5">
        <w:rPr>
          <w:rFonts w:ascii="Times New Roman" w:eastAsia="Calibri" w:hAnsi="Times New Roman" w:cs="Times New Roman"/>
          <w:b/>
          <w:i/>
          <w:sz w:val="24"/>
          <w:szCs w:val="24"/>
        </w:rPr>
        <w:t>6);</w:t>
      </w:r>
    </w:p>
    <w:p w14:paraId="0CABE6DE" w14:textId="32E1050A" w:rsidR="00AB37BA" w:rsidRPr="005C53F5" w:rsidRDefault="00E74ACB"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sz w:val="24"/>
          <w:szCs w:val="24"/>
        </w:rPr>
        <w:t>на сумму 1 500 млн долларов США под ставку 6,5% годовых с погашением 21 июля 2045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XS1263139856, общий код: 126313985;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US486661</w:t>
      </w:r>
      <w:r w:rsidRPr="005C53F5">
        <w:rPr>
          <w:rFonts w:ascii="Times New Roman" w:eastAsia="Calibri" w:hAnsi="Times New Roman" w:cs="Times New Roman"/>
          <w:b/>
          <w:i/>
          <w:sz w:val="24"/>
          <w:szCs w:val="24"/>
          <w:lang w:val="en-US"/>
        </w:rPr>
        <w:t>AH</w:t>
      </w:r>
      <w:r w:rsidRPr="005C53F5">
        <w:rPr>
          <w:rFonts w:ascii="Times New Roman" w:eastAsia="Calibri" w:hAnsi="Times New Roman" w:cs="Times New Roman"/>
          <w:b/>
          <w:i/>
          <w:sz w:val="24"/>
          <w:szCs w:val="24"/>
        </w:rPr>
        <w:t>44, общий код: 126314051,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486661 </w:t>
      </w:r>
      <w:r w:rsidRPr="005C53F5">
        <w:rPr>
          <w:rFonts w:ascii="Times New Roman" w:eastAsia="Calibri" w:hAnsi="Times New Roman" w:cs="Times New Roman"/>
          <w:b/>
          <w:i/>
          <w:sz w:val="24"/>
          <w:szCs w:val="24"/>
          <w:lang w:val="en-US"/>
        </w:rPr>
        <w:t>AH</w:t>
      </w:r>
      <w:r w:rsidRPr="005C53F5">
        <w:rPr>
          <w:rFonts w:ascii="Times New Roman" w:eastAsia="Calibri" w:hAnsi="Times New Roman" w:cs="Times New Roman"/>
          <w:b/>
          <w:i/>
          <w:sz w:val="24"/>
          <w:szCs w:val="24"/>
        </w:rPr>
        <w:t>4);</w:t>
      </w:r>
    </w:p>
    <w:p w14:paraId="52FF94E2" w14:textId="2B7CA656" w:rsidR="00D87B7D" w:rsidRPr="005C53F5" w:rsidRDefault="00D87B7D"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 xml:space="preserve">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 </w:t>
      </w:r>
      <w:r w:rsidRPr="005C53F5">
        <w:rPr>
          <w:rFonts w:ascii="Times New Roman" w:eastAsia="Calibri" w:hAnsi="Times New Roman" w:cs="Times New Roman"/>
          <w:b/>
          <w:bCs/>
          <w:i/>
          <w:iCs/>
          <w:sz w:val="24"/>
          <w:szCs w:val="24"/>
        </w:rPr>
        <w:t>еврооблигации Республики Казахстан не имеют государственный регистрационный номер (идентификационный номер), присвоенный в соответствии с законодательством Российской Федерации;</w:t>
      </w:r>
    </w:p>
    <w:p w14:paraId="31FF8FDF" w14:textId="23E09C27" w:rsidR="00D87B7D" w:rsidRPr="005C53F5" w:rsidRDefault="00D87B7D"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рейтинг эмиссии на уровне долгосрочного суверенного кредитного рейтинга эмитента в иностранной валюте – «</w:t>
      </w:r>
      <w:r w:rsidR="003B1FAD" w:rsidRPr="005C53F5">
        <w:rPr>
          <w:rFonts w:ascii="Times New Roman" w:eastAsia="Calibri" w:hAnsi="Times New Roman" w:cs="Times New Roman"/>
          <w:b/>
          <w:bCs/>
          <w:i/>
          <w:iCs/>
          <w:sz w:val="24"/>
          <w:szCs w:val="24"/>
        </w:rPr>
        <w:t>BBB</w:t>
      </w:r>
      <w:r w:rsidRPr="005C53F5">
        <w:rPr>
          <w:rFonts w:ascii="Times New Roman" w:eastAsia="Calibri" w:hAnsi="Times New Roman" w:cs="Times New Roman"/>
          <w:b/>
          <w:bCs/>
          <w:i/>
          <w:iCs/>
          <w:sz w:val="24"/>
          <w:szCs w:val="24"/>
        </w:rPr>
        <w:t>»;</w:t>
      </w:r>
    </w:p>
    <w:p w14:paraId="343F3BD3" w14:textId="460CE940" w:rsidR="00D87B7D" w:rsidRPr="005C53F5" w:rsidRDefault="00D87B7D"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 xml:space="preserve">в </w:t>
      </w:r>
      <w:r w:rsidR="003B1FAD" w:rsidRPr="005C53F5">
        <w:rPr>
          <w:rFonts w:ascii="Times New Roman" w:eastAsia="Calibri" w:hAnsi="Times New Roman" w:cs="Times New Roman"/>
          <w:b/>
          <w:bCs/>
          <w:i/>
          <w:iCs/>
          <w:sz w:val="24"/>
          <w:szCs w:val="24"/>
        </w:rPr>
        <w:t>июле</w:t>
      </w:r>
      <w:r w:rsidRPr="005C53F5">
        <w:rPr>
          <w:rFonts w:ascii="Times New Roman" w:eastAsia="Calibri" w:hAnsi="Times New Roman" w:cs="Times New Roman"/>
          <w:b/>
          <w:bCs/>
          <w:i/>
          <w:iCs/>
          <w:sz w:val="24"/>
          <w:szCs w:val="24"/>
        </w:rPr>
        <w:t xml:space="preserve">  2015 года международное рейтинговое агентство Fitch Ratings присвоило еврооблигациям Республики Казахстан, эмитированным в </w:t>
      </w:r>
      <w:r w:rsidR="003B1FAD" w:rsidRPr="005C53F5">
        <w:rPr>
          <w:rFonts w:ascii="Times New Roman" w:eastAsia="Calibri" w:hAnsi="Times New Roman" w:cs="Times New Roman"/>
          <w:b/>
          <w:bCs/>
          <w:i/>
          <w:iCs/>
          <w:sz w:val="24"/>
          <w:szCs w:val="24"/>
        </w:rPr>
        <w:t xml:space="preserve">июле </w:t>
      </w:r>
      <w:r w:rsidRPr="005C53F5">
        <w:rPr>
          <w:rFonts w:ascii="Times New Roman" w:eastAsia="Calibri" w:hAnsi="Times New Roman" w:cs="Times New Roman"/>
          <w:b/>
          <w:bCs/>
          <w:i/>
          <w:iCs/>
          <w:sz w:val="24"/>
          <w:szCs w:val="24"/>
        </w:rPr>
        <w:t xml:space="preserve">2015 года </w:t>
      </w:r>
      <w:r w:rsidR="00A5742D" w:rsidRPr="005C53F5">
        <w:rPr>
          <w:rFonts w:ascii="Times New Roman" w:eastAsia="Calibri" w:hAnsi="Times New Roman" w:cs="Times New Roman"/>
          <w:b/>
          <w:bCs/>
          <w:i/>
          <w:iCs/>
          <w:sz w:val="24"/>
          <w:szCs w:val="24"/>
        </w:rPr>
        <w:t xml:space="preserve">двумя траншами </w:t>
      </w:r>
      <w:r w:rsidRPr="005C53F5">
        <w:rPr>
          <w:rFonts w:ascii="Times New Roman" w:eastAsia="Calibri" w:hAnsi="Times New Roman" w:cs="Times New Roman"/>
          <w:b/>
          <w:bCs/>
          <w:i/>
          <w:iCs/>
          <w:sz w:val="24"/>
          <w:szCs w:val="24"/>
        </w:rPr>
        <w:t xml:space="preserve">на </w:t>
      </w:r>
      <w:r w:rsidR="003B1FAD" w:rsidRPr="005C53F5">
        <w:rPr>
          <w:rFonts w:ascii="Times New Roman" w:eastAsia="Calibri" w:hAnsi="Times New Roman" w:cs="Times New Roman"/>
          <w:b/>
          <w:bCs/>
          <w:i/>
          <w:iCs/>
          <w:sz w:val="24"/>
          <w:szCs w:val="24"/>
        </w:rPr>
        <w:t xml:space="preserve">общую </w:t>
      </w:r>
      <w:r w:rsidRPr="005C53F5">
        <w:rPr>
          <w:rFonts w:ascii="Times New Roman" w:eastAsia="Calibri" w:hAnsi="Times New Roman" w:cs="Times New Roman"/>
          <w:b/>
          <w:bCs/>
          <w:i/>
          <w:iCs/>
          <w:sz w:val="24"/>
          <w:szCs w:val="24"/>
        </w:rPr>
        <w:t xml:space="preserve">сумму </w:t>
      </w:r>
      <w:r w:rsidR="00A5742D" w:rsidRPr="005C53F5">
        <w:rPr>
          <w:rFonts w:ascii="Times New Roman" w:eastAsia="Calibri" w:hAnsi="Times New Roman" w:cs="Times New Roman"/>
          <w:b/>
          <w:bCs/>
          <w:i/>
          <w:iCs/>
          <w:sz w:val="24"/>
          <w:szCs w:val="24"/>
        </w:rPr>
        <w:t xml:space="preserve"> </w:t>
      </w:r>
      <w:r w:rsidR="003B1FAD" w:rsidRPr="005C53F5">
        <w:rPr>
          <w:rFonts w:ascii="Times New Roman" w:eastAsia="Calibri" w:hAnsi="Times New Roman" w:cs="Times New Roman"/>
          <w:b/>
          <w:bCs/>
          <w:i/>
          <w:iCs/>
          <w:sz w:val="24"/>
          <w:szCs w:val="24"/>
        </w:rPr>
        <w:t>4 млрд долларов США</w:t>
      </w:r>
      <w:r w:rsidRPr="005C53F5">
        <w:rPr>
          <w:rFonts w:ascii="Times New Roman" w:eastAsia="Calibri" w:hAnsi="Times New Roman" w:cs="Times New Roman"/>
          <w:b/>
          <w:bCs/>
          <w:i/>
          <w:iCs/>
          <w:sz w:val="24"/>
          <w:szCs w:val="24"/>
        </w:rPr>
        <w:t>, рейтинг на уровне «BBB+»</w:t>
      </w:r>
      <w:r w:rsidR="003B1FAD" w:rsidRPr="005C53F5">
        <w:rPr>
          <w:rFonts w:ascii="Times New Roman" w:eastAsia="Calibri" w:hAnsi="Times New Roman" w:cs="Times New Roman"/>
          <w:b/>
          <w:bCs/>
          <w:i/>
          <w:iCs/>
          <w:sz w:val="24"/>
          <w:szCs w:val="24"/>
        </w:rPr>
        <w:t xml:space="preserve">. 30 октября 2015 года </w:t>
      </w:r>
      <w:r w:rsidR="003B1FAD" w:rsidRPr="005C53F5">
        <w:rPr>
          <w:rFonts w:ascii="Times New Roman" w:eastAsia="Calibri" w:hAnsi="Times New Roman" w:cs="Times New Roman"/>
          <w:b/>
          <w:i/>
          <w:sz w:val="24"/>
          <w:szCs w:val="24"/>
        </w:rPr>
        <w:t xml:space="preserve">международное рейтинговое агентство Fitch Ratings подтверждало рейтинг на уровне </w:t>
      </w:r>
      <w:r w:rsidR="003B1FAD" w:rsidRPr="005C53F5">
        <w:rPr>
          <w:rFonts w:ascii="Times New Roman" w:eastAsia="Calibri" w:hAnsi="Times New Roman" w:cs="Times New Roman"/>
          <w:b/>
          <w:bCs/>
          <w:i/>
          <w:iCs/>
          <w:sz w:val="24"/>
          <w:szCs w:val="24"/>
        </w:rPr>
        <w:t>«BBB+». Вместе с понижением суверенного кредитного рейтинга в апреле 2016 года рейтинг эмиссии понижен до уровня «</w:t>
      </w:r>
      <w:r w:rsidR="003B1FAD" w:rsidRPr="005C53F5">
        <w:rPr>
          <w:rFonts w:ascii="Times New Roman" w:eastAsia="Calibri" w:hAnsi="Times New Roman" w:cs="Times New Roman"/>
          <w:b/>
          <w:bCs/>
          <w:i/>
          <w:iCs/>
          <w:sz w:val="24"/>
          <w:szCs w:val="24"/>
          <w:lang w:val="en-US"/>
        </w:rPr>
        <w:t>BB</w:t>
      </w:r>
      <w:r w:rsidR="003B1FAD" w:rsidRPr="005C53F5">
        <w:rPr>
          <w:rFonts w:ascii="Times New Roman" w:eastAsia="Calibri" w:hAnsi="Times New Roman" w:cs="Times New Roman"/>
          <w:b/>
          <w:bCs/>
          <w:i/>
          <w:iCs/>
          <w:sz w:val="24"/>
          <w:szCs w:val="24"/>
        </w:rPr>
        <w:t xml:space="preserve">В», прогноз «стабильный». </w:t>
      </w:r>
      <w:r w:rsidR="003B1FAD" w:rsidRPr="005C53F5">
        <w:rPr>
          <w:rFonts w:ascii="Times New Roman" w:eastAsia="Calibri" w:hAnsi="Times New Roman" w:cs="Times New Roman"/>
          <w:b/>
          <w:i/>
          <w:sz w:val="24"/>
          <w:szCs w:val="24"/>
        </w:rPr>
        <w:t>28 октября 2016 года, 21 апреля 2017 года, 20 октября 2017 года, 13 апреля 2018 года, 28 сентября 2018 года, 22 марта 2019 года, 6 сентября 2019 года и 21 февраля 2020 года агентство Fitch Ratings подтвердило кредитный рейтинг на уровне «BBB», прогноз «стабильный»</w:t>
      </w:r>
      <w:r w:rsidR="003B1FAD" w:rsidRPr="005C53F5">
        <w:rPr>
          <w:rFonts w:ascii="Times New Roman" w:eastAsia="Calibri" w:hAnsi="Times New Roman" w:cs="Times New Roman"/>
          <w:b/>
          <w:bCs/>
          <w:i/>
          <w:iCs/>
          <w:sz w:val="24"/>
          <w:szCs w:val="24"/>
        </w:rPr>
        <w:t>;</w:t>
      </w:r>
    </w:p>
    <w:p w14:paraId="78E6D102" w14:textId="77777777" w:rsidR="00D87B7D"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14:paraId="49ED453E" w14:textId="77777777" w:rsidR="00D87B7D" w:rsidRPr="005C53F5" w:rsidRDefault="00D87B7D" w:rsidP="00057BE5">
      <w:pPr>
        <w:spacing w:after="0" w:line="240" w:lineRule="auto"/>
        <w:ind w:firstLine="709"/>
        <w:jc w:val="both"/>
        <w:rPr>
          <w:rFonts w:ascii="Times New Roman" w:eastAsia="Calibri" w:hAnsi="Times New Roman" w:cs="Times New Roman"/>
          <w:i/>
          <w:iCs/>
          <w:sz w:val="24"/>
          <w:szCs w:val="24"/>
        </w:rPr>
      </w:pPr>
      <w:r w:rsidRPr="005C53F5">
        <w:rPr>
          <w:rFonts w:ascii="Times New Roman" w:eastAsia="Calibri" w:hAnsi="Times New Roman" w:cs="Times New Roman"/>
          <w:b/>
          <w:i/>
          <w:iCs/>
          <w:sz w:val="24"/>
          <w:szCs w:val="24"/>
        </w:rPr>
        <w:t xml:space="preserve">полное фирменное наименование – Fitch Ratings Ltd.; сокращенное фирменное наименование – </w:t>
      </w:r>
      <w:r w:rsidRPr="005C53F5">
        <w:rPr>
          <w:rFonts w:ascii="Times New Roman" w:eastAsia="Calibri" w:hAnsi="Times New Roman" w:cs="Times New Roman"/>
          <w:b/>
          <w:i/>
          <w:iCs/>
          <w:sz w:val="24"/>
          <w:szCs w:val="24"/>
          <w:lang w:val="en-US"/>
        </w:rPr>
        <w:t>Fitch</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Ratings</w:t>
      </w:r>
      <w:r w:rsidRPr="005C53F5">
        <w:rPr>
          <w:rFonts w:ascii="Times New Roman" w:eastAsia="Calibri" w:hAnsi="Times New Roman" w:cs="Times New Roman"/>
          <w:b/>
          <w:i/>
          <w:iCs/>
          <w:sz w:val="24"/>
          <w:szCs w:val="24"/>
        </w:rPr>
        <w:t xml:space="preserve">; место нахождения – 33 </w:t>
      </w:r>
      <w:r w:rsidRPr="005C53F5">
        <w:rPr>
          <w:rFonts w:ascii="Times New Roman" w:eastAsia="Calibri" w:hAnsi="Times New Roman" w:cs="Times New Roman"/>
          <w:b/>
          <w:i/>
          <w:iCs/>
          <w:sz w:val="24"/>
          <w:szCs w:val="24"/>
          <w:lang w:val="en-US"/>
        </w:rPr>
        <w:t>Whitehall</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Street</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New</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York</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NY</w:t>
      </w:r>
      <w:r w:rsidRPr="005C53F5">
        <w:rPr>
          <w:rFonts w:ascii="Times New Roman" w:eastAsia="Calibri" w:hAnsi="Times New Roman" w:cs="Times New Roman"/>
          <w:b/>
          <w:i/>
          <w:iCs/>
          <w:sz w:val="24"/>
          <w:szCs w:val="24"/>
        </w:rPr>
        <w:t xml:space="preserve"> 10004, United States;</w:t>
      </w:r>
    </w:p>
    <w:p w14:paraId="2E863DC1" w14:textId="77777777" w:rsidR="00D87B7D"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14:paraId="6EFBF3F8" w14:textId="77777777" w:rsidR="00D87B7D"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iCs/>
          <w:sz w:val="24"/>
          <w:szCs w:val="24"/>
        </w:rPr>
        <w:t>информация о методике присвоения кредитного рейтинга размещена (опубликована) в информационно- телекоммуникационной сети «Интернет» в свободном доступе по адресу www.fitchratings.com</w:t>
      </w:r>
      <w:r w:rsidRPr="005C53F5">
        <w:rPr>
          <w:rFonts w:ascii="Times New Roman" w:eastAsia="Calibri" w:hAnsi="Times New Roman" w:cs="Times New Roman"/>
          <w:sz w:val="24"/>
          <w:szCs w:val="24"/>
        </w:rPr>
        <w:t>;</w:t>
      </w:r>
    </w:p>
    <w:p w14:paraId="52CB6FA6" w14:textId="77777777" w:rsidR="00D87B7D" w:rsidRPr="005C53F5" w:rsidRDefault="00D87B7D" w:rsidP="00057BE5">
      <w:pPr>
        <w:spacing w:after="0" w:line="240" w:lineRule="auto"/>
        <w:ind w:firstLine="708"/>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sz w:val="24"/>
          <w:szCs w:val="24"/>
        </w:rPr>
        <w:t>отсутствуют;</w:t>
      </w:r>
    </w:p>
    <w:p w14:paraId="2E508D8B" w14:textId="77777777" w:rsidR="00D87B7D" w:rsidRPr="005C53F5" w:rsidRDefault="00D87B7D"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Pr="005C53F5">
        <w:rPr>
          <w:rFonts w:ascii="Times New Roman" w:eastAsia="Calibri" w:hAnsi="Times New Roman" w:cs="Times New Roman"/>
          <w:b/>
          <w:i/>
          <w:sz w:val="24"/>
          <w:szCs w:val="24"/>
        </w:rPr>
        <w:t xml:space="preserve">еврооблигации </w:t>
      </w:r>
      <w:r w:rsidRPr="005C53F5">
        <w:rPr>
          <w:rFonts w:ascii="Times New Roman" w:eastAsia="Calibri" w:hAnsi="Times New Roman" w:cs="Times New Roman"/>
          <w:b/>
          <w:bCs/>
          <w:i/>
          <w:iCs/>
          <w:sz w:val="24"/>
          <w:szCs w:val="24"/>
        </w:rPr>
        <w:t xml:space="preserve">Республики </w:t>
      </w:r>
      <w:r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47F56BE5" w14:textId="0D5CBBEB" w:rsidR="005A0834"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вид, категория (тип), серия, форма и иные идентификационные признаки ценных бумаг:</w:t>
      </w:r>
      <w:r w:rsidR="006D1AB5" w:rsidRPr="005C53F5">
        <w:rPr>
          <w:rFonts w:ascii="Times New Roman" w:eastAsia="Calibri" w:hAnsi="Times New Roman" w:cs="Times New Roman"/>
          <w:sz w:val="24"/>
          <w:szCs w:val="24"/>
        </w:rPr>
        <w:t xml:space="preserve"> </w:t>
      </w:r>
      <w:r w:rsidR="005A0834" w:rsidRPr="005C53F5">
        <w:rPr>
          <w:rFonts w:ascii="Times New Roman" w:eastAsia="Calibri" w:hAnsi="Times New Roman" w:cs="Times New Roman"/>
          <w:b/>
          <w:i/>
          <w:sz w:val="24"/>
          <w:szCs w:val="24"/>
        </w:rPr>
        <w:t>купонные документарные именные ноты по правилу 144А /Постановлению S номинальной стоимостью 1000 долларов США каждая, размещенные двумя траншами 14 июля 2015 года:</w:t>
      </w:r>
    </w:p>
    <w:p w14:paraId="2D38F9B3" w14:textId="77777777" w:rsidR="005A0834" w:rsidRPr="005C53F5" w:rsidRDefault="005A0834"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на сумму 2 500 млн долларов США под ставку 5,125% годовых с погашением 21 июля 2025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XS1263054519, общий код: 126305451;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US486661</w:t>
      </w:r>
      <w:r w:rsidRPr="005C53F5">
        <w:rPr>
          <w:rFonts w:ascii="Times New Roman" w:eastAsia="Calibri" w:hAnsi="Times New Roman" w:cs="Times New Roman"/>
          <w:b/>
          <w:i/>
          <w:sz w:val="24"/>
          <w:szCs w:val="24"/>
          <w:lang w:val="en-US"/>
        </w:rPr>
        <w:t>AG</w:t>
      </w:r>
      <w:r w:rsidRPr="005C53F5">
        <w:rPr>
          <w:rFonts w:ascii="Times New Roman" w:eastAsia="Calibri" w:hAnsi="Times New Roman" w:cs="Times New Roman"/>
          <w:b/>
          <w:i/>
          <w:sz w:val="24"/>
          <w:szCs w:val="24"/>
        </w:rPr>
        <w:t>60, общий код: 126314078,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486661 </w:t>
      </w:r>
      <w:r w:rsidRPr="005C53F5">
        <w:rPr>
          <w:rFonts w:ascii="Times New Roman" w:eastAsia="Calibri" w:hAnsi="Times New Roman" w:cs="Times New Roman"/>
          <w:b/>
          <w:i/>
          <w:sz w:val="24"/>
          <w:szCs w:val="24"/>
          <w:lang w:val="en-US"/>
        </w:rPr>
        <w:t>AG</w:t>
      </w:r>
      <w:r w:rsidRPr="005C53F5">
        <w:rPr>
          <w:rFonts w:ascii="Times New Roman" w:eastAsia="Calibri" w:hAnsi="Times New Roman" w:cs="Times New Roman"/>
          <w:b/>
          <w:i/>
          <w:sz w:val="24"/>
          <w:szCs w:val="24"/>
        </w:rPr>
        <w:t>6);</w:t>
      </w:r>
    </w:p>
    <w:p w14:paraId="5FB3DFFC" w14:textId="03231C43" w:rsidR="00AB37BA" w:rsidRPr="005C53F5" w:rsidRDefault="005A083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sz w:val="24"/>
          <w:szCs w:val="24"/>
        </w:rPr>
        <w:t>на сумму 1 500 млн долларов США под ставку 6,5% годовых с погашением 21 июля 2045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XS1263139856, общий код: 126313985;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US486661</w:t>
      </w:r>
      <w:r w:rsidRPr="005C53F5">
        <w:rPr>
          <w:rFonts w:ascii="Times New Roman" w:eastAsia="Calibri" w:hAnsi="Times New Roman" w:cs="Times New Roman"/>
          <w:b/>
          <w:i/>
          <w:sz w:val="24"/>
          <w:szCs w:val="24"/>
          <w:lang w:val="en-US"/>
        </w:rPr>
        <w:t>AH</w:t>
      </w:r>
      <w:r w:rsidRPr="005C53F5">
        <w:rPr>
          <w:rFonts w:ascii="Times New Roman" w:eastAsia="Calibri" w:hAnsi="Times New Roman" w:cs="Times New Roman"/>
          <w:b/>
          <w:i/>
          <w:sz w:val="24"/>
          <w:szCs w:val="24"/>
        </w:rPr>
        <w:t>44, общий код: 126314051,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486661 </w:t>
      </w:r>
      <w:r w:rsidRPr="005C53F5">
        <w:rPr>
          <w:rFonts w:ascii="Times New Roman" w:eastAsia="Calibri" w:hAnsi="Times New Roman" w:cs="Times New Roman"/>
          <w:b/>
          <w:i/>
          <w:sz w:val="24"/>
          <w:szCs w:val="24"/>
          <w:lang w:val="en-US"/>
        </w:rPr>
        <w:t>AH</w:t>
      </w:r>
      <w:r w:rsidRPr="005C53F5">
        <w:rPr>
          <w:rFonts w:ascii="Times New Roman" w:eastAsia="Calibri" w:hAnsi="Times New Roman" w:cs="Times New Roman"/>
          <w:b/>
          <w:i/>
          <w:sz w:val="24"/>
          <w:szCs w:val="24"/>
        </w:rPr>
        <w:t>4);</w:t>
      </w:r>
    </w:p>
    <w:p w14:paraId="793E3658" w14:textId="334DFA81" w:rsidR="00D87B7D" w:rsidRPr="005C53F5" w:rsidRDefault="00D87B7D"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 xml:space="preserve">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 </w:t>
      </w:r>
      <w:r w:rsidRPr="005C53F5">
        <w:rPr>
          <w:rFonts w:ascii="Times New Roman" w:eastAsia="Calibri" w:hAnsi="Times New Roman" w:cs="Times New Roman"/>
          <w:b/>
          <w:bCs/>
          <w:i/>
          <w:iCs/>
          <w:sz w:val="24"/>
          <w:szCs w:val="24"/>
        </w:rPr>
        <w:t>еврооблигации Республики Казахстан не имеют государственный регистрационный номер (идентификационный номер), присвоенный в соответствии с законодательством Российской Федерации;</w:t>
      </w:r>
    </w:p>
    <w:p w14:paraId="62B7BF7C" w14:textId="12FAAAFB" w:rsidR="00D87B7D" w:rsidRPr="005C53F5" w:rsidRDefault="00D87B7D"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рейтинг эмиссии на уровне долгосрочного суверенного кредитного рейтинга эмитента в иностранной валюте – «</w:t>
      </w:r>
      <w:r w:rsidR="006D1AB5" w:rsidRPr="005C53F5">
        <w:rPr>
          <w:rFonts w:ascii="Times New Roman" w:eastAsia="Calibri" w:hAnsi="Times New Roman" w:cs="Times New Roman"/>
          <w:b/>
          <w:bCs/>
          <w:i/>
          <w:iCs/>
          <w:sz w:val="24"/>
          <w:szCs w:val="24"/>
        </w:rPr>
        <w:t>Baa3</w:t>
      </w:r>
      <w:r w:rsidRPr="005C53F5">
        <w:rPr>
          <w:rFonts w:ascii="Times New Roman" w:eastAsia="Calibri" w:hAnsi="Times New Roman" w:cs="Times New Roman"/>
          <w:b/>
          <w:bCs/>
          <w:i/>
          <w:iCs/>
          <w:sz w:val="24"/>
          <w:szCs w:val="24"/>
        </w:rPr>
        <w:t>»;</w:t>
      </w:r>
    </w:p>
    <w:p w14:paraId="3E39D914" w14:textId="2C8F730E" w:rsidR="00D87B7D" w:rsidRPr="005C53F5" w:rsidRDefault="00D87B7D"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 xml:space="preserve">в </w:t>
      </w:r>
      <w:r w:rsidR="006D1AB5" w:rsidRPr="005C53F5">
        <w:rPr>
          <w:rFonts w:ascii="Times New Roman" w:eastAsia="Calibri" w:hAnsi="Times New Roman" w:cs="Times New Roman"/>
          <w:b/>
          <w:bCs/>
          <w:i/>
          <w:iCs/>
          <w:sz w:val="24"/>
          <w:szCs w:val="24"/>
        </w:rPr>
        <w:t>июле</w:t>
      </w:r>
      <w:r w:rsidRPr="005C53F5">
        <w:rPr>
          <w:rFonts w:ascii="Times New Roman" w:eastAsia="Calibri" w:hAnsi="Times New Roman" w:cs="Times New Roman"/>
          <w:b/>
          <w:bCs/>
          <w:i/>
          <w:iCs/>
          <w:sz w:val="24"/>
          <w:szCs w:val="24"/>
        </w:rPr>
        <w:t xml:space="preserve"> </w:t>
      </w:r>
      <w:r w:rsidR="000169E4" w:rsidRPr="005C53F5">
        <w:rPr>
          <w:rFonts w:ascii="Times New Roman" w:eastAsia="Calibri" w:hAnsi="Times New Roman" w:cs="Times New Roman"/>
          <w:b/>
          <w:bCs/>
          <w:i/>
          <w:iCs/>
          <w:sz w:val="24"/>
          <w:szCs w:val="24"/>
        </w:rPr>
        <w:t xml:space="preserve"> 2015</w:t>
      </w:r>
      <w:r w:rsidRPr="005C53F5">
        <w:rPr>
          <w:rFonts w:ascii="Times New Roman" w:eastAsia="Calibri" w:hAnsi="Times New Roman" w:cs="Times New Roman"/>
          <w:b/>
          <w:bCs/>
          <w:i/>
          <w:iCs/>
          <w:sz w:val="24"/>
          <w:szCs w:val="24"/>
        </w:rPr>
        <w:t xml:space="preserve"> года международное рейтинговое агентство</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bCs/>
          <w:i/>
          <w:iCs/>
          <w:sz w:val="24"/>
          <w:szCs w:val="24"/>
        </w:rPr>
        <w:t xml:space="preserve">Moody's присвоило еврооблигациям Республики Казахстан, эмитированным в </w:t>
      </w:r>
      <w:r w:rsidR="006D1AB5" w:rsidRPr="005C53F5">
        <w:rPr>
          <w:rFonts w:ascii="Times New Roman" w:eastAsia="Calibri" w:hAnsi="Times New Roman" w:cs="Times New Roman"/>
          <w:b/>
          <w:bCs/>
          <w:i/>
          <w:iCs/>
          <w:sz w:val="24"/>
          <w:szCs w:val="24"/>
        </w:rPr>
        <w:t xml:space="preserve">июле </w:t>
      </w:r>
      <w:r w:rsidR="000169E4" w:rsidRPr="005C53F5">
        <w:rPr>
          <w:rFonts w:ascii="Times New Roman" w:eastAsia="Calibri" w:hAnsi="Times New Roman" w:cs="Times New Roman"/>
          <w:b/>
          <w:bCs/>
          <w:i/>
          <w:iCs/>
          <w:sz w:val="24"/>
          <w:szCs w:val="24"/>
        </w:rPr>
        <w:t>2015</w:t>
      </w:r>
      <w:r w:rsidRPr="005C53F5">
        <w:rPr>
          <w:rFonts w:ascii="Times New Roman" w:eastAsia="Calibri" w:hAnsi="Times New Roman" w:cs="Times New Roman"/>
          <w:b/>
          <w:bCs/>
          <w:i/>
          <w:iCs/>
          <w:sz w:val="24"/>
          <w:szCs w:val="24"/>
        </w:rPr>
        <w:t xml:space="preserve"> года </w:t>
      </w:r>
      <w:r w:rsidR="00A5742D" w:rsidRPr="005C53F5">
        <w:rPr>
          <w:rFonts w:ascii="Times New Roman" w:eastAsia="Calibri" w:hAnsi="Times New Roman" w:cs="Times New Roman"/>
          <w:b/>
          <w:bCs/>
          <w:i/>
          <w:iCs/>
          <w:sz w:val="24"/>
          <w:szCs w:val="24"/>
        </w:rPr>
        <w:t>двумя траншами на</w:t>
      </w:r>
      <w:r w:rsidR="006D1AB5" w:rsidRPr="005C53F5">
        <w:rPr>
          <w:rFonts w:ascii="Times New Roman" w:eastAsia="Calibri" w:hAnsi="Times New Roman" w:cs="Times New Roman"/>
          <w:b/>
          <w:bCs/>
          <w:i/>
          <w:iCs/>
          <w:sz w:val="24"/>
          <w:szCs w:val="24"/>
        </w:rPr>
        <w:t xml:space="preserve"> общую</w:t>
      </w:r>
      <w:r w:rsidR="00A5742D" w:rsidRPr="005C53F5">
        <w:rPr>
          <w:rFonts w:ascii="Times New Roman" w:eastAsia="Calibri" w:hAnsi="Times New Roman" w:cs="Times New Roman"/>
          <w:b/>
          <w:bCs/>
          <w:i/>
          <w:iCs/>
          <w:sz w:val="24"/>
          <w:szCs w:val="24"/>
        </w:rPr>
        <w:t xml:space="preserve"> сумму </w:t>
      </w:r>
      <w:r w:rsidR="006D1AB5" w:rsidRPr="005C53F5">
        <w:rPr>
          <w:rFonts w:ascii="Times New Roman" w:eastAsia="Calibri" w:hAnsi="Times New Roman" w:cs="Times New Roman"/>
          <w:b/>
          <w:bCs/>
          <w:i/>
          <w:iCs/>
          <w:sz w:val="24"/>
          <w:szCs w:val="24"/>
        </w:rPr>
        <w:t>4 млрд долларов США</w:t>
      </w:r>
      <w:r w:rsidRPr="005C53F5">
        <w:rPr>
          <w:rFonts w:ascii="Times New Roman" w:eastAsia="Calibri" w:hAnsi="Times New Roman" w:cs="Times New Roman"/>
          <w:b/>
          <w:bCs/>
          <w:i/>
          <w:iCs/>
          <w:sz w:val="24"/>
          <w:szCs w:val="24"/>
        </w:rPr>
        <w:t>, рейтинг на уровне «Baa2»</w:t>
      </w:r>
      <w:r w:rsidR="006D1AB5" w:rsidRPr="005C53F5">
        <w:rPr>
          <w:rFonts w:ascii="Times New Roman" w:eastAsia="Calibri" w:hAnsi="Times New Roman" w:cs="Times New Roman"/>
          <w:b/>
          <w:bCs/>
          <w:i/>
          <w:iCs/>
          <w:sz w:val="24"/>
          <w:szCs w:val="24"/>
        </w:rPr>
        <w:t>.</w:t>
      </w:r>
      <w:r w:rsidR="00AB1460" w:rsidRPr="005C53F5">
        <w:rPr>
          <w:rFonts w:ascii="Times New Roman" w:eastAsia="Calibri" w:hAnsi="Times New Roman" w:cs="Times New Roman"/>
          <w:b/>
          <w:bCs/>
          <w:i/>
          <w:iCs/>
          <w:sz w:val="24"/>
          <w:szCs w:val="24"/>
        </w:rPr>
        <w:t xml:space="preserve"> Вместе с понижением суверенного кредитного рейтинга в апреле 2016 года рейтинг эмиссии понижен до уровня «</w:t>
      </w:r>
      <w:r w:rsidR="00AB1460" w:rsidRPr="005C53F5">
        <w:rPr>
          <w:rFonts w:ascii="Times New Roman" w:eastAsia="Calibri" w:hAnsi="Times New Roman" w:cs="Times New Roman"/>
          <w:b/>
          <w:i/>
          <w:sz w:val="24"/>
          <w:szCs w:val="24"/>
        </w:rPr>
        <w:t>Baa3», прогноз «негативный»</w:t>
      </w:r>
      <w:r w:rsidR="00AB1460" w:rsidRPr="005C53F5">
        <w:rPr>
          <w:rFonts w:ascii="Times New Roman" w:eastAsia="Calibri" w:hAnsi="Times New Roman" w:cs="Times New Roman"/>
          <w:b/>
          <w:bCs/>
          <w:i/>
          <w:iCs/>
          <w:sz w:val="24"/>
          <w:szCs w:val="24"/>
        </w:rPr>
        <w:t xml:space="preserve">.  </w:t>
      </w:r>
      <w:r w:rsidR="00AB1460" w:rsidRPr="005C53F5">
        <w:rPr>
          <w:rFonts w:ascii="Times New Roman" w:eastAsia="Calibri" w:hAnsi="Times New Roman" w:cs="Times New Roman"/>
          <w:b/>
          <w:i/>
          <w:sz w:val="24"/>
          <w:szCs w:val="24"/>
        </w:rPr>
        <w:t>26 июля 2017 года рейтинг был установлен на уровне «Baa3, прогноз «стабильный». 22 августа 2019 года рейтинг был установлен на уровне «Baa3, прогноз «позитивный».</w:t>
      </w:r>
    </w:p>
    <w:p w14:paraId="4C49B6B9" w14:textId="77777777" w:rsidR="00D87B7D"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14:paraId="42F3A49C" w14:textId="77777777" w:rsidR="00D87B7D" w:rsidRPr="005C53F5" w:rsidRDefault="00D87B7D"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полное фирменное наименование – Moody’s Investors Service Ltd.; сокращенное фирменное наименование – Moody’s; место нахождения – 99 Church Street, New York, NY 10007;</w:t>
      </w:r>
    </w:p>
    <w:p w14:paraId="17FEC081" w14:textId="77777777" w:rsidR="00D87B7D" w:rsidRPr="005C53F5" w:rsidRDefault="00D87B7D"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14:paraId="232BC173" w14:textId="77777777" w:rsidR="00D87B7D" w:rsidRPr="005C53F5" w:rsidRDefault="00D87B7D"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информация о методике присвоения кредитного рейтинга размещена (опубликована) в информационно- телекоммуникационной сети «Интернет» в свободном доступе по адресу www.moodys.com;</w:t>
      </w:r>
    </w:p>
    <w:p w14:paraId="60A90F2C" w14:textId="77777777" w:rsidR="00D87B7D" w:rsidRPr="005C53F5" w:rsidRDefault="00D87B7D" w:rsidP="00057BE5">
      <w:pPr>
        <w:spacing w:after="0" w:line="240" w:lineRule="auto"/>
        <w:ind w:firstLine="708"/>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sz w:val="24"/>
          <w:szCs w:val="24"/>
        </w:rPr>
        <w:t>отсутствуют;</w:t>
      </w:r>
    </w:p>
    <w:p w14:paraId="7F3D5C07" w14:textId="77777777" w:rsidR="000169E4" w:rsidRPr="005C53F5" w:rsidRDefault="000169E4"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Pr="005C53F5">
        <w:rPr>
          <w:rFonts w:ascii="Times New Roman" w:eastAsia="Calibri" w:hAnsi="Times New Roman" w:cs="Times New Roman"/>
          <w:b/>
          <w:i/>
          <w:sz w:val="24"/>
          <w:szCs w:val="24"/>
        </w:rPr>
        <w:t xml:space="preserve">еврооблигации </w:t>
      </w:r>
      <w:r w:rsidRPr="005C53F5">
        <w:rPr>
          <w:rFonts w:ascii="Times New Roman" w:eastAsia="Calibri" w:hAnsi="Times New Roman" w:cs="Times New Roman"/>
          <w:b/>
          <w:bCs/>
          <w:i/>
          <w:iCs/>
          <w:sz w:val="24"/>
          <w:szCs w:val="24"/>
        </w:rPr>
        <w:t xml:space="preserve">Республики </w:t>
      </w:r>
      <w:r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28D31F8B" w14:textId="6CED37B5" w:rsidR="00171BF0"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вид, категория (тип), серия, форма и иные идентификационные признаки ценных бумаг:</w:t>
      </w:r>
      <w:r w:rsidR="000C4BA0" w:rsidRPr="005C53F5">
        <w:rPr>
          <w:rFonts w:ascii="Times New Roman" w:eastAsia="Calibri" w:hAnsi="Times New Roman" w:cs="Times New Roman"/>
          <w:sz w:val="24"/>
          <w:szCs w:val="24"/>
        </w:rPr>
        <w:t xml:space="preserve"> </w:t>
      </w:r>
      <w:r w:rsidR="00171BF0" w:rsidRPr="005C53F5">
        <w:rPr>
          <w:rFonts w:ascii="Times New Roman" w:eastAsia="Calibri" w:hAnsi="Times New Roman" w:cs="Times New Roman"/>
          <w:b/>
          <w:i/>
          <w:sz w:val="24"/>
          <w:szCs w:val="24"/>
        </w:rPr>
        <w:t>купонные документарные именные ноты по правилу 144А /</w:t>
      </w:r>
      <w:r w:rsidR="000C4BA0" w:rsidRPr="005C53F5">
        <w:rPr>
          <w:rFonts w:ascii="Times New Roman" w:eastAsia="Calibri" w:hAnsi="Times New Roman" w:cs="Times New Roman"/>
          <w:b/>
          <w:i/>
          <w:sz w:val="24"/>
          <w:szCs w:val="24"/>
        </w:rPr>
        <w:t xml:space="preserve"> </w:t>
      </w:r>
      <w:r w:rsidR="00171BF0" w:rsidRPr="005C53F5">
        <w:rPr>
          <w:rFonts w:ascii="Times New Roman" w:eastAsia="Calibri" w:hAnsi="Times New Roman" w:cs="Times New Roman"/>
          <w:b/>
          <w:i/>
          <w:sz w:val="24"/>
          <w:szCs w:val="24"/>
        </w:rPr>
        <w:t xml:space="preserve">Постановлению S номинальной стоимостью 1000 </w:t>
      </w:r>
      <w:r w:rsidR="00A42275" w:rsidRPr="005C53F5">
        <w:rPr>
          <w:rFonts w:ascii="Times New Roman" w:eastAsia="Calibri" w:hAnsi="Times New Roman" w:cs="Times New Roman"/>
          <w:b/>
          <w:i/>
          <w:sz w:val="24"/>
          <w:szCs w:val="24"/>
        </w:rPr>
        <w:t>EUR</w:t>
      </w:r>
      <w:r w:rsidR="00171BF0" w:rsidRPr="005C53F5">
        <w:rPr>
          <w:rFonts w:ascii="Times New Roman" w:eastAsia="Calibri" w:hAnsi="Times New Roman" w:cs="Times New Roman"/>
          <w:b/>
          <w:i/>
          <w:sz w:val="24"/>
          <w:szCs w:val="24"/>
        </w:rPr>
        <w:t xml:space="preserve"> каждая, размещенные двумя траншами</w:t>
      </w:r>
      <w:r w:rsidR="00A42275" w:rsidRPr="005C53F5">
        <w:t xml:space="preserve"> </w:t>
      </w:r>
      <w:r w:rsidR="00A42275" w:rsidRPr="005C53F5">
        <w:rPr>
          <w:rFonts w:ascii="Times New Roman" w:eastAsia="Calibri" w:hAnsi="Times New Roman" w:cs="Times New Roman"/>
          <w:b/>
          <w:i/>
          <w:sz w:val="24"/>
          <w:szCs w:val="24"/>
        </w:rPr>
        <w:t>05 ноября</w:t>
      </w:r>
      <w:r w:rsidR="00171BF0" w:rsidRPr="005C53F5">
        <w:rPr>
          <w:rFonts w:ascii="Times New Roman" w:eastAsia="Calibri" w:hAnsi="Times New Roman" w:cs="Times New Roman"/>
          <w:b/>
          <w:i/>
          <w:sz w:val="24"/>
          <w:szCs w:val="24"/>
        </w:rPr>
        <w:t xml:space="preserve"> 201</w:t>
      </w:r>
      <w:r w:rsidR="00A42275" w:rsidRPr="005C53F5">
        <w:rPr>
          <w:rFonts w:ascii="Times New Roman" w:eastAsia="Calibri" w:hAnsi="Times New Roman" w:cs="Times New Roman"/>
          <w:b/>
          <w:i/>
          <w:sz w:val="24"/>
          <w:szCs w:val="24"/>
        </w:rPr>
        <w:t>8</w:t>
      </w:r>
      <w:r w:rsidR="00171BF0" w:rsidRPr="005C53F5">
        <w:rPr>
          <w:rFonts w:ascii="Times New Roman" w:eastAsia="Calibri" w:hAnsi="Times New Roman" w:cs="Times New Roman"/>
          <w:b/>
          <w:i/>
          <w:sz w:val="24"/>
          <w:szCs w:val="24"/>
        </w:rPr>
        <w:t xml:space="preserve"> года:</w:t>
      </w:r>
    </w:p>
    <w:p w14:paraId="466DE2A6" w14:textId="3D36BA50" w:rsidR="00171BF0" w:rsidRPr="005C53F5" w:rsidRDefault="00171BF0"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 xml:space="preserve">на сумму </w:t>
      </w:r>
      <w:r w:rsidR="00A42275" w:rsidRPr="005C53F5">
        <w:rPr>
          <w:rFonts w:ascii="Times New Roman" w:eastAsia="Calibri" w:hAnsi="Times New Roman" w:cs="Times New Roman"/>
          <w:b/>
          <w:i/>
          <w:sz w:val="24"/>
          <w:szCs w:val="24"/>
        </w:rPr>
        <w:t>525</w:t>
      </w:r>
      <w:r w:rsidRPr="005C53F5">
        <w:rPr>
          <w:rFonts w:ascii="Times New Roman" w:eastAsia="Calibri" w:hAnsi="Times New Roman" w:cs="Times New Roman"/>
          <w:b/>
          <w:i/>
          <w:sz w:val="24"/>
          <w:szCs w:val="24"/>
        </w:rPr>
        <w:t xml:space="preserve"> млн </w:t>
      </w:r>
      <w:r w:rsidR="00A42275" w:rsidRPr="005C53F5">
        <w:rPr>
          <w:rFonts w:ascii="Times New Roman" w:eastAsia="Calibri" w:hAnsi="Times New Roman" w:cs="Times New Roman"/>
          <w:b/>
          <w:i/>
          <w:sz w:val="24"/>
          <w:szCs w:val="24"/>
        </w:rPr>
        <w:t>EUR</w:t>
      </w:r>
      <w:r w:rsidRPr="005C53F5">
        <w:rPr>
          <w:rFonts w:ascii="Times New Roman" w:eastAsia="Calibri" w:hAnsi="Times New Roman" w:cs="Times New Roman"/>
          <w:b/>
          <w:i/>
          <w:sz w:val="24"/>
          <w:szCs w:val="24"/>
        </w:rPr>
        <w:t xml:space="preserve"> под ставку </w:t>
      </w:r>
      <w:r w:rsidR="00A42275" w:rsidRPr="005C53F5">
        <w:rPr>
          <w:rFonts w:ascii="Times New Roman" w:eastAsia="Calibri" w:hAnsi="Times New Roman" w:cs="Times New Roman"/>
          <w:b/>
          <w:i/>
          <w:sz w:val="24"/>
          <w:szCs w:val="24"/>
        </w:rPr>
        <w:t>1</w:t>
      </w:r>
      <w:r w:rsidRPr="005C53F5">
        <w:rPr>
          <w:rFonts w:ascii="Times New Roman" w:eastAsia="Calibri" w:hAnsi="Times New Roman" w:cs="Times New Roman"/>
          <w:b/>
          <w:i/>
          <w:sz w:val="24"/>
          <w:szCs w:val="24"/>
        </w:rPr>
        <w:t>,</w:t>
      </w:r>
      <w:r w:rsidR="00A42275" w:rsidRPr="005C53F5">
        <w:rPr>
          <w:rFonts w:ascii="Times New Roman" w:eastAsia="Calibri" w:hAnsi="Times New Roman" w:cs="Times New Roman"/>
          <w:b/>
          <w:i/>
          <w:sz w:val="24"/>
          <w:szCs w:val="24"/>
        </w:rPr>
        <w:t>5</w:t>
      </w:r>
      <w:r w:rsidRPr="005C53F5">
        <w:rPr>
          <w:rFonts w:ascii="Times New Roman" w:eastAsia="Calibri" w:hAnsi="Times New Roman" w:cs="Times New Roman"/>
          <w:b/>
          <w:i/>
          <w:sz w:val="24"/>
          <w:szCs w:val="24"/>
        </w:rPr>
        <w:t xml:space="preserve">5% годовых с погашением </w:t>
      </w:r>
      <w:r w:rsidR="00A42275" w:rsidRPr="005C53F5">
        <w:rPr>
          <w:rFonts w:ascii="Times New Roman" w:eastAsia="Calibri" w:hAnsi="Times New Roman" w:cs="Times New Roman"/>
          <w:b/>
          <w:i/>
          <w:sz w:val="24"/>
          <w:szCs w:val="24"/>
        </w:rPr>
        <w:t xml:space="preserve">09 ноября </w:t>
      </w:r>
      <w:r w:rsidRPr="005C53F5">
        <w:rPr>
          <w:rFonts w:ascii="Times New Roman" w:eastAsia="Calibri" w:hAnsi="Times New Roman" w:cs="Times New Roman"/>
          <w:b/>
          <w:i/>
          <w:sz w:val="24"/>
          <w:szCs w:val="24"/>
        </w:rPr>
        <w:t>202</w:t>
      </w:r>
      <w:r w:rsidR="00A42275" w:rsidRPr="005C53F5">
        <w:rPr>
          <w:rFonts w:ascii="Times New Roman" w:eastAsia="Calibri" w:hAnsi="Times New Roman" w:cs="Times New Roman"/>
          <w:b/>
          <w:i/>
          <w:sz w:val="24"/>
          <w:szCs w:val="24"/>
        </w:rPr>
        <w:t>3</w:t>
      </w:r>
      <w:r w:rsidRPr="005C53F5">
        <w:rPr>
          <w:rFonts w:ascii="Times New Roman" w:eastAsia="Calibri" w:hAnsi="Times New Roman" w:cs="Times New Roman"/>
          <w:b/>
          <w:i/>
          <w:sz w:val="24"/>
          <w:szCs w:val="24"/>
        </w:rPr>
        <w:t xml:space="preserve">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w:t>
      </w:r>
      <w:r w:rsidR="00A42275" w:rsidRPr="005C53F5">
        <w:rPr>
          <w:rFonts w:ascii="Times New Roman" w:eastAsia="Calibri" w:hAnsi="Times New Roman" w:cs="Times New Roman"/>
          <w:b/>
          <w:i/>
          <w:sz w:val="24"/>
          <w:szCs w:val="24"/>
        </w:rPr>
        <w:t>1907130246</w:t>
      </w:r>
      <w:r w:rsidRPr="005C53F5">
        <w:rPr>
          <w:rFonts w:ascii="Times New Roman" w:eastAsia="Calibri" w:hAnsi="Times New Roman" w:cs="Times New Roman"/>
          <w:b/>
          <w:i/>
          <w:sz w:val="24"/>
          <w:szCs w:val="24"/>
        </w:rPr>
        <w:t>, общий код:</w:t>
      </w:r>
      <w:r w:rsidR="00A42275" w:rsidRPr="005C53F5">
        <w:rPr>
          <w:rFonts w:ascii="Times New Roman" w:eastAsia="Calibri" w:hAnsi="Times New Roman" w:cs="Times New Roman"/>
          <w:b/>
          <w:i/>
          <w:sz w:val="24"/>
          <w:szCs w:val="24"/>
        </w:rPr>
        <w:t xml:space="preserve"> 190713024</w:t>
      </w:r>
      <w:r w:rsidRPr="005C53F5">
        <w:rPr>
          <w:rFonts w:ascii="Times New Roman" w:eastAsia="Calibri" w:hAnsi="Times New Roman" w:cs="Times New Roman"/>
          <w:b/>
          <w:i/>
          <w:sz w:val="24"/>
          <w:szCs w:val="24"/>
        </w:rPr>
        <w:t>;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w:t>
      </w:r>
      <w:r w:rsidR="00A42275" w:rsidRPr="005C53F5">
        <w:rPr>
          <w:rFonts w:ascii="Times New Roman" w:eastAsia="Calibri" w:hAnsi="Times New Roman" w:cs="Times New Roman"/>
          <w:b/>
          <w:i/>
          <w:sz w:val="24"/>
          <w:szCs w:val="24"/>
        </w:rPr>
        <w:t xml:space="preserve"> – ISIN: </w:t>
      </w:r>
      <w:r w:rsidR="00A42275" w:rsidRPr="005C53F5">
        <w:rPr>
          <w:rFonts w:ascii="Times New Roman" w:eastAsia="Calibri" w:hAnsi="Times New Roman" w:cs="Times New Roman"/>
          <w:b/>
          <w:i/>
          <w:sz w:val="24"/>
          <w:szCs w:val="24"/>
          <w:lang w:val="en-US"/>
        </w:rPr>
        <w:t>XS</w:t>
      </w:r>
      <w:r w:rsidR="00A42275" w:rsidRPr="005C53F5">
        <w:rPr>
          <w:rFonts w:ascii="Times New Roman" w:eastAsia="Calibri" w:hAnsi="Times New Roman" w:cs="Times New Roman"/>
          <w:b/>
          <w:i/>
          <w:sz w:val="24"/>
          <w:szCs w:val="24"/>
        </w:rPr>
        <w:t>1907138900</w:t>
      </w:r>
      <w:r w:rsidRPr="005C53F5">
        <w:rPr>
          <w:rFonts w:ascii="Times New Roman" w:eastAsia="Calibri" w:hAnsi="Times New Roman" w:cs="Times New Roman"/>
          <w:b/>
          <w:i/>
          <w:sz w:val="24"/>
          <w:szCs w:val="24"/>
        </w:rPr>
        <w:t xml:space="preserve">, общий код: </w:t>
      </w:r>
      <w:r w:rsidR="00A42275" w:rsidRPr="005C53F5">
        <w:rPr>
          <w:rFonts w:ascii="Times New Roman" w:eastAsia="Calibri" w:hAnsi="Times New Roman" w:cs="Times New Roman"/>
          <w:b/>
          <w:i/>
          <w:sz w:val="24"/>
          <w:szCs w:val="24"/>
        </w:rPr>
        <w:t>190713890</w:t>
      </w:r>
      <w:r w:rsidRPr="005C53F5">
        <w:rPr>
          <w:rFonts w:ascii="Times New Roman" w:eastAsia="Calibri" w:hAnsi="Times New Roman" w:cs="Times New Roman"/>
          <w:b/>
          <w:i/>
          <w:sz w:val="24"/>
          <w:szCs w:val="24"/>
        </w:rPr>
        <w:t>,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w:t>
      </w:r>
      <w:r w:rsidR="00A42275" w:rsidRPr="005C53F5">
        <w:rPr>
          <w:rFonts w:ascii="Times New Roman" w:eastAsia="Calibri" w:hAnsi="Times New Roman" w:cs="Times New Roman"/>
          <w:b/>
          <w:i/>
          <w:sz w:val="24"/>
          <w:szCs w:val="24"/>
        </w:rPr>
        <w:t>неприменимо</w:t>
      </w:r>
      <w:r w:rsidRPr="005C53F5">
        <w:rPr>
          <w:rFonts w:ascii="Times New Roman" w:eastAsia="Calibri" w:hAnsi="Times New Roman" w:cs="Times New Roman"/>
          <w:b/>
          <w:i/>
          <w:sz w:val="24"/>
          <w:szCs w:val="24"/>
        </w:rPr>
        <w:t>);</w:t>
      </w:r>
    </w:p>
    <w:p w14:paraId="37B8938F" w14:textId="5A3B7023" w:rsidR="00AB37BA" w:rsidRPr="005C53F5" w:rsidRDefault="00A42275"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sz w:val="24"/>
          <w:szCs w:val="24"/>
        </w:rPr>
        <w:t xml:space="preserve">на сумму 525 млн EUR под ставку </w:t>
      </w:r>
      <w:r w:rsidR="00705DA5" w:rsidRPr="005C53F5">
        <w:rPr>
          <w:rFonts w:ascii="Times New Roman" w:eastAsia="Calibri" w:hAnsi="Times New Roman" w:cs="Times New Roman"/>
          <w:b/>
          <w:i/>
          <w:sz w:val="24"/>
          <w:szCs w:val="24"/>
        </w:rPr>
        <w:t>2,375</w:t>
      </w:r>
      <w:r w:rsidRPr="005C53F5">
        <w:rPr>
          <w:rFonts w:ascii="Times New Roman" w:eastAsia="Calibri" w:hAnsi="Times New Roman" w:cs="Times New Roman"/>
          <w:b/>
          <w:i/>
          <w:sz w:val="24"/>
          <w:szCs w:val="24"/>
        </w:rPr>
        <w:t>% годовых с погашением 09 ноября 202</w:t>
      </w:r>
      <w:r w:rsidR="001F637A" w:rsidRPr="005C53F5">
        <w:rPr>
          <w:rFonts w:ascii="Times New Roman" w:eastAsia="Calibri" w:hAnsi="Times New Roman" w:cs="Times New Roman"/>
          <w:b/>
          <w:i/>
          <w:sz w:val="24"/>
          <w:szCs w:val="24"/>
        </w:rPr>
        <w:t>8</w:t>
      </w:r>
      <w:r w:rsidRPr="005C53F5">
        <w:rPr>
          <w:rFonts w:ascii="Times New Roman" w:eastAsia="Calibri" w:hAnsi="Times New Roman" w:cs="Times New Roman"/>
          <w:b/>
          <w:i/>
          <w:sz w:val="24"/>
          <w:szCs w:val="24"/>
        </w:rPr>
        <w:t xml:space="preserve">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 ISIN: </w:t>
      </w:r>
      <w:r w:rsidR="001B30B5" w:rsidRPr="005C53F5">
        <w:rPr>
          <w:rFonts w:ascii="Times New Roman" w:eastAsia="Calibri" w:hAnsi="Times New Roman" w:cs="Times New Roman"/>
          <w:b/>
          <w:i/>
          <w:sz w:val="24"/>
          <w:szCs w:val="24"/>
        </w:rPr>
        <w:t>XS1901718335</w:t>
      </w:r>
      <w:r w:rsidRPr="005C53F5">
        <w:rPr>
          <w:rFonts w:ascii="Times New Roman" w:eastAsia="Calibri" w:hAnsi="Times New Roman" w:cs="Times New Roman"/>
          <w:b/>
          <w:i/>
          <w:sz w:val="24"/>
          <w:szCs w:val="24"/>
        </w:rPr>
        <w:t>, общий код: 19071</w:t>
      </w:r>
      <w:r w:rsidR="001F637A" w:rsidRPr="005C53F5">
        <w:rPr>
          <w:rFonts w:ascii="Times New Roman" w:eastAsia="Calibri" w:hAnsi="Times New Roman" w:cs="Times New Roman"/>
          <w:b/>
          <w:i/>
          <w:sz w:val="24"/>
          <w:szCs w:val="24"/>
        </w:rPr>
        <w:t>1833</w:t>
      </w:r>
      <w:r w:rsidRPr="005C53F5">
        <w:rPr>
          <w:rFonts w:ascii="Times New Roman" w:eastAsia="Calibri" w:hAnsi="Times New Roman" w:cs="Times New Roman"/>
          <w:b/>
          <w:i/>
          <w:sz w:val="24"/>
          <w:szCs w:val="24"/>
        </w:rPr>
        <w:t>;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 ISIN: </w:t>
      </w:r>
      <w:r w:rsidRPr="005C53F5">
        <w:rPr>
          <w:rFonts w:ascii="Times New Roman" w:eastAsia="Calibri" w:hAnsi="Times New Roman" w:cs="Times New Roman"/>
          <w:b/>
          <w:i/>
          <w:sz w:val="24"/>
          <w:szCs w:val="24"/>
          <w:lang w:val="en-US"/>
        </w:rPr>
        <w:t>XS</w:t>
      </w:r>
      <w:r w:rsidRPr="005C53F5">
        <w:rPr>
          <w:rFonts w:ascii="Times New Roman" w:eastAsia="Calibri" w:hAnsi="Times New Roman" w:cs="Times New Roman"/>
          <w:b/>
          <w:i/>
          <w:sz w:val="24"/>
          <w:szCs w:val="24"/>
        </w:rPr>
        <w:t>190</w:t>
      </w:r>
      <w:r w:rsidR="001F637A" w:rsidRPr="005C53F5">
        <w:rPr>
          <w:rFonts w:ascii="Times New Roman" w:eastAsia="Calibri" w:hAnsi="Times New Roman" w:cs="Times New Roman"/>
          <w:b/>
          <w:i/>
          <w:sz w:val="24"/>
          <w:szCs w:val="24"/>
        </w:rPr>
        <w:t>1845526</w:t>
      </w:r>
      <w:r w:rsidRPr="005C53F5">
        <w:rPr>
          <w:rFonts w:ascii="Times New Roman" w:eastAsia="Calibri" w:hAnsi="Times New Roman" w:cs="Times New Roman"/>
          <w:b/>
          <w:i/>
          <w:sz w:val="24"/>
          <w:szCs w:val="24"/>
        </w:rPr>
        <w:t>, общий код: 190</w:t>
      </w:r>
      <w:r w:rsidR="001F637A" w:rsidRPr="005C53F5">
        <w:rPr>
          <w:rFonts w:ascii="Times New Roman" w:eastAsia="Calibri" w:hAnsi="Times New Roman" w:cs="Times New Roman"/>
          <w:b/>
          <w:i/>
          <w:sz w:val="24"/>
          <w:szCs w:val="24"/>
        </w:rPr>
        <w:t>184552</w:t>
      </w:r>
      <w:r w:rsidRPr="005C53F5">
        <w:rPr>
          <w:rFonts w:ascii="Times New Roman" w:eastAsia="Calibri" w:hAnsi="Times New Roman" w:cs="Times New Roman"/>
          <w:b/>
          <w:i/>
          <w:sz w:val="24"/>
          <w:szCs w:val="24"/>
        </w:rPr>
        <w:t>,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неприменимо);</w:t>
      </w:r>
    </w:p>
    <w:p w14:paraId="33F4CE18" w14:textId="1B6DCEC2"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 xml:space="preserve">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 </w:t>
      </w:r>
      <w:r w:rsidRPr="005C53F5">
        <w:rPr>
          <w:rFonts w:ascii="Times New Roman" w:eastAsia="Calibri" w:hAnsi="Times New Roman" w:cs="Times New Roman"/>
          <w:b/>
          <w:bCs/>
          <w:i/>
          <w:iCs/>
          <w:sz w:val="24"/>
          <w:szCs w:val="24"/>
        </w:rPr>
        <w:t>еврооблигации Республики Казахстан не имеют государственный регистрационный номер (идентификационный номер), присвоенный в соответствии с законодательством Российской Федерации;</w:t>
      </w:r>
    </w:p>
    <w:p w14:paraId="519349AE" w14:textId="1DB8A0A6"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рейтинг эмиссии на уровне долгосрочного суверенного кредитного рейтинга эмитента в иностранной валюте – «BBB-»;</w:t>
      </w:r>
    </w:p>
    <w:p w14:paraId="1A7E85AF" w14:textId="29C8F1F5"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w:t>
      </w:r>
      <w:r w:rsidRPr="005C53F5">
        <w:rPr>
          <w:rFonts w:ascii="Times New Roman,BoldItalic" w:hAnsi="Times New Roman,BoldItalic" w:cs="Times New Roman,BoldItalic"/>
          <w:b/>
          <w:bCs/>
          <w:i/>
          <w:iCs/>
          <w:sz w:val="24"/>
          <w:szCs w:val="24"/>
        </w:rPr>
        <w:t xml:space="preserve"> </w:t>
      </w:r>
      <w:r w:rsidR="000C4BA0" w:rsidRPr="005C53F5">
        <w:rPr>
          <w:rFonts w:ascii="Times New Roman" w:eastAsia="Calibri" w:hAnsi="Times New Roman" w:cs="Times New Roman"/>
          <w:b/>
          <w:bCs/>
          <w:i/>
          <w:iCs/>
          <w:sz w:val="24"/>
          <w:szCs w:val="24"/>
        </w:rPr>
        <w:t>в</w:t>
      </w:r>
      <w:r w:rsidRPr="005C53F5">
        <w:rPr>
          <w:rFonts w:ascii="Times New Roman" w:eastAsia="Calibri" w:hAnsi="Times New Roman" w:cs="Times New Roman"/>
          <w:b/>
          <w:bCs/>
          <w:i/>
          <w:iCs/>
          <w:sz w:val="24"/>
          <w:szCs w:val="24"/>
        </w:rPr>
        <w:t xml:space="preserve"> 2018</w:t>
      </w:r>
      <w:r w:rsidR="000C4BA0" w:rsidRPr="005C53F5">
        <w:rPr>
          <w:rFonts w:ascii="Times New Roman" w:eastAsia="Calibri" w:hAnsi="Times New Roman" w:cs="Times New Roman"/>
          <w:b/>
          <w:bCs/>
          <w:i/>
          <w:iCs/>
          <w:sz w:val="24"/>
          <w:szCs w:val="24"/>
        </w:rPr>
        <w:t xml:space="preserve"> году</w:t>
      </w:r>
      <w:r w:rsidRPr="005C53F5">
        <w:rPr>
          <w:rFonts w:ascii="Times New Roman" w:eastAsia="Calibri" w:hAnsi="Times New Roman" w:cs="Times New Roman"/>
          <w:b/>
          <w:bCs/>
          <w:i/>
          <w:iCs/>
          <w:sz w:val="24"/>
          <w:szCs w:val="24"/>
        </w:rPr>
        <w:t xml:space="preserve"> международное рейтинговое агентство Standard&amp;Poor’s присвоило еврооблигациям Республики Казахстан, эмитированным в </w:t>
      </w:r>
      <w:r w:rsidR="000C4BA0" w:rsidRPr="005C53F5">
        <w:rPr>
          <w:rFonts w:ascii="Times New Roman" w:eastAsia="Calibri" w:hAnsi="Times New Roman" w:cs="Times New Roman"/>
          <w:b/>
          <w:bCs/>
          <w:i/>
          <w:iCs/>
          <w:sz w:val="24"/>
          <w:szCs w:val="24"/>
        </w:rPr>
        <w:t xml:space="preserve">ноябре </w:t>
      </w:r>
      <w:r w:rsidRPr="005C53F5">
        <w:rPr>
          <w:rFonts w:ascii="Times New Roman" w:eastAsia="Calibri" w:hAnsi="Times New Roman" w:cs="Times New Roman"/>
          <w:b/>
          <w:bCs/>
          <w:i/>
          <w:iCs/>
          <w:sz w:val="24"/>
          <w:szCs w:val="24"/>
        </w:rPr>
        <w:t xml:space="preserve">2018 года </w:t>
      </w:r>
      <w:r w:rsidR="00A5742D" w:rsidRPr="005C53F5">
        <w:rPr>
          <w:rFonts w:ascii="Times New Roman" w:eastAsia="Calibri" w:hAnsi="Times New Roman" w:cs="Times New Roman"/>
          <w:b/>
          <w:bCs/>
          <w:i/>
          <w:iCs/>
          <w:sz w:val="24"/>
          <w:szCs w:val="24"/>
        </w:rPr>
        <w:t xml:space="preserve">двумя траншами на </w:t>
      </w:r>
      <w:r w:rsidR="000C4BA0" w:rsidRPr="005C53F5">
        <w:rPr>
          <w:rFonts w:ascii="Times New Roman" w:eastAsia="Calibri" w:hAnsi="Times New Roman" w:cs="Times New Roman"/>
          <w:b/>
          <w:bCs/>
          <w:i/>
          <w:iCs/>
          <w:sz w:val="24"/>
          <w:szCs w:val="24"/>
        </w:rPr>
        <w:t xml:space="preserve">общую </w:t>
      </w:r>
      <w:r w:rsidR="00A5742D" w:rsidRPr="005C53F5">
        <w:rPr>
          <w:rFonts w:ascii="Times New Roman" w:eastAsia="Calibri" w:hAnsi="Times New Roman" w:cs="Times New Roman"/>
          <w:b/>
          <w:bCs/>
          <w:i/>
          <w:iCs/>
          <w:sz w:val="24"/>
          <w:szCs w:val="24"/>
        </w:rPr>
        <w:t xml:space="preserve">сумму </w:t>
      </w:r>
      <w:r w:rsidR="000C4BA0" w:rsidRPr="005C53F5">
        <w:rPr>
          <w:rFonts w:ascii="Times New Roman" w:eastAsia="Calibri" w:hAnsi="Times New Roman" w:cs="Times New Roman"/>
          <w:b/>
          <w:bCs/>
          <w:i/>
          <w:iCs/>
          <w:sz w:val="24"/>
          <w:szCs w:val="24"/>
        </w:rPr>
        <w:t>1050 млн EUR</w:t>
      </w:r>
      <w:r w:rsidRPr="005C53F5">
        <w:rPr>
          <w:rFonts w:ascii="Times New Roman" w:eastAsia="Calibri" w:hAnsi="Times New Roman" w:cs="Times New Roman"/>
          <w:b/>
          <w:bCs/>
          <w:i/>
          <w:iCs/>
          <w:sz w:val="24"/>
          <w:szCs w:val="24"/>
        </w:rPr>
        <w:t>, рейтинг на уровне «BBB-»</w:t>
      </w:r>
      <w:r w:rsidR="00C7745F" w:rsidRPr="005C53F5">
        <w:rPr>
          <w:rFonts w:ascii="Times New Roman" w:eastAsia="Calibri" w:hAnsi="Times New Roman" w:cs="Times New Roman"/>
          <w:b/>
          <w:bCs/>
          <w:i/>
          <w:iCs/>
          <w:sz w:val="24"/>
          <w:szCs w:val="24"/>
        </w:rPr>
        <w:t>,</w:t>
      </w:r>
      <w:r w:rsidR="00C7745F" w:rsidRPr="005C53F5">
        <w:rPr>
          <w:rFonts w:ascii="Times New Roman" w:eastAsia="Calibri" w:hAnsi="Times New Roman" w:cs="Times New Roman"/>
          <w:b/>
          <w:i/>
          <w:sz w:val="24"/>
          <w:szCs w:val="24"/>
        </w:rPr>
        <w:t xml:space="preserve"> </w:t>
      </w:r>
      <w:r w:rsidR="00C7745F" w:rsidRPr="005C53F5">
        <w:rPr>
          <w:rFonts w:ascii="Times New Roman" w:eastAsia="Calibri" w:hAnsi="Times New Roman" w:cs="Times New Roman"/>
          <w:b/>
          <w:bCs/>
          <w:i/>
          <w:iCs/>
          <w:sz w:val="24"/>
          <w:szCs w:val="24"/>
        </w:rPr>
        <w:t xml:space="preserve">прогноз «стабильный». </w:t>
      </w:r>
      <w:r w:rsidR="00C7745F" w:rsidRPr="005C53F5">
        <w:rPr>
          <w:rFonts w:ascii="Times New Roman" w:eastAsia="Calibri" w:hAnsi="Times New Roman" w:cs="Times New Roman"/>
          <w:b/>
          <w:i/>
          <w:sz w:val="24"/>
          <w:szCs w:val="24"/>
        </w:rPr>
        <w:t>26 марта 2020 года Standard &amp; Poor’s подтвердило рейтинг «BBB-», прогноз «стабильный».</w:t>
      </w:r>
    </w:p>
    <w:p w14:paraId="02DB4C84"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14:paraId="32131170" w14:textId="77777777" w:rsidR="000169E4" w:rsidRPr="005C53F5" w:rsidRDefault="000169E4"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 xml:space="preserve">полное фирменное наименование – Standard&amp;Poor’s Inc.; сокращенное фирменное наименование – </w:t>
      </w:r>
      <w:r w:rsidRPr="005C53F5">
        <w:rPr>
          <w:rFonts w:ascii="Times New Roman" w:eastAsia="Calibri" w:hAnsi="Times New Roman" w:cs="Times New Roman"/>
          <w:b/>
          <w:i/>
          <w:sz w:val="24"/>
          <w:szCs w:val="24"/>
          <w:lang w:val="en-US"/>
        </w:rPr>
        <w:t>Standard</w:t>
      </w:r>
      <w:r w:rsidRPr="005C53F5">
        <w:rPr>
          <w:rFonts w:ascii="Times New Roman" w:eastAsia="Calibri" w:hAnsi="Times New Roman" w:cs="Times New Roman"/>
          <w:b/>
          <w:i/>
          <w:sz w:val="24"/>
          <w:szCs w:val="24"/>
        </w:rPr>
        <w:t xml:space="preserve"> &amp; </w:t>
      </w:r>
      <w:r w:rsidRPr="005C53F5">
        <w:rPr>
          <w:rFonts w:ascii="Times New Roman" w:eastAsia="Calibri" w:hAnsi="Times New Roman" w:cs="Times New Roman"/>
          <w:b/>
          <w:i/>
          <w:sz w:val="24"/>
          <w:szCs w:val="24"/>
          <w:lang w:val="en-US"/>
        </w:rPr>
        <w:t>Poor</w:t>
      </w:r>
      <w:r w:rsidRPr="005C53F5">
        <w:rPr>
          <w:rFonts w:ascii="Times New Roman" w:eastAsia="Calibri" w:hAnsi="Times New Roman" w:cs="Times New Roman"/>
          <w:b/>
          <w:i/>
          <w:sz w:val="24"/>
          <w:szCs w:val="24"/>
        </w:rPr>
        <w:t>’</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место нахождения – 55 </w:t>
      </w:r>
      <w:r w:rsidRPr="005C53F5">
        <w:rPr>
          <w:rFonts w:ascii="Times New Roman" w:eastAsia="Calibri" w:hAnsi="Times New Roman" w:cs="Times New Roman"/>
          <w:b/>
          <w:i/>
          <w:sz w:val="24"/>
          <w:szCs w:val="24"/>
          <w:lang w:val="en-US"/>
        </w:rPr>
        <w:t>Water</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Street</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New</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York</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NY</w:t>
      </w:r>
      <w:r w:rsidRPr="005C53F5">
        <w:rPr>
          <w:rFonts w:ascii="Times New Roman" w:eastAsia="Calibri" w:hAnsi="Times New Roman" w:cs="Times New Roman"/>
          <w:b/>
          <w:i/>
          <w:sz w:val="24"/>
          <w:szCs w:val="24"/>
        </w:rPr>
        <w:t xml:space="preserve">, United States; </w:t>
      </w:r>
    </w:p>
    <w:p w14:paraId="2090B2FC"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14:paraId="6A2F27FD" w14:textId="77777777" w:rsidR="000169E4" w:rsidRPr="005C53F5" w:rsidRDefault="000169E4"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информация о методике присвоения кредитного рейтинга размещена (опубликована) в информационно-телекоммуникационной сети «Интернет» в свободном доступе по адресу www.standardandpoors.ru;</w:t>
      </w:r>
    </w:p>
    <w:p w14:paraId="6E62C952" w14:textId="2E1E08D3" w:rsidR="00D87B7D"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sz w:val="24"/>
          <w:szCs w:val="24"/>
        </w:rPr>
        <w:t>отсутствуют;</w:t>
      </w:r>
    </w:p>
    <w:p w14:paraId="152F898F" w14:textId="77777777" w:rsidR="000169E4" w:rsidRPr="005C53F5" w:rsidRDefault="000169E4"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Pr="005C53F5">
        <w:rPr>
          <w:rFonts w:ascii="Times New Roman" w:eastAsia="Calibri" w:hAnsi="Times New Roman" w:cs="Times New Roman"/>
          <w:b/>
          <w:i/>
          <w:sz w:val="24"/>
          <w:szCs w:val="24"/>
        </w:rPr>
        <w:t xml:space="preserve">еврооблигации </w:t>
      </w:r>
      <w:r w:rsidRPr="005C53F5">
        <w:rPr>
          <w:rFonts w:ascii="Times New Roman" w:eastAsia="Calibri" w:hAnsi="Times New Roman" w:cs="Times New Roman"/>
          <w:b/>
          <w:bCs/>
          <w:i/>
          <w:iCs/>
          <w:sz w:val="24"/>
          <w:szCs w:val="24"/>
        </w:rPr>
        <w:t xml:space="preserve">Республики </w:t>
      </w:r>
      <w:r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5871B486" w14:textId="24293A80" w:rsidR="005534CF"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вид, категория (тип), серия, форма и иные идентификационные признаки ценных бумаг:</w:t>
      </w:r>
      <w:r w:rsidR="00C76604" w:rsidRPr="005C53F5">
        <w:rPr>
          <w:rFonts w:ascii="Times New Roman" w:eastAsia="Calibri" w:hAnsi="Times New Roman" w:cs="Times New Roman"/>
          <w:sz w:val="24"/>
          <w:szCs w:val="24"/>
        </w:rPr>
        <w:t xml:space="preserve"> </w:t>
      </w:r>
      <w:r w:rsidR="005534CF" w:rsidRPr="005C53F5">
        <w:rPr>
          <w:rFonts w:ascii="Times New Roman" w:eastAsia="Calibri" w:hAnsi="Times New Roman" w:cs="Times New Roman"/>
          <w:b/>
          <w:i/>
          <w:sz w:val="24"/>
          <w:szCs w:val="24"/>
        </w:rPr>
        <w:t>купонные документарные именные ноты по правилу 144А /</w:t>
      </w:r>
      <w:r w:rsidR="00C76604" w:rsidRPr="005C53F5">
        <w:rPr>
          <w:rFonts w:ascii="Times New Roman" w:eastAsia="Calibri" w:hAnsi="Times New Roman" w:cs="Times New Roman"/>
          <w:b/>
          <w:i/>
          <w:sz w:val="24"/>
          <w:szCs w:val="24"/>
        </w:rPr>
        <w:t xml:space="preserve"> </w:t>
      </w:r>
      <w:r w:rsidR="005534CF" w:rsidRPr="005C53F5">
        <w:rPr>
          <w:rFonts w:ascii="Times New Roman" w:eastAsia="Calibri" w:hAnsi="Times New Roman" w:cs="Times New Roman"/>
          <w:b/>
          <w:i/>
          <w:sz w:val="24"/>
          <w:szCs w:val="24"/>
        </w:rPr>
        <w:t>Постановлению S номинальной стоимостью 1000 EUR каждая, размещенные двумя траншами</w:t>
      </w:r>
      <w:r w:rsidR="005534CF" w:rsidRPr="005C53F5">
        <w:t xml:space="preserve"> </w:t>
      </w:r>
      <w:r w:rsidR="005534CF" w:rsidRPr="005C53F5">
        <w:rPr>
          <w:rFonts w:ascii="Times New Roman" w:eastAsia="Calibri" w:hAnsi="Times New Roman" w:cs="Times New Roman"/>
          <w:b/>
          <w:i/>
          <w:sz w:val="24"/>
          <w:szCs w:val="24"/>
        </w:rPr>
        <w:t>05 ноября 2018 года:</w:t>
      </w:r>
    </w:p>
    <w:p w14:paraId="1D274D0D" w14:textId="77777777" w:rsidR="005534CF" w:rsidRPr="005C53F5" w:rsidRDefault="005534CF"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на сумму 525 млн EUR под ставку 1,55% годовых с погашением 09 ноября 2023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XS1907130246, общий код: 190713024;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 ISIN: </w:t>
      </w:r>
      <w:r w:rsidRPr="005C53F5">
        <w:rPr>
          <w:rFonts w:ascii="Times New Roman" w:eastAsia="Calibri" w:hAnsi="Times New Roman" w:cs="Times New Roman"/>
          <w:b/>
          <w:i/>
          <w:sz w:val="24"/>
          <w:szCs w:val="24"/>
          <w:lang w:val="en-US"/>
        </w:rPr>
        <w:t>XS</w:t>
      </w:r>
      <w:r w:rsidRPr="005C53F5">
        <w:rPr>
          <w:rFonts w:ascii="Times New Roman" w:eastAsia="Calibri" w:hAnsi="Times New Roman" w:cs="Times New Roman"/>
          <w:b/>
          <w:i/>
          <w:sz w:val="24"/>
          <w:szCs w:val="24"/>
        </w:rPr>
        <w:t>1907138900, общий код: 190713890,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неприменимо);</w:t>
      </w:r>
    </w:p>
    <w:p w14:paraId="6F453B04" w14:textId="2336C63B" w:rsidR="00AB37BA" w:rsidRPr="005C53F5" w:rsidRDefault="005534CF"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sz w:val="24"/>
          <w:szCs w:val="24"/>
        </w:rPr>
        <w:t>на сумму 525 млн EUR под ставку 2,375% годовых с погашением 09 ноября 2028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XS1907118335, общий код: 190711833;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 ISIN: </w:t>
      </w:r>
      <w:r w:rsidRPr="005C53F5">
        <w:rPr>
          <w:rFonts w:ascii="Times New Roman" w:eastAsia="Calibri" w:hAnsi="Times New Roman" w:cs="Times New Roman"/>
          <w:b/>
          <w:i/>
          <w:sz w:val="24"/>
          <w:szCs w:val="24"/>
          <w:lang w:val="en-US"/>
        </w:rPr>
        <w:t>XS</w:t>
      </w:r>
      <w:r w:rsidRPr="005C53F5">
        <w:rPr>
          <w:rFonts w:ascii="Times New Roman" w:eastAsia="Calibri" w:hAnsi="Times New Roman" w:cs="Times New Roman"/>
          <w:b/>
          <w:i/>
          <w:sz w:val="24"/>
          <w:szCs w:val="24"/>
        </w:rPr>
        <w:t>1901845526, общий код: 190184552,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неприменимо);</w:t>
      </w:r>
    </w:p>
    <w:p w14:paraId="79496F23" w14:textId="61FC3925"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 xml:space="preserve">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 </w:t>
      </w:r>
      <w:r w:rsidRPr="005C53F5">
        <w:rPr>
          <w:rFonts w:ascii="Times New Roman" w:eastAsia="Calibri" w:hAnsi="Times New Roman" w:cs="Times New Roman"/>
          <w:b/>
          <w:bCs/>
          <w:i/>
          <w:iCs/>
          <w:sz w:val="24"/>
          <w:szCs w:val="24"/>
        </w:rPr>
        <w:t>еврооблигации Республики Казахстан не имеют государственный регистрационный номер (идентификационный номер), присвоенный в соответствии с законодательством Российской Федерации;</w:t>
      </w:r>
    </w:p>
    <w:p w14:paraId="11399943" w14:textId="2070EB03"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рейтинг эмиссии на уровне долгосрочного суверенного кредитного рейтинга эмитента в иностранной валюте – «BBB»;</w:t>
      </w:r>
    </w:p>
    <w:p w14:paraId="69B96971" w14:textId="43FF3129"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 xml:space="preserve">в </w:t>
      </w:r>
      <w:r w:rsidR="00C76604" w:rsidRPr="005C53F5">
        <w:rPr>
          <w:rFonts w:ascii="Times New Roman" w:eastAsia="Calibri" w:hAnsi="Times New Roman" w:cs="Times New Roman"/>
          <w:b/>
          <w:bCs/>
          <w:i/>
          <w:iCs/>
          <w:sz w:val="24"/>
          <w:szCs w:val="24"/>
        </w:rPr>
        <w:t>ноябре</w:t>
      </w:r>
      <w:r w:rsidRPr="005C53F5">
        <w:rPr>
          <w:rFonts w:ascii="Times New Roman" w:eastAsia="Calibri" w:hAnsi="Times New Roman" w:cs="Times New Roman"/>
          <w:b/>
          <w:bCs/>
          <w:i/>
          <w:iCs/>
          <w:sz w:val="24"/>
          <w:szCs w:val="24"/>
        </w:rPr>
        <w:t xml:space="preserve"> 2018 года международное рейтинговое агентство Fitch Ratings присвоило еврооблигациям Республики Казахстан, эмитированным в </w:t>
      </w:r>
      <w:r w:rsidR="00C76604" w:rsidRPr="005C53F5">
        <w:rPr>
          <w:rFonts w:ascii="Times New Roman" w:eastAsia="Calibri" w:hAnsi="Times New Roman" w:cs="Times New Roman"/>
          <w:b/>
          <w:bCs/>
          <w:i/>
          <w:iCs/>
          <w:sz w:val="24"/>
          <w:szCs w:val="24"/>
        </w:rPr>
        <w:t xml:space="preserve">ноябре </w:t>
      </w:r>
      <w:r w:rsidRPr="005C53F5">
        <w:rPr>
          <w:rFonts w:ascii="Times New Roman" w:eastAsia="Calibri" w:hAnsi="Times New Roman" w:cs="Times New Roman"/>
          <w:b/>
          <w:bCs/>
          <w:i/>
          <w:iCs/>
          <w:sz w:val="24"/>
          <w:szCs w:val="24"/>
        </w:rPr>
        <w:t xml:space="preserve">2018 года </w:t>
      </w:r>
      <w:r w:rsidR="00A5742D" w:rsidRPr="005C53F5">
        <w:rPr>
          <w:rFonts w:ascii="Times New Roman" w:eastAsia="Calibri" w:hAnsi="Times New Roman" w:cs="Times New Roman"/>
          <w:b/>
          <w:bCs/>
          <w:i/>
          <w:iCs/>
          <w:sz w:val="24"/>
          <w:szCs w:val="24"/>
        </w:rPr>
        <w:t>двумя траншами на</w:t>
      </w:r>
      <w:r w:rsidR="00C76604" w:rsidRPr="005C53F5">
        <w:rPr>
          <w:rFonts w:ascii="Times New Roman" w:eastAsia="Calibri" w:hAnsi="Times New Roman" w:cs="Times New Roman"/>
          <w:b/>
          <w:bCs/>
          <w:i/>
          <w:iCs/>
          <w:sz w:val="24"/>
          <w:szCs w:val="24"/>
        </w:rPr>
        <w:t xml:space="preserve"> общую</w:t>
      </w:r>
      <w:r w:rsidR="00A5742D" w:rsidRPr="005C53F5">
        <w:rPr>
          <w:rFonts w:ascii="Times New Roman" w:eastAsia="Calibri" w:hAnsi="Times New Roman" w:cs="Times New Roman"/>
          <w:b/>
          <w:bCs/>
          <w:i/>
          <w:iCs/>
          <w:sz w:val="24"/>
          <w:szCs w:val="24"/>
        </w:rPr>
        <w:t xml:space="preserve"> сумму </w:t>
      </w:r>
      <w:r w:rsidR="00C76604" w:rsidRPr="005C53F5">
        <w:rPr>
          <w:rFonts w:ascii="Times New Roman" w:eastAsia="Calibri" w:hAnsi="Times New Roman" w:cs="Times New Roman"/>
          <w:b/>
          <w:bCs/>
          <w:i/>
          <w:iCs/>
          <w:sz w:val="24"/>
          <w:szCs w:val="24"/>
        </w:rPr>
        <w:t xml:space="preserve">1050 млн </w:t>
      </w:r>
      <w:r w:rsidR="00C76604" w:rsidRPr="005C53F5">
        <w:rPr>
          <w:rFonts w:ascii="Times New Roman" w:eastAsia="Calibri" w:hAnsi="Times New Roman" w:cs="Times New Roman"/>
          <w:b/>
          <w:i/>
          <w:sz w:val="24"/>
          <w:szCs w:val="24"/>
        </w:rPr>
        <w:t>EUR</w:t>
      </w:r>
      <w:r w:rsidR="00C76604" w:rsidRPr="005C53F5">
        <w:rPr>
          <w:rFonts w:ascii="Times New Roman" w:eastAsia="Calibri" w:hAnsi="Times New Roman" w:cs="Times New Roman"/>
          <w:b/>
          <w:bCs/>
          <w:i/>
          <w:iCs/>
          <w:sz w:val="24"/>
          <w:szCs w:val="24"/>
        </w:rPr>
        <w:t xml:space="preserve">, </w:t>
      </w:r>
      <w:r w:rsidRPr="005C53F5">
        <w:rPr>
          <w:rFonts w:ascii="Times New Roman" w:eastAsia="Calibri" w:hAnsi="Times New Roman" w:cs="Times New Roman"/>
          <w:b/>
          <w:bCs/>
          <w:i/>
          <w:iCs/>
          <w:sz w:val="24"/>
          <w:szCs w:val="24"/>
        </w:rPr>
        <w:t>рейтинг на уровне «BBB»</w:t>
      </w:r>
      <w:r w:rsidR="00C76604" w:rsidRPr="005C53F5">
        <w:rPr>
          <w:rFonts w:ascii="Times New Roman" w:eastAsia="Calibri" w:hAnsi="Times New Roman" w:cs="Times New Roman"/>
          <w:b/>
          <w:bCs/>
          <w:i/>
          <w:iCs/>
          <w:sz w:val="24"/>
          <w:szCs w:val="24"/>
        </w:rPr>
        <w:t>,</w:t>
      </w:r>
      <w:r w:rsidR="00C76604" w:rsidRPr="005C53F5">
        <w:rPr>
          <w:rFonts w:ascii="Times New Roman" w:eastAsia="Calibri" w:hAnsi="Times New Roman" w:cs="Times New Roman"/>
          <w:b/>
          <w:i/>
          <w:sz w:val="24"/>
          <w:szCs w:val="24"/>
        </w:rPr>
        <w:t xml:space="preserve"> </w:t>
      </w:r>
      <w:r w:rsidR="00C76604" w:rsidRPr="005C53F5">
        <w:rPr>
          <w:rFonts w:ascii="Times New Roman" w:eastAsia="Calibri" w:hAnsi="Times New Roman" w:cs="Times New Roman"/>
          <w:b/>
          <w:bCs/>
          <w:i/>
          <w:iCs/>
          <w:sz w:val="24"/>
          <w:szCs w:val="24"/>
        </w:rPr>
        <w:t xml:space="preserve">прогноз «стабильный». </w:t>
      </w:r>
      <w:r w:rsidR="00C76604" w:rsidRPr="005C53F5">
        <w:rPr>
          <w:rFonts w:ascii="Times New Roman" w:eastAsia="Calibri" w:hAnsi="Times New Roman" w:cs="Times New Roman"/>
          <w:b/>
          <w:i/>
          <w:sz w:val="24"/>
          <w:szCs w:val="24"/>
        </w:rPr>
        <w:t>22 марта 2019 года, 6 сентября 2019 года и 21 февраля 2020 года агентство Fitch Ratings подтвердило кредитный рейтинг на уровне «BBB», прогноз «стабильный»</w:t>
      </w:r>
      <w:r w:rsidR="00C76604" w:rsidRPr="005C53F5">
        <w:rPr>
          <w:rFonts w:ascii="Times New Roman" w:eastAsia="Calibri" w:hAnsi="Times New Roman" w:cs="Times New Roman"/>
          <w:b/>
          <w:bCs/>
          <w:i/>
          <w:iCs/>
          <w:sz w:val="24"/>
          <w:szCs w:val="24"/>
        </w:rPr>
        <w:t>;</w:t>
      </w:r>
    </w:p>
    <w:p w14:paraId="090F068B"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14:paraId="207ACAF4" w14:textId="77777777" w:rsidR="000169E4" w:rsidRPr="005C53F5" w:rsidRDefault="000169E4" w:rsidP="00057BE5">
      <w:pPr>
        <w:spacing w:after="0" w:line="240" w:lineRule="auto"/>
        <w:ind w:firstLine="709"/>
        <w:jc w:val="both"/>
        <w:rPr>
          <w:rFonts w:ascii="Times New Roman" w:eastAsia="Calibri" w:hAnsi="Times New Roman" w:cs="Times New Roman"/>
          <w:i/>
          <w:iCs/>
          <w:sz w:val="24"/>
          <w:szCs w:val="24"/>
        </w:rPr>
      </w:pPr>
      <w:r w:rsidRPr="005C53F5">
        <w:rPr>
          <w:rFonts w:ascii="Times New Roman" w:eastAsia="Calibri" w:hAnsi="Times New Roman" w:cs="Times New Roman"/>
          <w:b/>
          <w:i/>
          <w:iCs/>
          <w:sz w:val="24"/>
          <w:szCs w:val="24"/>
        </w:rPr>
        <w:t xml:space="preserve">полное фирменное наименование – Fitch Ratings Ltd.; сокращенное фирменное наименование – </w:t>
      </w:r>
      <w:r w:rsidRPr="005C53F5">
        <w:rPr>
          <w:rFonts w:ascii="Times New Roman" w:eastAsia="Calibri" w:hAnsi="Times New Roman" w:cs="Times New Roman"/>
          <w:b/>
          <w:i/>
          <w:iCs/>
          <w:sz w:val="24"/>
          <w:szCs w:val="24"/>
          <w:lang w:val="en-US"/>
        </w:rPr>
        <w:t>Fitch</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Ratings</w:t>
      </w:r>
      <w:r w:rsidRPr="005C53F5">
        <w:rPr>
          <w:rFonts w:ascii="Times New Roman" w:eastAsia="Calibri" w:hAnsi="Times New Roman" w:cs="Times New Roman"/>
          <w:b/>
          <w:i/>
          <w:iCs/>
          <w:sz w:val="24"/>
          <w:szCs w:val="24"/>
        </w:rPr>
        <w:t xml:space="preserve">; место нахождения – 33 </w:t>
      </w:r>
      <w:r w:rsidRPr="005C53F5">
        <w:rPr>
          <w:rFonts w:ascii="Times New Roman" w:eastAsia="Calibri" w:hAnsi="Times New Roman" w:cs="Times New Roman"/>
          <w:b/>
          <w:i/>
          <w:iCs/>
          <w:sz w:val="24"/>
          <w:szCs w:val="24"/>
          <w:lang w:val="en-US"/>
        </w:rPr>
        <w:t>Whitehall</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Street</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New</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York</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NY</w:t>
      </w:r>
      <w:r w:rsidRPr="005C53F5">
        <w:rPr>
          <w:rFonts w:ascii="Times New Roman" w:eastAsia="Calibri" w:hAnsi="Times New Roman" w:cs="Times New Roman"/>
          <w:b/>
          <w:i/>
          <w:iCs/>
          <w:sz w:val="24"/>
          <w:szCs w:val="24"/>
        </w:rPr>
        <w:t xml:space="preserve"> 10004, United States;</w:t>
      </w:r>
    </w:p>
    <w:p w14:paraId="21C8BEEB"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14:paraId="2D5113C4"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iCs/>
          <w:sz w:val="24"/>
          <w:szCs w:val="24"/>
        </w:rPr>
        <w:t>информация о методике присвоения кредитного рейтинга размещена (опубликована) в информационно- телекоммуникационной сети «Интернет» в свободном доступе по адресу www.fitchratings.com</w:t>
      </w:r>
      <w:r w:rsidRPr="005C53F5">
        <w:rPr>
          <w:rFonts w:ascii="Times New Roman" w:eastAsia="Calibri" w:hAnsi="Times New Roman" w:cs="Times New Roman"/>
          <w:sz w:val="24"/>
          <w:szCs w:val="24"/>
        </w:rPr>
        <w:t>;</w:t>
      </w:r>
    </w:p>
    <w:p w14:paraId="1A700A3E" w14:textId="77777777" w:rsidR="000169E4" w:rsidRPr="005C53F5" w:rsidRDefault="000169E4" w:rsidP="00057BE5">
      <w:pPr>
        <w:spacing w:after="0" w:line="240" w:lineRule="auto"/>
        <w:ind w:firstLine="708"/>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sz w:val="24"/>
          <w:szCs w:val="24"/>
        </w:rPr>
        <w:t>отсутствуют;</w:t>
      </w:r>
    </w:p>
    <w:p w14:paraId="2CDF4E09" w14:textId="77777777" w:rsidR="000169E4" w:rsidRPr="005C53F5" w:rsidRDefault="000169E4"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Pr="005C53F5">
        <w:rPr>
          <w:rFonts w:ascii="Times New Roman" w:eastAsia="Calibri" w:hAnsi="Times New Roman" w:cs="Times New Roman"/>
          <w:b/>
          <w:i/>
          <w:sz w:val="24"/>
          <w:szCs w:val="24"/>
        </w:rPr>
        <w:t xml:space="preserve">еврооблигации </w:t>
      </w:r>
      <w:r w:rsidRPr="005C53F5">
        <w:rPr>
          <w:rFonts w:ascii="Times New Roman" w:eastAsia="Calibri" w:hAnsi="Times New Roman" w:cs="Times New Roman"/>
          <w:b/>
          <w:bCs/>
          <w:i/>
          <w:iCs/>
          <w:sz w:val="24"/>
          <w:szCs w:val="24"/>
        </w:rPr>
        <w:t xml:space="preserve">Республики </w:t>
      </w:r>
      <w:r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5BCBD159" w14:textId="1DC6D59D" w:rsidR="004975BE"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вид, категория (тип), серия, форма и иные идентификационные признаки ценных бумаг:</w:t>
      </w:r>
      <w:r w:rsidR="00A73993" w:rsidRPr="005C53F5">
        <w:rPr>
          <w:rFonts w:ascii="Times New Roman" w:eastAsia="Calibri" w:hAnsi="Times New Roman" w:cs="Times New Roman"/>
          <w:sz w:val="24"/>
          <w:szCs w:val="24"/>
        </w:rPr>
        <w:t xml:space="preserve"> </w:t>
      </w:r>
      <w:r w:rsidR="004975BE" w:rsidRPr="005C53F5">
        <w:rPr>
          <w:rFonts w:ascii="Times New Roman" w:eastAsia="Calibri" w:hAnsi="Times New Roman" w:cs="Times New Roman"/>
          <w:b/>
          <w:i/>
          <w:sz w:val="24"/>
          <w:szCs w:val="24"/>
        </w:rPr>
        <w:t>купонные документарные именные ноты по правилу 144А /Постановлению S номинальной стоимостью 1000 EUR каждая, размещенные двумя траншами</w:t>
      </w:r>
      <w:r w:rsidR="004975BE" w:rsidRPr="005C53F5">
        <w:t xml:space="preserve"> </w:t>
      </w:r>
      <w:r w:rsidR="004975BE" w:rsidRPr="005C53F5">
        <w:rPr>
          <w:rFonts w:ascii="Times New Roman" w:eastAsia="Calibri" w:hAnsi="Times New Roman" w:cs="Times New Roman"/>
          <w:b/>
          <w:i/>
          <w:sz w:val="24"/>
          <w:szCs w:val="24"/>
        </w:rPr>
        <w:t>05 ноября 2018 года:</w:t>
      </w:r>
    </w:p>
    <w:p w14:paraId="352B1C93" w14:textId="77777777" w:rsidR="004975BE" w:rsidRPr="005C53F5" w:rsidRDefault="004975BE"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на сумму 525 млн EUR под ставку 1,55% годовых с погашением 09 ноября 2023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XS1907130246, общий код: 190713024;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 ISIN: </w:t>
      </w:r>
      <w:r w:rsidRPr="005C53F5">
        <w:rPr>
          <w:rFonts w:ascii="Times New Roman" w:eastAsia="Calibri" w:hAnsi="Times New Roman" w:cs="Times New Roman"/>
          <w:b/>
          <w:i/>
          <w:sz w:val="24"/>
          <w:szCs w:val="24"/>
          <w:lang w:val="en-US"/>
        </w:rPr>
        <w:t>XS</w:t>
      </w:r>
      <w:r w:rsidRPr="005C53F5">
        <w:rPr>
          <w:rFonts w:ascii="Times New Roman" w:eastAsia="Calibri" w:hAnsi="Times New Roman" w:cs="Times New Roman"/>
          <w:b/>
          <w:i/>
          <w:sz w:val="24"/>
          <w:szCs w:val="24"/>
        </w:rPr>
        <w:t>1907138900, общий код: 190713890,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неприменимо);</w:t>
      </w:r>
    </w:p>
    <w:p w14:paraId="3F6B02D1" w14:textId="333E5641" w:rsidR="00AB37BA" w:rsidRPr="005C53F5" w:rsidRDefault="004975BE"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sz w:val="24"/>
          <w:szCs w:val="24"/>
        </w:rPr>
        <w:t>на сумму 525 млн EUR под ставку 2,375% годовых с погашением 09 ноября 2028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 ISIN: XS1907118335, общий код: 190711833; ноты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 ISIN: </w:t>
      </w:r>
      <w:r w:rsidRPr="005C53F5">
        <w:rPr>
          <w:rFonts w:ascii="Times New Roman" w:eastAsia="Calibri" w:hAnsi="Times New Roman" w:cs="Times New Roman"/>
          <w:b/>
          <w:i/>
          <w:sz w:val="24"/>
          <w:szCs w:val="24"/>
          <w:lang w:val="en-US"/>
        </w:rPr>
        <w:t>XS</w:t>
      </w:r>
      <w:r w:rsidRPr="005C53F5">
        <w:rPr>
          <w:rFonts w:ascii="Times New Roman" w:eastAsia="Calibri" w:hAnsi="Times New Roman" w:cs="Times New Roman"/>
          <w:b/>
          <w:i/>
          <w:sz w:val="24"/>
          <w:szCs w:val="24"/>
        </w:rPr>
        <w:t>1901845526, общий код: 190184552, CUSIP (</w:t>
      </w:r>
      <w:r w:rsidRPr="005C53F5">
        <w:rPr>
          <w:rFonts w:ascii="Times New Roman" w:eastAsia="Calibri" w:hAnsi="Times New Roman" w:cs="Times New Roman"/>
          <w:b/>
          <w:i/>
          <w:sz w:val="24"/>
          <w:szCs w:val="24"/>
          <w:lang w:val="en-US"/>
        </w:rPr>
        <w:t>Rule</w:t>
      </w:r>
      <w:r w:rsidRPr="005C53F5">
        <w:rPr>
          <w:rFonts w:ascii="Times New Roman" w:eastAsia="Calibri" w:hAnsi="Times New Roman" w:cs="Times New Roman"/>
          <w:b/>
          <w:i/>
          <w:sz w:val="24"/>
          <w:szCs w:val="24"/>
        </w:rPr>
        <w:t xml:space="preserve"> 144</w:t>
      </w:r>
      <w:r w:rsidRPr="005C53F5">
        <w:rPr>
          <w:rFonts w:ascii="Times New Roman" w:eastAsia="Calibri" w:hAnsi="Times New Roman" w:cs="Times New Roman"/>
          <w:b/>
          <w:i/>
          <w:sz w:val="24"/>
          <w:szCs w:val="24"/>
          <w:lang w:val="en-US"/>
        </w:rPr>
        <w:t>A</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неприменимо);</w:t>
      </w:r>
    </w:p>
    <w:p w14:paraId="1290169E" w14:textId="02D68AF0"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 xml:space="preserve">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 </w:t>
      </w:r>
      <w:r w:rsidRPr="005C53F5">
        <w:rPr>
          <w:rFonts w:ascii="Times New Roman" w:eastAsia="Calibri" w:hAnsi="Times New Roman" w:cs="Times New Roman"/>
          <w:b/>
          <w:bCs/>
          <w:i/>
          <w:iCs/>
          <w:sz w:val="24"/>
          <w:szCs w:val="24"/>
        </w:rPr>
        <w:t>еврооблигации Республики Казахстан не имеют государственный регистрационный номер (идентификационный номер), присвоенный в соответствии с законодательством Российской Федерации;</w:t>
      </w:r>
    </w:p>
    <w:p w14:paraId="3CC063D2" w14:textId="71C1E58C"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рейтинг эмиссии на уровне долгосрочного суверенного кредитного рейтинга эмитента в иностранной валюте – «Baa3»;</w:t>
      </w:r>
    </w:p>
    <w:p w14:paraId="3BC24083" w14:textId="0123DCCB"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 xml:space="preserve">в </w:t>
      </w:r>
      <w:r w:rsidR="00A73993" w:rsidRPr="005C53F5">
        <w:rPr>
          <w:rFonts w:ascii="Times New Roman" w:eastAsia="Calibri" w:hAnsi="Times New Roman" w:cs="Times New Roman"/>
          <w:b/>
          <w:bCs/>
          <w:i/>
          <w:iCs/>
          <w:sz w:val="24"/>
          <w:szCs w:val="24"/>
        </w:rPr>
        <w:t xml:space="preserve">октябре </w:t>
      </w:r>
      <w:r w:rsidRPr="005C53F5">
        <w:rPr>
          <w:rFonts w:ascii="Times New Roman" w:eastAsia="Calibri" w:hAnsi="Times New Roman" w:cs="Times New Roman"/>
          <w:b/>
          <w:bCs/>
          <w:i/>
          <w:iCs/>
          <w:sz w:val="24"/>
          <w:szCs w:val="24"/>
        </w:rPr>
        <w:t>2018 года международное рейтинговое агентство</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bCs/>
          <w:i/>
          <w:iCs/>
          <w:sz w:val="24"/>
          <w:szCs w:val="24"/>
        </w:rPr>
        <w:t xml:space="preserve">Moody's присвоило еврооблигациям Республики Казахстан, эмитированным в </w:t>
      </w:r>
      <w:r w:rsidR="00A73993" w:rsidRPr="005C53F5">
        <w:rPr>
          <w:rFonts w:ascii="Times New Roman" w:eastAsia="Calibri" w:hAnsi="Times New Roman" w:cs="Times New Roman"/>
          <w:b/>
          <w:bCs/>
          <w:i/>
          <w:iCs/>
          <w:sz w:val="24"/>
          <w:szCs w:val="24"/>
        </w:rPr>
        <w:t>ноябре</w:t>
      </w:r>
      <w:r w:rsidRPr="005C53F5">
        <w:rPr>
          <w:rFonts w:ascii="Times New Roman" w:eastAsia="Calibri" w:hAnsi="Times New Roman" w:cs="Times New Roman"/>
          <w:b/>
          <w:bCs/>
          <w:i/>
          <w:iCs/>
          <w:sz w:val="24"/>
          <w:szCs w:val="24"/>
        </w:rPr>
        <w:t xml:space="preserve"> 2018 года</w:t>
      </w:r>
      <w:r w:rsidR="00A5742D" w:rsidRPr="005C53F5">
        <w:rPr>
          <w:rFonts w:ascii="Times New Roman" w:eastAsia="Calibri" w:hAnsi="Times New Roman" w:cs="Times New Roman"/>
          <w:b/>
          <w:bCs/>
          <w:i/>
          <w:iCs/>
          <w:sz w:val="24"/>
          <w:szCs w:val="24"/>
        </w:rPr>
        <w:t xml:space="preserve"> двумя траншами</w:t>
      </w:r>
      <w:r w:rsidRPr="005C53F5">
        <w:rPr>
          <w:rFonts w:ascii="Times New Roman" w:eastAsia="Calibri" w:hAnsi="Times New Roman" w:cs="Times New Roman"/>
          <w:b/>
          <w:bCs/>
          <w:i/>
          <w:iCs/>
          <w:sz w:val="24"/>
          <w:szCs w:val="24"/>
        </w:rPr>
        <w:t xml:space="preserve"> на </w:t>
      </w:r>
      <w:r w:rsidR="00A73993" w:rsidRPr="005C53F5">
        <w:rPr>
          <w:rFonts w:ascii="Times New Roman" w:eastAsia="Calibri" w:hAnsi="Times New Roman" w:cs="Times New Roman"/>
          <w:b/>
          <w:bCs/>
          <w:i/>
          <w:iCs/>
          <w:sz w:val="24"/>
          <w:szCs w:val="24"/>
        </w:rPr>
        <w:t xml:space="preserve">общую </w:t>
      </w:r>
      <w:r w:rsidRPr="005C53F5">
        <w:rPr>
          <w:rFonts w:ascii="Times New Roman" w:eastAsia="Calibri" w:hAnsi="Times New Roman" w:cs="Times New Roman"/>
          <w:b/>
          <w:bCs/>
          <w:i/>
          <w:iCs/>
          <w:sz w:val="24"/>
          <w:szCs w:val="24"/>
        </w:rPr>
        <w:t xml:space="preserve">сумму </w:t>
      </w:r>
      <w:r w:rsidR="00A73993" w:rsidRPr="005C53F5">
        <w:rPr>
          <w:rFonts w:ascii="Times New Roman" w:eastAsia="Calibri" w:hAnsi="Times New Roman" w:cs="Times New Roman"/>
          <w:b/>
          <w:bCs/>
          <w:i/>
          <w:iCs/>
          <w:sz w:val="24"/>
          <w:szCs w:val="24"/>
        </w:rPr>
        <w:t xml:space="preserve">1050 </w:t>
      </w:r>
      <w:r w:rsidR="00A5742D" w:rsidRPr="005C53F5">
        <w:rPr>
          <w:rFonts w:ascii="Times New Roman" w:eastAsia="Calibri" w:hAnsi="Times New Roman" w:cs="Times New Roman"/>
          <w:b/>
          <w:bCs/>
          <w:i/>
          <w:iCs/>
          <w:sz w:val="24"/>
          <w:szCs w:val="24"/>
        </w:rPr>
        <w:t xml:space="preserve">млн </w:t>
      </w:r>
      <w:r w:rsidR="00A73993" w:rsidRPr="005C53F5">
        <w:rPr>
          <w:rFonts w:ascii="Times New Roman" w:eastAsia="Calibri" w:hAnsi="Times New Roman" w:cs="Times New Roman"/>
          <w:b/>
          <w:i/>
          <w:sz w:val="24"/>
          <w:szCs w:val="24"/>
        </w:rPr>
        <w:t>EUR</w:t>
      </w:r>
      <w:r w:rsidRPr="005C53F5">
        <w:rPr>
          <w:rFonts w:ascii="Times New Roman" w:eastAsia="Calibri" w:hAnsi="Times New Roman" w:cs="Times New Roman"/>
          <w:b/>
          <w:bCs/>
          <w:i/>
          <w:iCs/>
          <w:sz w:val="24"/>
          <w:szCs w:val="24"/>
        </w:rPr>
        <w:t>, рейтинг на уровне «Baa3»</w:t>
      </w:r>
      <w:r w:rsidR="00A73993" w:rsidRPr="005C53F5">
        <w:rPr>
          <w:rFonts w:ascii="Times New Roman" w:eastAsia="Calibri" w:hAnsi="Times New Roman" w:cs="Times New Roman"/>
          <w:b/>
          <w:i/>
          <w:sz w:val="24"/>
          <w:szCs w:val="24"/>
        </w:rPr>
        <w:t xml:space="preserve"> «стабильный». 22 августа 2019 года рейтинг был установлен на уровне «Baa3</w:t>
      </w:r>
      <w:r w:rsidR="005943EB" w:rsidRPr="005C53F5">
        <w:rPr>
          <w:rFonts w:ascii="Times New Roman" w:eastAsia="Calibri" w:hAnsi="Times New Roman" w:cs="Times New Roman"/>
          <w:b/>
          <w:i/>
          <w:sz w:val="24"/>
          <w:szCs w:val="24"/>
        </w:rPr>
        <w:t>»</w:t>
      </w:r>
      <w:r w:rsidR="00A73993" w:rsidRPr="005C53F5">
        <w:rPr>
          <w:rFonts w:ascii="Times New Roman" w:eastAsia="Calibri" w:hAnsi="Times New Roman" w:cs="Times New Roman"/>
          <w:b/>
          <w:i/>
          <w:sz w:val="24"/>
          <w:szCs w:val="24"/>
        </w:rPr>
        <w:t>, прогноз «позитивный».</w:t>
      </w:r>
    </w:p>
    <w:p w14:paraId="2631B789"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14:paraId="5C5AC35B" w14:textId="77777777" w:rsidR="000169E4" w:rsidRPr="005C53F5" w:rsidRDefault="000169E4"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полное фирменное наименование – Moody’s Investors Service Ltd.; сокращенное фирменное наименование – Moody’s; место нахождения – 99 Church Street, New York, NY 10007;</w:t>
      </w:r>
    </w:p>
    <w:p w14:paraId="210569EE"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14:paraId="67BD8A34" w14:textId="77777777" w:rsidR="000169E4" w:rsidRPr="005C53F5" w:rsidRDefault="000169E4"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информация о методике присвоения кредитного рейтинга размещена (опубликована) в информационно- телекоммуникационной сети «Интернет» в свободном доступе по адресу www.moodys.com;</w:t>
      </w:r>
    </w:p>
    <w:p w14:paraId="6D6BD650" w14:textId="77777777" w:rsidR="000169E4" w:rsidRPr="005C53F5" w:rsidRDefault="000169E4" w:rsidP="00057BE5">
      <w:pPr>
        <w:spacing w:after="0" w:line="240" w:lineRule="auto"/>
        <w:ind w:firstLine="708"/>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sz w:val="24"/>
          <w:szCs w:val="24"/>
        </w:rPr>
        <w:t>отсутствуют;</w:t>
      </w:r>
    </w:p>
    <w:p w14:paraId="24DCB89B" w14:textId="77777777" w:rsidR="000169E4" w:rsidRPr="005C53F5" w:rsidRDefault="000169E4"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Pr="005C53F5">
        <w:rPr>
          <w:rFonts w:ascii="Times New Roman" w:eastAsia="Calibri" w:hAnsi="Times New Roman" w:cs="Times New Roman"/>
          <w:b/>
          <w:i/>
          <w:sz w:val="24"/>
          <w:szCs w:val="24"/>
        </w:rPr>
        <w:t xml:space="preserve">еврооблигации </w:t>
      </w:r>
      <w:r w:rsidRPr="005C53F5">
        <w:rPr>
          <w:rFonts w:ascii="Times New Roman" w:eastAsia="Calibri" w:hAnsi="Times New Roman" w:cs="Times New Roman"/>
          <w:b/>
          <w:bCs/>
          <w:i/>
          <w:iCs/>
          <w:sz w:val="24"/>
          <w:szCs w:val="24"/>
        </w:rPr>
        <w:t xml:space="preserve">Республики </w:t>
      </w:r>
      <w:r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3C3B6776" w14:textId="55EA0DE9" w:rsidR="00C5388E"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вид, категория (тип), серия, форма и иные идентификационные признаки ценных бумаг:</w:t>
      </w:r>
      <w:r w:rsidR="00C74528" w:rsidRPr="005C53F5">
        <w:rPr>
          <w:rFonts w:ascii="Times New Roman" w:eastAsia="Calibri" w:hAnsi="Times New Roman" w:cs="Times New Roman"/>
          <w:sz w:val="24"/>
          <w:szCs w:val="24"/>
        </w:rPr>
        <w:t xml:space="preserve"> </w:t>
      </w:r>
      <w:r w:rsidR="00C5388E" w:rsidRPr="005C53F5">
        <w:rPr>
          <w:rFonts w:ascii="Times New Roman" w:eastAsia="Calibri" w:hAnsi="Times New Roman" w:cs="Times New Roman"/>
          <w:b/>
          <w:i/>
          <w:sz w:val="24"/>
          <w:szCs w:val="24"/>
        </w:rPr>
        <w:t>купонные документарные именные ноты по правилу 144А /</w:t>
      </w:r>
      <w:r w:rsidR="00C74528" w:rsidRPr="005C53F5">
        <w:rPr>
          <w:rFonts w:ascii="Times New Roman" w:eastAsia="Calibri" w:hAnsi="Times New Roman" w:cs="Times New Roman"/>
          <w:b/>
          <w:i/>
          <w:sz w:val="24"/>
          <w:szCs w:val="24"/>
        </w:rPr>
        <w:t xml:space="preserve"> </w:t>
      </w:r>
      <w:r w:rsidR="00C5388E" w:rsidRPr="005C53F5">
        <w:rPr>
          <w:rFonts w:ascii="Times New Roman" w:eastAsia="Calibri" w:hAnsi="Times New Roman" w:cs="Times New Roman"/>
          <w:b/>
          <w:i/>
          <w:sz w:val="24"/>
          <w:szCs w:val="24"/>
        </w:rPr>
        <w:t>Постановлению S номинальной стоимостью 1000 EUR каждая, размещенные двумя траншами 25 сентября 2019 года:</w:t>
      </w:r>
    </w:p>
    <w:p w14:paraId="4DFCEA0A" w14:textId="3C399740" w:rsidR="00C5388E" w:rsidRPr="005C53F5" w:rsidRDefault="00C5388E"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на сумму 500 млн EUR под ставку 0,6% годовых с погашением 30 сентября 2026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 ISIN: </w:t>
      </w:r>
      <w:r w:rsidR="00B90446" w:rsidRPr="005C53F5">
        <w:rPr>
          <w:rFonts w:ascii="Times New Roman" w:eastAsia="Calibri" w:hAnsi="Times New Roman" w:cs="Times New Roman"/>
          <w:b/>
          <w:i/>
          <w:sz w:val="24"/>
          <w:szCs w:val="24"/>
        </w:rPr>
        <w:t>XS2050933899</w:t>
      </w:r>
      <w:r w:rsidRPr="005C53F5">
        <w:rPr>
          <w:rFonts w:ascii="Times New Roman" w:eastAsia="Calibri" w:hAnsi="Times New Roman" w:cs="Times New Roman"/>
          <w:b/>
          <w:i/>
          <w:sz w:val="24"/>
          <w:szCs w:val="24"/>
        </w:rPr>
        <w:t xml:space="preserve">, общий код: </w:t>
      </w:r>
      <w:r w:rsidR="00B90446" w:rsidRPr="005C53F5">
        <w:rPr>
          <w:rFonts w:ascii="Times New Roman" w:eastAsia="Calibri" w:hAnsi="Times New Roman" w:cs="Times New Roman"/>
          <w:b/>
          <w:i/>
          <w:sz w:val="24"/>
          <w:szCs w:val="24"/>
        </w:rPr>
        <w:t>205093389</w:t>
      </w:r>
      <w:r w:rsidRPr="005C53F5">
        <w:rPr>
          <w:rFonts w:ascii="Times New Roman" w:eastAsia="Calibri" w:hAnsi="Times New Roman" w:cs="Times New Roman"/>
          <w:b/>
          <w:i/>
          <w:sz w:val="24"/>
          <w:szCs w:val="24"/>
        </w:rPr>
        <w:t xml:space="preserve">; ноты (Rule 144A Notes) – ISIN: </w:t>
      </w:r>
      <w:r w:rsidR="00B90446" w:rsidRPr="005C53F5">
        <w:rPr>
          <w:rFonts w:ascii="Times New Roman" w:eastAsia="Calibri" w:hAnsi="Times New Roman" w:cs="Times New Roman"/>
          <w:b/>
          <w:i/>
          <w:sz w:val="24"/>
          <w:szCs w:val="24"/>
        </w:rPr>
        <w:t>XS2053083858</w:t>
      </w:r>
      <w:r w:rsidRPr="005C53F5">
        <w:rPr>
          <w:rFonts w:ascii="Times New Roman" w:eastAsia="Calibri" w:hAnsi="Times New Roman" w:cs="Times New Roman"/>
          <w:b/>
          <w:i/>
          <w:sz w:val="24"/>
          <w:szCs w:val="24"/>
        </w:rPr>
        <w:t xml:space="preserve">, общий код: </w:t>
      </w:r>
      <w:r w:rsidR="00B90446" w:rsidRPr="005C53F5">
        <w:rPr>
          <w:rFonts w:ascii="Times New Roman" w:eastAsia="Calibri" w:hAnsi="Times New Roman" w:cs="Times New Roman"/>
          <w:b/>
          <w:i/>
          <w:sz w:val="24"/>
          <w:szCs w:val="24"/>
        </w:rPr>
        <w:t>205308385</w:t>
      </w:r>
      <w:r w:rsidRPr="005C53F5">
        <w:rPr>
          <w:rFonts w:ascii="Times New Roman" w:eastAsia="Calibri" w:hAnsi="Times New Roman" w:cs="Times New Roman"/>
          <w:b/>
          <w:i/>
          <w:sz w:val="24"/>
          <w:szCs w:val="24"/>
        </w:rPr>
        <w:t xml:space="preserve">, CUSIP (Rule 144A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неприменимо);</w:t>
      </w:r>
    </w:p>
    <w:p w14:paraId="7CBF6D90" w14:textId="693BB5C4" w:rsidR="00AB37BA" w:rsidRPr="005C53F5" w:rsidRDefault="00C5388E" w:rsidP="00057BE5">
      <w:pPr>
        <w:spacing w:after="0" w:line="240" w:lineRule="auto"/>
        <w:ind w:firstLine="708"/>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 xml:space="preserve">на сумму </w:t>
      </w:r>
      <w:r w:rsidR="004172DE" w:rsidRPr="005C53F5">
        <w:rPr>
          <w:rFonts w:ascii="Times New Roman" w:eastAsia="Calibri" w:hAnsi="Times New Roman" w:cs="Times New Roman"/>
          <w:b/>
          <w:i/>
          <w:sz w:val="24"/>
          <w:szCs w:val="24"/>
        </w:rPr>
        <w:t>650</w:t>
      </w:r>
      <w:r w:rsidRPr="005C53F5">
        <w:rPr>
          <w:rFonts w:ascii="Times New Roman" w:eastAsia="Calibri" w:hAnsi="Times New Roman" w:cs="Times New Roman"/>
          <w:b/>
          <w:i/>
          <w:sz w:val="24"/>
          <w:szCs w:val="24"/>
        </w:rPr>
        <w:t xml:space="preserve"> млн EUR под ставку </w:t>
      </w:r>
      <w:r w:rsidR="008809FF" w:rsidRPr="005C53F5">
        <w:rPr>
          <w:rFonts w:ascii="Times New Roman" w:eastAsia="Calibri" w:hAnsi="Times New Roman" w:cs="Times New Roman"/>
          <w:b/>
          <w:i/>
          <w:sz w:val="24"/>
          <w:szCs w:val="24"/>
        </w:rPr>
        <w:t>1</w:t>
      </w:r>
      <w:r w:rsidRPr="005C53F5">
        <w:rPr>
          <w:rFonts w:ascii="Times New Roman" w:eastAsia="Calibri" w:hAnsi="Times New Roman" w:cs="Times New Roman"/>
          <w:b/>
          <w:i/>
          <w:sz w:val="24"/>
          <w:szCs w:val="24"/>
        </w:rPr>
        <w:t xml:space="preserve">,5% годовых с погашением </w:t>
      </w:r>
      <w:r w:rsidR="00754DFE" w:rsidRPr="005C53F5">
        <w:rPr>
          <w:rFonts w:ascii="Times New Roman" w:eastAsia="Calibri" w:hAnsi="Times New Roman" w:cs="Times New Roman"/>
          <w:b/>
          <w:i/>
          <w:sz w:val="24"/>
          <w:szCs w:val="24"/>
        </w:rPr>
        <w:t xml:space="preserve">30 сентября 2034 года </w:t>
      </w:r>
      <w:r w:rsidRPr="005C53F5">
        <w:rPr>
          <w:rFonts w:ascii="Times New Roman" w:eastAsia="Calibri" w:hAnsi="Times New Roman" w:cs="Times New Roman"/>
          <w:b/>
          <w:i/>
          <w:sz w:val="24"/>
          <w:szCs w:val="24"/>
        </w:rPr>
        <w:t xml:space="preserve">(ноты (Reg S Notes) – ISIN: </w:t>
      </w:r>
      <w:r w:rsidR="00754DFE" w:rsidRPr="005C53F5">
        <w:rPr>
          <w:rFonts w:ascii="Times New Roman" w:eastAsia="Calibri" w:hAnsi="Times New Roman" w:cs="Times New Roman"/>
          <w:b/>
          <w:i/>
          <w:sz w:val="24"/>
          <w:szCs w:val="24"/>
        </w:rPr>
        <w:t>XS2050933626</w:t>
      </w:r>
      <w:r w:rsidRPr="005C53F5">
        <w:rPr>
          <w:rFonts w:ascii="Times New Roman" w:eastAsia="Calibri" w:hAnsi="Times New Roman" w:cs="Times New Roman"/>
          <w:b/>
          <w:i/>
          <w:sz w:val="24"/>
          <w:szCs w:val="24"/>
        </w:rPr>
        <w:t xml:space="preserve">, общий код: </w:t>
      </w:r>
      <w:r w:rsidR="00754DFE" w:rsidRPr="005C53F5">
        <w:rPr>
          <w:rFonts w:ascii="Times New Roman" w:eastAsia="Calibri" w:hAnsi="Times New Roman" w:cs="Times New Roman"/>
          <w:b/>
          <w:i/>
          <w:sz w:val="24"/>
          <w:szCs w:val="24"/>
        </w:rPr>
        <w:t>205093362</w:t>
      </w:r>
      <w:r w:rsidRPr="005C53F5">
        <w:rPr>
          <w:rFonts w:ascii="Times New Roman" w:eastAsia="Calibri" w:hAnsi="Times New Roman" w:cs="Times New Roman"/>
          <w:b/>
          <w:i/>
          <w:sz w:val="24"/>
          <w:szCs w:val="24"/>
        </w:rPr>
        <w:t xml:space="preserve">; ноты (Rule 144A Notes) – ISIN: </w:t>
      </w:r>
      <w:r w:rsidR="00754DFE" w:rsidRPr="005C53F5">
        <w:rPr>
          <w:rFonts w:ascii="Times New Roman" w:eastAsia="Calibri" w:hAnsi="Times New Roman" w:cs="Times New Roman"/>
          <w:b/>
          <w:i/>
          <w:sz w:val="24"/>
          <w:szCs w:val="24"/>
        </w:rPr>
        <w:t>XS2053084070</w:t>
      </w:r>
      <w:r w:rsidRPr="005C53F5">
        <w:rPr>
          <w:rFonts w:ascii="Times New Roman" w:eastAsia="Calibri" w:hAnsi="Times New Roman" w:cs="Times New Roman"/>
          <w:b/>
          <w:i/>
          <w:sz w:val="24"/>
          <w:szCs w:val="24"/>
        </w:rPr>
        <w:t xml:space="preserve">, общий код: </w:t>
      </w:r>
      <w:r w:rsidR="00754DFE" w:rsidRPr="005C53F5">
        <w:rPr>
          <w:rFonts w:ascii="Times New Roman" w:eastAsia="Calibri" w:hAnsi="Times New Roman" w:cs="Times New Roman"/>
          <w:b/>
          <w:i/>
          <w:sz w:val="24"/>
          <w:szCs w:val="24"/>
        </w:rPr>
        <w:t>205308407</w:t>
      </w:r>
      <w:r w:rsidRPr="005C53F5">
        <w:rPr>
          <w:rFonts w:ascii="Times New Roman" w:eastAsia="Calibri" w:hAnsi="Times New Roman" w:cs="Times New Roman"/>
          <w:b/>
          <w:i/>
          <w:sz w:val="24"/>
          <w:szCs w:val="24"/>
        </w:rPr>
        <w:t>, CUSIP (Rule 144A Notes): неприменимо);</w:t>
      </w:r>
    </w:p>
    <w:p w14:paraId="4AD18A89" w14:textId="7F7A73B8"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 xml:space="preserve">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 </w:t>
      </w:r>
      <w:r w:rsidRPr="005C53F5">
        <w:rPr>
          <w:rFonts w:ascii="Times New Roman" w:eastAsia="Calibri" w:hAnsi="Times New Roman" w:cs="Times New Roman"/>
          <w:b/>
          <w:bCs/>
          <w:i/>
          <w:iCs/>
          <w:sz w:val="24"/>
          <w:szCs w:val="24"/>
        </w:rPr>
        <w:t>еврооблигации Республики Казахстан не имеют государственный регистрационный номер (идентификационный номер), присвоенный в соответствии с законодательством Российской Федерации;</w:t>
      </w:r>
    </w:p>
    <w:p w14:paraId="63BC9165" w14:textId="278C8C2B"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рейтинг эмиссии на уровне долгосрочного суверенного кредитного рейтинга эмитента в иностранной валюте – «BBB-»;</w:t>
      </w:r>
    </w:p>
    <w:p w14:paraId="5422B18C" w14:textId="51D1E593"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w:t>
      </w:r>
      <w:r w:rsidRPr="005C53F5">
        <w:rPr>
          <w:rFonts w:ascii="Times New Roman,BoldItalic" w:hAnsi="Times New Roman,BoldItalic" w:cs="Times New Roman,BoldItalic"/>
          <w:b/>
          <w:bCs/>
          <w:i/>
          <w:iCs/>
          <w:sz w:val="24"/>
          <w:szCs w:val="24"/>
        </w:rPr>
        <w:t xml:space="preserve"> </w:t>
      </w:r>
      <w:r w:rsidR="00C74528" w:rsidRPr="005C53F5">
        <w:rPr>
          <w:rFonts w:ascii="Times New Roman" w:eastAsia="Calibri" w:hAnsi="Times New Roman" w:cs="Times New Roman"/>
          <w:b/>
          <w:bCs/>
          <w:i/>
          <w:iCs/>
          <w:sz w:val="24"/>
          <w:szCs w:val="24"/>
        </w:rPr>
        <w:t>в</w:t>
      </w:r>
      <w:r w:rsidRPr="005C53F5">
        <w:rPr>
          <w:rFonts w:ascii="Times New Roman" w:eastAsia="Calibri" w:hAnsi="Times New Roman" w:cs="Times New Roman"/>
          <w:b/>
          <w:bCs/>
          <w:i/>
          <w:iCs/>
          <w:sz w:val="24"/>
          <w:szCs w:val="24"/>
        </w:rPr>
        <w:t xml:space="preserve"> 2019</w:t>
      </w:r>
      <w:r w:rsidR="00C74528" w:rsidRPr="005C53F5">
        <w:rPr>
          <w:rFonts w:ascii="Times New Roman" w:eastAsia="Calibri" w:hAnsi="Times New Roman" w:cs="Times New Roman"/>
          <w:b/>
          <w:bCs/>
          <w:i/>
          <w:iCs/>
          <w:sz w:val="24"/>
          <w:szCs w:val="24"/>
        </w:rPr>
        <w:t xml:space="preserve"> году</w:t>
      </w:r>
      <w:r w:rsidRPr="005C53F5">
        <w:rPr>
          <w:rFonts w:ascii="Times New Roman" w:eastAsia="Calibri" w:hAnsi="Times New Roman" w:cs="Times New Roman"/>
          <w:b/>
          <w:bCs/>
          <w:i/>
          <w:iCs/>
          <w:sz w:val="24"/>
          <w:szCs w:val="24"/>
        </w:rPr>
        <w:t xml:space="preserve"> международное рейтинговое агентство Standard&amp;Poor’s присвоило еврооблигациям Республики Казахстан, эмитированным в </w:t>
      </w:r>
      <w:r w:rsidR="00C74528" w:rsidRPr="005C53F5">
        <w:rPr>
          <w:rFonts w:ascii="Times New Roman" w:eastAsia="Calibri" w:hAnsi="Times New Roman" w:cs="Times New Roman"/>
          <w:b/>
          <w:bCs/>
          <w:i/>
          <w:iCs/>
          <w:sz w:val="24"/>
          <w:szCs w:val="24"/>
        </w:rPr>
        <w:t xml:space="preserve">сентябре </w:t>
      </w:r>
      <w:r w:rsidRPr="005C53F5">
        <w:rPr>
          <w:rFonts w:ascii="Times New Roman" w:eastAsia="Calibri" w:hAnsi="Times New Roman" w:cs="Times New Roman"/>
          <w:b/>
          <w:bCs/>
          <w:i/>
          <w:iCs/>
          <w:sz w:val="24"/>
          <w:szCs w:val="24"/>
        </w:rPr>
        <w:t xml:space="preserve">2019 года </w:t>
      </w:r>
      <w:r w:rsidR="00AB37BA" w:rsidRPr="005C53F5">
        <w:rPr>
          <w:rFonts w:ascii="Times New Roman" w:eastAsia="Calibri" w:hAnsi="Times New Roman" w:cs="Times New Roman"/>
          <w:b/>
          <w:bCs/>
          <w:i/>
          <w:iCs/>
          <w:sz w:val="24"/>
          <w:szCs w:val="24"/>
        </w:rPr>
        <w:t xml:space="preserve">двумя траншами </w:t>
      </w:r>
      <w:r w:rsidRPr="005C53F5">
        <w:rPr>
          <w:rFonts w:ascii="Times New Roman" w:eastAsia="Calibri" w:hAnsi="Times New Roman" w:cs="Times New Roman"/>
          <w:b/>
          <w:bCs/>
          <w:i/>
          <w:iCs/>
          <w:sz w:val="24"/>
          <w:szCs w:val="24"/>
        </w:rPr>
        <w:t xml:space="preserve">на сумму </w:t>
      </w:r>
      <w:r w:rsidR="00C74528" w:rsidRPr="005C53F5">
        <w:rPr>
          <w:rFonts w:ascii="Times New Roman" w:eastAsia="Calibri" w:hAnsi="Times New Roman" w:cs="Times New Roman"/>
          <w:b/>
          <w:bCs/>
          <w:i/>
          <w:iCs/>
          <w:sz w:val="24"/>
          <w:szCs w:val="24"/>
        </w:rPr>
        <w:t>1150</w:t>
      </w:r>
      <w:r w:rsidR="00AB37BA" w:rsidRPr="005C53F5">
        <w:rPr>
          <w:rFonts w:ascii="Times New Roman" w:eastAsia="Calibri" w:hAnsi="Times New Roman" w:cs="Times New Roman"/>
          <w:b/>
          <w:bCs/>
          <w:i/>
          <w:iCs/>
          <w:sz w:val="24"/>
          <w:szCs w:val="24"/>
        </w:rPr>
        <w:t xml:space="preserve"> млн </w:t>
      </w:r>
      <w:r w:rsidR="008424C7" w:rsidRPr="005C53F5">
        <w:rPr>
          <w:rFonts w:ascii="Times New Roman" w:eastAsia="Calibri" w:hAnsi="Times New Roman" w:cs="Times New Roman"/>
          <w:b/>
          <w:i/>
          <w:sz w:val="24"/>
          <w:szCs w:val="24"/>
        </w:rPr>
        <w:t>EUR</w:t>
      </w:r>
      <w:r w:rsidRPr="005C53F5">
        <w:rPr>
          <w:rFonts w:ascii="Times New Roman" w:eastAsia="Calibri" w:hAnsi="Times New Roman" w:cs="Times New Roman"/>
          <w:b/>
          <w:bCs/>
          <w:i/>
          <w:iCs/>
          <w:sz w:val="24"/>
          <w:szCs w:val="24"/>
        </w:rPr>
        <w:t>, рейтинг на уровне «BBB-»</w:t>
      </w:r>
      <w:r w:rsidR="00C74528" w:rsidRPr="005C53F5">
        <w:rPr>
          <w:rFonts w:ascii="Times New Roman" w:eastAsia="Calibri" w:hAnsi="Times New Roman" w:cs="Times New Roman"/>
          <w:b/>
          <w:bCs/>
          <w:i/>
          <w:iCs/>
          <w:sz w:val="24"/>
          <w:szCs w:val="24"/>
        </w:rPr>
        <w:t>, прогноз «стабильный».</w:t>
      </w:r>
      <w:r w:rsidR="00C74528" w:rsidRPr="005C53F5">
        <w:rPr>
          <w:rFonts w:ascii="Times New Roman" w:eastAsia="Calibri" w:hAnsi="Times New Roman" w:cs="Times New Roman"/>
          <w:b/>
          <w:i/>
          <w:sz w:val="24"/>
          <w:szCs w:val="24"/>
        </w:rPr>
        <w:t xml:space="preserve"> 26 марта 2020 года Standard &amp; Poor’s подтвердило рейтинг «BBB-», прогноз «стабильный».</w:t>
      </w:r>
    </w:p>
    <w:p w14:paraId="52022A3D"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14:paraId="381B52F5" w14:textId="77777777" w:rsidR="000169E4" w:rsidRPr="005C53F5" w:rsidRDefault="000169E4"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 xml:space="preserve">полное фирменное наименование – Standard&amp;Poor’s Inc.; сокращенное фирменное наименование – </w:t>
      </w:r>
      <w:r w:rsidRPr="005C53F5">
        <w:rPr>
          <w:rFonts w:ascii="Times New Roman" w:eastAsia="Calibri" w:hAnsi="Times New Roman" w:cs="Times New Roman"/>
          <w:b/>
          <w:i/>
          <w:sz w:val="24"/>
          <w:szCs w:val="24"/>
          <w:lang w:val="en-US"/>
        </w:rPr>
        <w:t>Standard</w:t>
      </w:r>
      <w:r w:rsidRPr="005C53F5">
        <w:rPr>
          <w:rFonts w:ascii="Times New Roman" w:eastAsia="Calibri" w:hAnsi="Times New Roman" w:cs="Times New Roman"/>
          <w:b/>
          <w:i/>
          <w:sz w:val="24"/>
          <w:szCs w:val="24"/>
        </w:rPr>
        <w:t xml:space="preserve"> &amp; </w:t>
      </w:r>
      <w:r w:rsidRPr="005C53F5">
        <w:rPr>
          <w:rFonts w:ascii="Times New Roman" w:eastAsia="Calibri" w:hAnsi="Times New Roman" w:cs="Times New Roman"/>
          <w:b/>
          <w:i/>
          <w:sz w:val="24"/>
          <w:szCs w:val="24"/>
          <w:lang w:val="en-US"/>
        </w:rPr>
        <w:t>Poor</w:t>
      </w:r>
      <w:r w:rsidRPr="005C53F5">
        <w:rPr>
          <w:rFonts w:ascii="Times New Roman" w:eastAsia="Calibri" w:hAnsi="Times New Roman" w:cs="Times New Roman"/>
          <w:b/>
          <w:i/>
          <w:sz w:val="24"/>
          <w:szCs w:val="24"/>
        </w:rPr>
        <w:t>’</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место нахождения – 55 </w:t>
      </w:r>
      <w:r w:rsidRPr="005C53F5">
        <w:rPr>
          <w:rFonts w:ascii="Times New Roman" w:eastAsia="Calibri" w:hAnsi="Times New Roman" w:cs="Times New Roman"/>
          <w:b/>
          <w:i/>
          <w:sz w:val="24"/>
          <w:szCs w:val="24"/>
          <w:lang w:val="en-US"/>
        </w:rPr>
        <w:t>Water</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Street</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New</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York</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NY</w:t>
      </w:r>
      <w:r w:rsidRPr="005C53F5">
        <w:rPr>
          <w:rFonts w:ascii="Times New Roman" w:eastAsia="Calibri" w:hAnsi="Times New Roman" w:cs="Times New Roman"/>
          <w:b/>
          <w:i/>
          <w:sz w:val="24"/>
          <w:szCs w:val="24"/>
        </w:rPr>
        <w:t xml:space="preserve">, United States; </w:t>
      </w:r>
    </w:p>
    <w:p w14:paraId="0B4A50F5"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14:paraId="3D107336" w14:textId="77777777" w:rsidR="000169E4" w:rsidRPr="005C53F5" w:rsidRDefault="000169E4"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информация о методике присвоения кредитного рейтинга размещена (опубликована) в информационно-телекоммуникационной сети «Интернет» в свободном доступе по адресу www.standardandpoors.ru;</w:t>
      </w:r>
    </w:p>
    <w:p w14:paraId="3B20BEE7"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sz w:val="24"/>
          <w:szCs w:val="24"/>
        </w:rPr>
        <w:t>отсутствуют;</w:t>
      </w:r>
    </w:p>
    <w:p w14:paraId="0BEE2BCF" w14:textId="77777777" w:rsidR="000169E4" w:rsidRPr="005C53F5" w:rsidRDefault="000169E4"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Pr="005C53F5">
        <w:rPr>
          <w:rFonts w:ascii="Times New Roman" w:eastAsia="Calibri" w:hAnsi="Times New Roman" w:cs="Times New Roman"/>
          <w:b/>
          <w:i/>
          <w:sz w:val="24"/>
          <w:szCs w:val="24"/>
        </w:rPr>
        <w:t xml:space="preserve">еврооблигации </w:t>
      </w:r>
      <w:r w:rsidRPr="005C53F5">
        <w:rPr>
          <w:rFonts w:ascii="Times New Roman" w:eastAsia="Calibri" w:hAnsi="Times New Roman" w:cs="Times New Roman"/>
          <w:b/>
          <w:bCs/>
          <w:i/>
          <w:iCs/>
          <w:sz w:val="24"/>
          <w:szCs w:val="24"/>
        </w:rPr>
        <w:t xml:space="preserve">Республики </w:t>
      </w:r>
      <w:r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08CD780D" w14:textId="41883E98" w:rsidR="002A423F"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вид, категория (тип), серия, форма и иные идентификационные признаки ценных бумаг:</w:t>
      </w:r>
      <w:r w:rsidR="008424C7" w:rsidRPr="005C53F5">
        <w:rPr>
          <w:rFonts w:ascii="Times New Roman" w:eastAsia="Calibri" w:hAnsi="Times New Roman" w:cs="Times New Roman"/>
          <w:sz w:val="24"/>
          <w:szCs w:val="24"/>
        </w:rPr>
        <w:t xml:space="preserve"> </w:t>
      </w:r>
      <w:r w:rsidR="002A423F" w:rsidRPr="005C53F5">
        <w:rPr>
          <w:rFonts w:ascii="Times New Roman" w:eastAsia="Calibri" w:hAnsi="Times New Roman" w:cs="Times New Roman"/>
          <w:b/>
          <w:i/>
          <w:sz w:val="24"/>
          <w:szCs w:val="24"/>
        </w:rPr>
        <w:t>купонные документарные именные ноты по правилу 144А /</w:t>
      </w:r>
      <w:r w:rsidR="008424C7" w:rsidRPr="005C53F5">
        <w:rPr>
          <w:rFonts w:ascii="Times New Roman" w:eastAsia="Calibri" w:hAnsi="Times New Roman" w:cs="Times New Roman"/>
          <w:b/>
          <w:i/>
          <w:sz w:val="24"/>
          <w:szCs w:val="24"/>
        </w:rPr>
        <w:t xml:space="preserve"> </w:t>
      </w:r>
      <w:r w:rsidR="002A423F" w:rsidRPr="005C53F5">
        <w:rPr>
          <w:rFonts w:ascii="Times New Roman" w:eastAsia="Calibri" w:hAnsi="Times New Roman" w:cs="Times New Roman"/>
          <w:b/>
          <w:i/>
          <w:sz w:val="24"/>
          <w:szCs w:val="24"/>
        </w:rPr>
        <w:t>Постановлению S номинальной стоимостью 1000 EUR каждая, размещенные двумя траншами 25 сентября 2019 года:</w:t>
      </w:r>
    </w:p>
    <w:p w14:paraId="4D834E4F" w14:textId="77777777" w:rsidR="002A423F" w:rsidRPr="005C53F5" w:rsidRDefault="002A423F"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на сумму 500 млн EUR под ставку 0,6% годовых с погашением 30 сентября 2026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 ISIN: XS2050933899, общий код: 205093389; ноты (Rule 144A Notes) – ISIN: XS2053083858, общий код: 205308385, CUSIP (Rule 144A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неприменимо);</w:t>
      </w:r>
    </w:p>
    <w:p w14:paraId="3F99CE90" w14:textId="0AD7B54B" w:rsidR="00AB37BA" w:rsidRPr="005C53F5" w:rsidRDefault="002A423F"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sz w:val="24"/>
          <w:szCs w:val="24"/>
        </w:rPr>
        <w:t xml:space="preserve">на сумму </w:t>
      </w:r>
      <w:r w:rsidR="00533E90" w:rsidRPr="005C53F5">
        <w:rPr>
          <w:rFonts w:ascii="Times New Roman" w:eastAsia="Calibri" w:hAnsi="Times New Roman" w:cs="Times New Roman"/>
          <w:b/>
          <w:i/>
          <w:sz w:val="24"/>
          <w:szCs w:val="24"/>
        </w:rPr>
        <w:t>650</w:t>
      </w:r>
      <w:r w:rsidRPr="005C53F5">
        <w:rPr>
          <w:rFonts w:ascii="Times New Roman" w:eastAsia="Calibri" w:hAnsi="Times New Roman" w:cs="Times New Roman"/>
          <w:b/>
          <w:i/>
          <w:sz w:val="24"/>
          <w:szCs w:val="24"/>
        </w:rPr>
        <w:t xml:space="preserve"> млн EUR под ставку 1,5% годовых с погашением 30 сентября 2034 года (ноты (Reg S Notes) – ISIN: XS2050933626, общий код: 205093362; ноты (Rule 144A Notes) – ISIN: XS2053084070, общий код: 205308407, CUSIP (Rule 144A Notes): неприменимо);</w:t>
      </w:r>
    </w:p>
    <w:p w14:paraId="725F7C1C" w14:textId="4783FA85"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 xml:space="preserve">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 </w:t>
      </w:r>
      <w:r w:rsidRPr="005C53F5">
        <w:rPr>
          <w:rFonts w:ascii="Times New Roman" w:eastAsia="Calibri" w:hAnsi="Times New Roman" w:cs="Times New Roman"/>
          <w:b/>
          <w:bCs/>
          <w:i/>
          <w:iCs/>
          <w:sz w:val="24"/>
          <w:szCs w:val="24"/>
        </w:rPr>
        <w:t>еврооблигации Республики Казахстан не имеют государственный регистрационный номер (идентификационный номер), присвоенный в соответствии с законодательством Российской Федерации;</w:t>
      </w:r>
    </w:p>
    <w:p w14:paraId="5429427F" w14:textId="4DA0C4D3"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рейтинг эмиссии на уровне долгосрочного суверенного кредитного рейтинга эмитента в иностранной валюте – «BBB»;</w:t>
      </w:r>
    </w:p>
    <w:p w14:paraId="4DE8D395" w14:textId="7B79D77B"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 xml:space="preserve">в </w:t>
      </w:r>
      <w:r w:rsidR="00850FCC" w:rsidRPr="005C53F5">
        <w:rPr>
          <w:rFonts w:ascii="Times New Roman" w:eastAsia="Calibri" w:hAnsi="Times New Roman" w:cs="Times New Roman"/>
          <w:b/>
          <w:bCs/>
          <w:i/>
          <w:iCs/>
          <w:sz w:val="24"/>
          <w:szCs w:val="24"/>
        </w:rPr>
        <w:t>январе 2020</w:t>
      </w:r>
      <w:r w:rsidRPr="005C53F5">
        <w:rPr>
          <w:rFonts w:ascii="Times New Roman" w:eastAsia="Calibri" w:hAnsi="Times New Roman" w:cs="Times New Roman"/>
          <w:b/>
          <w:bCs/>
          <w:i/>
          <w:iCs/>
          <w:sz w:val="24"/>
          <w:szCs w:val="24"/>
        </w:rPr>
        <w:t xml:space="preserve"> года международное рейтинговое агентство Fitch Ratings присвоило еврооблигациям Республики Казахстан, эмитированным в </w:t>
      </w:r>
      <w:r w:rsidR="00850FCC" w:rsidRPr="005C53F5">
        <w:rPr>
          <w:rFonts w:ascii="Times New Roman" w:eastAsia="Calibri" w:hAnsi="Times New Roman" w:cs="Times New Roman"/>
          <w:b/>
          <w:bCs/>
          <w:i/>
          <w:iCs/>
          <w:sz w:val="24"/>
          <w:szCs w:val="24"/>
        </w:rPr>
        <w:t>сентябре</w:t>
      </w:r>
      <w:r w:rsidRPr="005C53F5">
        <w:rPr>
          <w:rFonts w:ascii="Times New Roman" w:eastAsia="Calibri" w:hAnsi="Times New Roman" w:cs="Times New Roman"/>
          <w:b/>
          <w:bCs/>
          <w:i/>
          <w:iCs/>
          <w:sz w:val="24"/>
          <w:szCs w:val="24"/>
        </w:rPr>
        <w:t xml:space="preserve"> 2019 года</w:t>
      </w:r>
      <w:r w:rsidR="00A5742D" w:rsidRPr="005C53F5">
        <w:rPr>
          <w:rFonts w:ascii="Times New Roman" w:eastAsia="Calibri" w:hAnsi="Times New Roman" w:cs="Times New Roman"/>
          <w:b/>
          <w:bCs/>
          <w:i/>
          <w:iCs/>
          <w:sz w:val="24"/>
          <w:szCs w:val="24"/>
        </w:rPr>
        <w:t xml:space="preserve"> двумя траншами</w:t>
      </w:r>
      <w:r w:rsidRPr="005C53F5">
        <w:rPr>
          <w:rFonts w:ascii="Times New Roman" w:eastAsia="Calibri" w:hAnsi="Times New Roman" w:cs="Times New Roman"/>
          <w:b/>
          <w:bCs/>
          <w:i/>
          <w:iCs/>
          <w:sz w:val="24"/>
          <w:szCs w:val="24"/>
        </w:rPr>
        <w:t xml:space="preserve"> на </w:t>
      </w:r>
      <w:r w:rsidR="00850FCC" w:rsidRPr="005C53F5">
        <w:rPr>
          <w:rFonts w:ascii="Times New Roman" w:eastAsia="Calibri" w:hAnsi="Times New Roman" w:cs="Times New Roman"/>
          <w:b/>
          <w:bCs/>
          <w:i/>
          <w:iCs/>
          <w:sz w:val="24"/>
          <w:szCs w:val="24"/>
        </w:rPr>
        <w:t xml:space="preserve">общую </w:t>
      </w:r>
      <w:r w:rsidRPr="005C53F5">
        <w:rPr>
          <w:rFonts w:ascii="Times New Roman" w:eastAsia="Calibri" w:hAnsi="Times New Roman" w:cs="Times New Roman"/>
          <w:b/>
          <w:bCs/>
          <w:i/>
          <w:iCs/>
          <w:sz w:val="24"/>
          <w:szCs w:val="24"/>
        </w:rPr>
        <w:t xml:space="preserve">сумму </w:t>
      </w:r>
      <w:r w:rsidR="00850FCC" w:rsidRPr="005C53F5">
        <w:rPr>
          <w:rFonts w:ascii="Times New Roman" w:eastAsia="Calibri" w:hAnsi="Times New Roman" w:cs="Times New Roman"/>
          <w:b/>
          <w:bCs/>
          <w:i/>
          <w:iCs/>
          <w:sz w:val="24"/>
          <w:szCs w:val="24"/>
        </w:rPr>
        <w:t>115</w:t>
      </w:r>
      <w:r w:rsidR="00AB37BA" w:rsidRPr="005C53F5">
        <w:rPr>
          <w:rFonts w:ascii="Times New Roman" w:eastAsia="Calibri" w:hAnsi="Times New Roman" w:cs="Times New Roman"/>
          <w:b/>
          <w:bCs/>
          <w:i/>
          <w:iCs/>
          <w:sz w:val="24"/>
          <w:szCs w:val="24"/>
        </w:rPr>
        <w:t xml:space="preserve">0 млн </w:t>
      </w:r>
      <w:r w:rsidR="008424C7" w:rsidRPr="005C53F5">
        <w:rPr>
          <w:rFonts w:ascii="Times New Roman" w:eastAsia="Calibri" w:hAnsi="Times New Roman" w:cs="Times New Roman"/>
          <w:b/>
          <w:i/>
          <w:sz w:val="24"/>
          <w:szCs w:val="24"/>
        </w:rPr>
        <w:t>EUR</w:t>
      </w:r>
      <w:r w:rsidR="00AB37BA" w:rsidRPr="005C53F5">
        <w:rPr>
          <w:rFonts w:ascii="Times New Roman" w:eastAsia="Calibri" w:hAnsi="Times New Roman" w:cs="Times New Roman"/>
          <w:b/>
          <w:bCs/>
          <w:i/>
          <w:iCs/>
          <w:sz w:val="24"/>
          <w:szCs w:val="24"/>
        </w:rPr>
        <w:t xml:space="preserve">, </w:t>
      </w:r>
      <w:r w:rsidRPr="005C53F5">
        <w:rPr>
          <w:rFonts w:ascii="Times New Roman" w:eastAsia="Calibri" w:hAnsi="Times New Roman" w:cs="Times New Roman"/>
          <w:b/>
          <w:bCs/>
          <w:i/>
          <w:iCs/>
          <w:sz w:val="24"/>
          <w:szCs w:val="24"/>
        </w:rPr>
        <w:t>рейтинг на уровне «BBB»</w:t>
      </w:r>
      <w:r w:rsidR="00850FCC" w:rsidRPr="005C53F5">
        <w:rPr>
          <w:rFonts w:ascii="Times New Roman" w:eastAsia="Calibri" w:hAnsi="Times New Roman" w:cs="Times New Roman"/>
          <w:b/>
          <w:bCs/>
          <w:i/>
          <w:iCs/>
          <w:sz w:val="24"/>
          <w:szCs w:val="24"/>
        </w:rPr>
        <w:t>, прогноз «стабильный».</w:t>
      </w:r>
      <w:r w:rsidR="00850FCC" w:rsidRPr="005C53F5">
        <w:rPr>
          <w:rFonts w:ascii="Times New Roman" w:eastAsia="Calibri" w:hAnsi="Times New Roman" w:cs="Times New Roman"/>
          <w:b/>
          <w:i/>
          <w:sz w:val="24"/>
          <w:szCs w:val="24"/>
        </w:rPr>
        <w:t xml:space="preserve"> 21 февраля 2020 года агентство Fitch Ratings подтвердило кредитный рейтинг на уровне «BBB», прогноз «стабильный»</w:t>
      </w:r>
      <w:r w:rsidR="00850FCC" w:rsidRPr="005C53F5">
        <w:rPr>
          <w:rFonts w:ascii="Times New Roman" w:eastAsia="Calibri" w:hAnsi="Times New Roman" w:cs="Times New Roman"/>
          <w:b/>
          <w:bCs/>
          <w:i/>
          <w:iCs/>
          <w:sz w:val="24"/>
          <w:szCs w:val="24"/>
        </w:rPr>
        <w:t>;</w:t>
      </w:r>
    </w:p>
    <w:p w14:paraId="7809E5F9"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14:paraId="2EC88269" w14:textId="77777777" w:rsidR="000169E4" w:rsidRPr="005C53F5" w:rsidRDefault="000169E4" w:rsidP="00057BE5">
      <w:pPr>
        <w:spacing w:after="0" w:line="240" w:lineRule="auto"/>
        <w:ind w:firstLine="709"/>
        <w:jc w:val="both"/>
        <w:rPr>
          <w:rFonts w:ascii="Times New Roman" w:eastAsia="Calibri" w:hAnsi="Times New Roman" w:cs="Times New Roman"/>
          <w:i/>
          <w:iCs/>
          <w:sz w:val="24"/>
          <w:szCs w:val="24"/>
        </w:rPr>
      </w:pPr>
      <w:r w:rsidRPr="005C53F5">
        <w:rPr>
          <w:rFonts w:ascii="Times New Roman" w:eastAsia="Calibri" w:hAnsi="Times New Roman" w:cs="Times New Roman"/>
          <w:b/>
          <w:i/>
          <w:iCs/>
          <w:sz w:val="24"/>
          <w:szCs w:val="24"/>
        </w:rPr>
        <w:t xml:space="preserve">полное фирменное наименование – Fitch Ratings Ltd.; сокращенное фирменное наименование – </w:t>
      </w:r>
      <w:r w:rsidRPr="005C53F5">
        <w:rPr>
          <w:rFonts w:ascii="Times New Roman" w:eastAsia="Calibri" w:hAnsi="Times New Roman" w:cs="Times New Roman"/>
          <w:b/>
          <w:i/>
          <w:iCs/>
          <w:sz w:val="24"/>
          <w:szCs w:val="24"/>
          <w:lang w:val="en-US"/>
        </w:rPr>
        <w:t>Fitch</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Ratings</w:t>
      </w:r>
      <w:r w:rsidRPr="005C53F5">
        <w:rPr>
          <w:rFonts w:ascii="Times New Roman" w:eastAsia="Calibri" w:hAnsi="Times New Roman" w:cs="Times New Roman"/>
          <w:b/>
          <w:i/>
          <w:iCs/>
          <w:sz w:val="24"/>
          <w:szCs w:val="24"/>
        </w:rPr>
        <w:t xml:space="preserve">; место нахождения – 33 </w:t>
      </w:r>
      <w:r w:rsidRPr="005C53F5">
        <w:rPr>
          <w:rFonts w:ascii="Times New Roman" w:eastAsia="Calibri" w:hAnsi="Times New Roman" w:cs="Times New Roman"/>
          <w:b/>
          <w:i/>
          <w:iCs/>
          <w:sz w:val="24"/>
          <w:szCs w:val="24"/>
          <w:lang w:val="en-US"/>
        </w:rPr>
        <w:t>Whitehall</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Street</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New</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York</w:t>
      </w:r>
      <w:r w:rsidRPr="005C53F5">
        <w:rPr>
          <w:rFonts w:ascii="Times New Roman" w:eastAsia="Calibri" w:hAnsi="Times New Roman" w:cs="Times New Roman"/>
          <w:b/>
          <w:i/>
          <w:iCs/>
          <w:sz w:val="24"/>
          <w:szCs w:val="24"/>
        </w:rPr>
        <w:t xml:space="preserve">, </w:t>
      </w:r>
      <w:r w:rsidRPr="005C53F5">
        <w:rPr>
          <w:rFonts w:ascii="Times New Roman" w:eastAsia="Calibri" w:hAnsi="Times New Roman" w:cs="Times New Roman"/>
          <w:b/>
          <w:i/>
          <w:iCs/>
          <w:sz w:val="24"/>
          <w:szCs w:val="24"/>
          <w:lang w:val="en-US"/>
        </w:rPr>
        <w:t>NY</w:t>
      </w:r>
      <w:r w:rsidRPr="005C53F5">
        <w:rPr>
          <w:rFonts w:ascii="Times New Roman" w:eastAsia="Calibri" w:hAnsi="Times New Roman" w:cs="Times New Roman"/>
          <w:b/>
          <w:i/>
          <w:iCs/>
          <w:sz w:val="24"/>
          <w:szCs w:val="24"/>
        </w:rPr>
        <w:t xml:space="preserve"> 10004, United States;</w:t>
      </w:r>
    </w:p>
    <w:p w14:paraId="5D3FC0D9"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14:paraId="71D62257"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iCs/>
          <w:sz w:val="24"/>
          <w:szCs w:val="24"/>
        </w:rPr>
        <w:t>информация о методике присвоения кредитного рейтинга размещена (опубликована) в информационно- телекоммуникационной сети «Интернет» в свободном доступе по адресу www.fitchratings.com</w:t>
      </w:r>
      <w:r w:rsidRPr="005C53F5">
        <w:rPr>
          <w:rFonts w:ascii="Times New Roman" w:eastAsia="Calibri" w:hAnsi="Times New Roman" w:cs="Times New Roman"/>
          <w:sz w:val="24"/>
          <w:szCs w:val="24"/>
        </w:rPr>
        <w:t>;</w:t>
      </w:r>
    </w:p>
    <w:p w14:paraId="3EF057D2" w14:textId="77777777" w:rsidR="000169E4" w:rsidRPr="005C53F5" w:rsidRDefault="000169E4" w:rsidP="00057BE5">
      <w:pPr>
        <w:spacing w:after="0" w:line="240" w:lineRule="auto"/>
        <w:ind w:firstLine="708"/>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sz w:val="24"/>
          <w:szCs w:val="24"/>
        </w:rPr>
        <w:t>отсутствуют;</w:t>
      </w:r>
    </w:p>
    <w:p w14:paraId="34B70B86" w14:textId="77777777" w:rsidR="000169E4" w:rsidRPr="005C53F5" w:rsidRDefault="000169E4" w:rsidP="00057BE5">
      <w:pPr>
        <w:numPr>
          <w:ilvl w:val="0"/>
          <w:numId w:val="10"/>
        </w:numPr>
        <w:spacing w:after="0" w:line="240" w:lineRule="auto"/>
        <w:ind w:left="0" w:firstLine="709"/>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 xml:space="preserve">объект присвоения кредитного рейтинга (эмитент, ценные бумаги эмитента): </w:t>
      </w:r>
      <w:r w:rsidRPr="005C53F5">
        <w:rPr>
          <w:rFonts w:ascii="Times New Roman" w:eastAsia="Calibri" w:hAnsi="Times New Roman" w:cs="Times New Roman"/>
          <w:b/>
          <w:i/>
          <w:sz w:val="24"/>
          <w:szCs w:val="24"/>
        </w:rPr>
        <w:t xml:space="preserve">еврооблигации </w:t>
      </w:r>
      <w:r w:rsidRPr="005C53F5">
        <w:rPr>
          <w:rFonts w:ascii="Times New Roman" w:eastAsia="Calibri" w:hAnsi="Times New Roman" w:cs="Times New Roman"/>
          <w:b/>
          <w:bCs/>
          <w:i/>
          <w:iCs/>
          <w:sz w:val="24"/>
          <w:szCs w:val="24"/>
        </w:rPr>
        <w:t xml:space="preserve">Республики </w:t>
      </w:r>
      <w:r w:rsidRPr="005C53F5">
        <w:rPr>
          <w:rFonts w:ascii="Times New Roman" w:eastAsia="Calibri" w:hAnsi="Times New Roman" w:cs="Times New Roman"/>
          <w:b/>
          <w:i/>
          <w:iCs/>
          <w:sz w:val="24"/>
          <w:szCs w:val="24"/>
        </w:rPr>
        <w:t>Казахстан</w:t>
      </w:r>
      <w:r w:rsidRPr="005C53F5">
        <w:rPr>
          <w:rFonts w:ascii="Times New Roman" w:eastAsia="Calibri" w:hAnsi="Times New Roman" w:cs="Times New Roman"/>
          <w:b/>
          <w:sz w:val="24"/>
          <w:szCs w:val="24"/>
        </w:rPr>
        <w:t>;</w:t>
      </w:r>
    </w:p>
    <w:p w14:paraId="4CE40ACB" w14:textId="02D8B9CD" w:rsidR="002A423F"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вид, категория (тип), серия, форма и иные идентификационные признаки ценных бумаг:</w:t>
      </w:r>
      <w:r w:rsidR="00850FCC" w:rsidRPr="005C53F5">
        <w:rPr>
          <w:rFonts w:ascii="Times New Roman" w:eastAsia="Calibri" w:hAnsi="Times New Roman" w:cs="Times New Roman"/>
          <w:sz w:val="24"/>
          <w:szCs w:val="24"/>
        </w:rPr>
        <w:t xml:space="preserve"> </w:t>
      </w:r>
      <w:r w:rsidR="002A423F" w:rsidRPr="005C53F5">
        <w:rPr>
          <w:rFonts w:ascii="Times New Roman" w:eastAsia="Calibri" w:hAnsi="Times New Roman" w:cs="Times New Roman"/>
          <w:b/>
          <w:i/>
          <w:sz w:val="24"/>
          <w:szCs w:val="24"/>
        </w:rPr>
        <w:t>купонные документарные именные ноты по правилу 144А /</w:t>
      </w:r>
      <w:r w:rsidR="00850FCC" w:rsidRPr="005C53F5">
        <w:rPr>
          <w:rFonts w:ascii="Times New Roman" w:eastAsia="Calibri" w:hAnsi="Times New Roman" w:cs="Times New Roman"/>
          <w:b/>
          <w:i/>
          <w:sz w:val="24"/>
          <w:szCs w:val="24"/>
        </w:rPr>
        <w:t xml:space="preserve"> </w:t>
      </w:r>
      <w:r w:rsidR="002A423F" w:rsidRPr="005C53F5">
        <w:rPr>
          <w:rFonts w:ascii="Times New Roman" w:eastAsia="Calibri" w:hAnsi="Times New Roman" w:cs="Times New Roman"/>
          <w:b/>
          <w:i/>
          <w:sz w:val="24"/>
          <w:szCs w:val="24"/>
        </w:rPr>
        <w:t>Постановлению S номинальной стоимостью 1000 EUR каждая, размещенные двумя траншами 25 сентября 2019 года:</w:t>
      </w:r>
    </w:p>
    <w:p w14:paraId="637ED97F" w14:textId="77777777" w:rsidR="002A423F" w:rsidRPr="005C53F5" w:rsidRDefault="002A423F"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на сумму 500 млн EUR под ставку 0,6% годовых с погашением 30 сентября 2026 года (ноты (</w:t>
      </w:r>
      <w:r w:rsidRPr="005C53F5">
        <w:rPr>
          <w:rFonts w:ascii="Times New Roman" w:eastAsia="Calibri" w:hAnsi="Times New Roman" w:cs="Times New Roman"/>
          <w:b/>
          <w:i/>
          <w:sz w:val="24"/>
          <w:szCs w:val="24"/>
          <w:lang w:val="en-US"/>
        </w:rPr>
        <w:t>Reg</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S</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xml:space="preserve">) – ISIN: XS2050933899, общий код: 205093389; ноты (Rule 144A Notes) – ISIN: XS2053083858, общий код: 205308385, CUSIP (Rule 144A </w:t>
      </w:r>
      <w:r w:rsidRPr="005C53F5">
        <w:rPr>
          <w:rFonts w:ascii="Times New Roman" w:eastAsia="Calibri" w:hAnsi="Times New Roman" w:cs="Times New Roman"/>
          <w:b/>
          <w:i/>
          <w:sz w:val="24"/>
          <w:szCs w:val="24"/>
          <w:lang w:val="en-US"/>
        </w:rPr>
        <w:t>Notes</w:t>
      </w:r>
      <w:r w:rsidRPr="005C53F5">
        <w:rPr>
          <w:rFonts w:ascii="Times New Roman" w:eastAsia="Calibri" w:hAnsi="Times New Roman" w:cs="Times New Roman"/>
          <w:b/>
          <w:i/>
          <w:sz w:val="24"/>
          <w:szCs w:val="24"/>
        </w:rPr>
        <w:t>): неприменимо);</w:t>
      </w:r>
    </w:p>
    <w:p w14:paraId="78DE27EE" w14:textId="2147B3E9" w:rsidR="00AB37BA" w:rsidRPr="005C53F5" w:rsidRDefault="002A423F"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b/>
          <w:i/>
          <w:sz w:val="24"/>
          <w:szCs w:val="24"/>
        </w:rPr>
        <w:t xml:space="preserve">на сумму </w:t>
      </w:r>
      <w:r w:rsidR="00242B53" w:rsidRPr="005C53F5">
        <w:rPr>
          <w:rFonts w:ascii="Times New Roman" w:eastAsia="Calibri" w:hAnsi="Times New Roman" w:cs="Times New Roman"/>
          <w:b/>
          <w:i/>
          <w:sz w:val="24"/>
          <w:szCs w:val="24"/>
        </w:rPr>
        <w:t>650</w:t>
      </w:r>
      <w:r w:rsidRPr="005C53F5">
        <w:rPr>
          <w:rFonts w:ascii="Times New Roman" w:eastAsia="Calibri" w:hAnsi="Times New Roman" w:cs="Times New Roman"/>
          <w:b/>
          <w:i/>
          <w:sz w:val="24"/>
          <w:szCs w:val="24"/>
        </w:rPr>
        <w:t xml:space="preserve"> млн EUR под ставку 1,5% годовых с погашением 30 сентября 2034 года (ноты (Reg S Notes) – ISIN: XS2050933626, общий код: 205093362; ноты (Rule 144A Notes) – ISIN: XS2053084070, общий код: 205308407, CUSIP (Rule 144A Notes): неприменимо);</w:t>
      </w:r>
    </w:p>
    <w:p w14:paraId="659D0A81" w14:textId="1087508A"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 xml:space="preserve">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 </w:t>
      </w:r>
      <w:r w:rsidRPr="005C53F5">
        <w:rPr>
          <w:rFonts w:ascii="Times New Roman" w:eastAsia="Calibri" w:hAnsi="Times New Roman" w:cs="Times New Roman"/>
          <w:b/>
          <w:bCs/>
          <w:i/>
          <w:iCs/>
          <w:sz w:val="24"/>
          <w:szCs w:val="24"/>
        </w:rPr>
        <w:t>еврооблигации Республики Казахстан не имеют государственный регистрационный номер (идентификационный номер), присвоенный в соответствии с законодательством Российской Федерации;</w:t>
      </w:r>
    </w:p>
    <w:p w14:paraId="54A8E5E8" w14:textId="2E556A70"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значение кредитного рейтинга на дату утверждения проспекта ценных бумаг:</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рейтинг эмиссии на уровне долгосрочного суверенного кредитного рейтинга эмитента в иностранной валюте – «Baa3»;</w:t>
      </w:r>
    </w:p>
    <w:p w14:paraId="6E88D676" w14:textId="0BE27BB1" w:rsidR="000169E4" w:rsidRPr="005C53F5" w:rsidRDefault="000169E4" w:rsidP="00057BE5">
      <w:pPr>
        <w:spacing w:after="0" w:line="240" w:lineRule="auto"/>
        <w:ind w:firstLine="708"/>
        <w:jc w:val="both"/>
        <w:rPr>
          <w:rFonts w:ascii="Times New Roman" w:eastAsia="Calibri" w:hAnsi="Times New Roman" w:cs="Times New Roman"/>
          <w:b/>
          <w:bCs/>
          <w:i/>
          <w:iCs/>
          <w:sz w:val="24"/>
          <w:szCs w:val="24"/>
        </w:rPr>
      </w:pPr>
      <w:r w:rsidRPr="005C53F5">
        <w:rPr>
          <w:rFonts w:ascii="Times New Roman" w:eastAsia="Calibri" w:hAnsi="Times New Roman" w:cs="Times New Roman"/>
          <w:sz w:val="24"/>
          <w:szCs w:val="24"/>
        </w:rPr>
        <w:t>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w:t>
      </w:r>
      <w:r w:rsidRPr="005C53F5">
        <w:rPr>
          <w:rFonts w:ascii="Times New Roman,BoldItalic" w:hAnsi="Times New Roman,BoldItalic" w:cs="Times New Roman,BoldItalic"/>
          <w:b/>
          <w:bCs/>
          <w:i/>
          <w:iCs/>
          <w:sz w:val="24"/>
          <w:szCs w:val="24"/>
        </w:rPr>
        <w:t xml:space="preserve"> </w:t>
      </w:r>
      <w:r w:rsidRPr="005C53F5">
        <w:rPr>
          <w:rFonts w:ascii="Times New Roman" w:eastAsia="Calibri" w:hAnsi="Times New Roman" w:cs="Times New Roman"/>
          <w:b/>
          <w:bCs/>
          <w:i/>
          <w:iCs/>
          <w:sz w:val="24"/>
          <w:szCs w:val="24"/>
        </w:rPr>
        <w:t xml:space="preserve">в </w:t>
      </w:r>
      <w:r w:rsidR="00850FCC" w:rsidRPr="005C53F5">
        <w:rPr>
          <w:rFonts w:ascii="Times New Roman" w:eastAsia="Calibri" w:hAnsi="Times New Roman" w:cs="Times New Roman"/>
          <w:b/>
          <w:bCs/>
          <w:i/>
          <w:iCs/>
          <w:sz w:val="24"/>
          <w:szCs w:val="24"/>
        </w:rPr>
        <w:t xml:space="preserve">сентябре </w:t>
      </w:r>
      <w:r w:rsidRPr="005C53F5">
        <w:rPr>
          <w:rFonts w:ascii="Times New Roman" w:eastAsia="Calibri" w:hAnsi="Times New Roman" w:cs="Times New Roman"/>
          <w:b/>
          <w:bCs/>
          <w:i/>
          <w:iCs/>
          <w:sz w:val="24"/>
          <w:szCs w:val="24"/>
        </w:rPr>
        <w:t>2019 года международное рейтинговое агентство</w:t>
      </w:r>
      <w:r w:rsidRPr="005C53F5">
        <w:rPr>
          <w:rFonts w:ascii="Times New Roman" w:eastAsia="Calibri" w:hAnsi="Times New Roman" w:cs="Times New Roman"/>
          <w:b/>
          <w:i/>
          <w:sz w:val="24"/>
          <w:szCs w:val="24"/>
        </w:rPr>
        <w:t xml:space="preserve"> </w:t>
      </w:r>
      <w:r w:rsidRPr="005C53F5">
        <w:rPr>
          <w:rFonts w:ascii="Times New Roman" w:eastAsia="Calibri" w:hAnsi="Times New Roman" w:cs="Times New Roman"/>
          <w:b/>
          <w:bCs/>
          <w:i/>
          <w:iCs/>
          <w:sz w:val="24"/>
          <w:szCs w:val="24"/>
        </w:rPr>
        <w:t xml:space="preserve">Moody's присвоило еврооблигациям Республики Казахстан, эмитированным в </w:t>
      </w:r>
      <w:r w:rsidR="00850FCC" w:rsidRPr="005C53F5">
        <w:rPr>
          <w:rFonts w:ascii="Times New Roman" w:eastAsia="Calibri" w:hAnsi="Times New Roman" w:cs="Times New Roman"/>
          <w:b/>
          <w:bCs/>
          <w:i/>
          <w:iCs/>
          <w:sz w:val="24"/>
          <w:szCs w:val="24"/>
        </w:rPr>
        <w:t xml:space="preserve">сентябре </w:t>
      </w:r>
      <w:r w:rsidRPr="005C53F5">
        <w:rPr>
          <w:rFonts w:ascii="Times New Roman" w:eastAsia="Calibri" w:hAnsi="Times New Roman" w:cs="Times New Roman"/>
          <w:b/>
          <w:bCs/>
          <w:i/>
          <w:iCs/>
          <w:sz w:val="24"/>
          <w:szCs w:val="24"/>
        </w:rPr>
        <w:t>2019 года</w:t>
      </w:r>
      <w:r w:rsidR="00A5742D" w:rsidRPr="005C53F5">
        <w:rPr>
          <w:rFonts w:ascii="Times New Roman" w:eastAsia="Calibri" w:hAnsi="Times New Roman" w:cs="Times New Roman"/>
          <w:b/>
          <w:bCs/>
          <w:i/>
          <w:iCs/>
          <w:sz w:val="24"/>
          <w:szCs w:val="24"/>
        </w:rPr>
        <w:t xml:space="preserve"> двумя траншами</w:t>
      </w:r>
      <w:r w:rsidRPr="005C53F5">
        <w:rPr>
          <w:rFonts w:ascii="Times New Roman" w:eastAsia="Calibri" w:hAnsi="Times New Roman" w:cs="Times New Roman"/>
          <w:b/>
          <w:bCs/>
          <w:i/>
          <w:iCs/>
          <w:sz w:val="24"/>
          <w:szCs w:val="24"/>
        </w:rPr>
        <w:t xml:space="preserve"> на </w:t>
      </w:r>
      <w:r w:rsidR="00850FCC" w:rsidRPr="005C53F5">
        <w:rPr>
          <w:rFonts w:ascii="Times New Roman" w:eastAsia="Calibri" w:hAnsi="Times New Roman" w:cs="Times New Roman"/>
          <w:b/>
          <w:bCs/>
          <w:i/>
          <w:iCs/>
          <w:sz w:val="24"/>
          <w:szCs w:val="24"/>
        </w:rPr>
        <w:t xml:space="preserve">общую </w:t>
      </w:r>
      <w:r w:rsidRPr="005C53F5">
        <w:rPr>
          <w:rFonts w:ascii="Times New Roman" w:eastAsia="Calibri" w:hAnsi="Times New Roman" w:cs="Times New Roman"/>
          <w:b/>
          <w:bCs/>
          <w:i/>
          <w:iCs/>
          <w:sz w:val="24"/>
          <w:szCs w:val="24"/>
        </w:rPr>
        <w:t xml:space="preserve">сумму </w:t>
      </w:r>
      <w:r w:rsidR="00850FCC" w:rsidRPr="005C53F5">
        <w:rPr>
          <w:rFonts w:ascii="Times New Roman" w:eastAsia="Calibri" w:hAnsi="Times New Roman" w:cs="Times New Roman"/>
          <w:b/>
          <w:bCs/>
          <w:i/>
          <w:iCs/>
          <w:sz w:val="24"/>
          <w:szCs w:val="24"/>
        </w:rPr>
        <w:t>1150 млн евро</w:t>
      </w:r>
      <w:r w:rsidRPr="005C53F5">
        <w:rPr>
          <w:rFonts w:ascii="Times New Roman" w:eastAsia="Calibri" w:hAnsi="Times New Roman" w:cs="Times New Roman"/>
          <w:b/>
          <w:bCs/>
          <w:i/>
          <w:iCs/>
          <w:sz w:val="24"/>
          <w:szCs w:val="24"/>
        </w:rPr>
        <w:t>, рейтинг на уровне «Baa3»</w:t>
      </w:r>
      <w:r w:rsidR="005943EB" w:rsidRPr="005C53F5">
        <w:rPr>
          <w:rFonts w:ascii="Times New Roman" w:eastAsia="Calibri" w:hAnsi="Times New Roman" w:cs="Times New Roman"/>
          <w:b/>
          <w:bCs/>
          <w:i/>
          <w:iCs/>
          <w:sz w:val="24"/>
          <w:szCs w:val="24"/>
        </w:rPr>
        <w:t>, прогноз «позитивный».</w:t>
      </w:r>
    </w:p>
    <w:p w14:paraId="12985D43"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14:paraId="7A3E987F" w14:textId="77777777" w:rsidR="000169E4" w:rsidRPr="005C53F5" w:rsidRDefault="000169E4"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полное фирменное наименование – Moody’s Investors Service Ltd.; сокращенное фирменное наименование – Moody’s; место нахождения – 99 Church Street, New York, NY 10007;</w:t>
      </w:r>
    </w:p>
    <w:p w14:paraId="4E6D3314" w14:textId="77777777" w:rsidR="000169E4" w:rsidRPr="005C53F5" w:rsidRDefault="000169E4" w:rsidP="00057BE5">
      <w:pPr>
        <w:spacing w:after="0" w:line="240" w:lineRule="auto"/>
        <w:ind w:firstLine="708"/>
        <w:jc w:val="both"/>
        <w:rPr>
          <w:rFonts w:ascii="Times New Roman" w:eastAsia="Calibri" w:hAnsi="Times New Roman" w:cs="Times New Roman"/>
          <w:sz w:val="24"/>
          <w:szCs w:val="24"/>
        </w:rPr>
      </w:pPr>
      <w:r w:rsidRPr="005C53F5">
        <w:rPr>
          <w:rFonts w:ascii="Times New Roman" w:eastAsia="Calibri" w:hAnsi="Times New Roman" w:cs="Times New Roman"/>
          <w:sz w:val="24"/>
          <w:szCs w:val="24"/>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14:paraId="4E4D5251" w14:textId="77777777" w:rsidR="000169E4" w:rsidRPr="005C53F5" w:rsidRDefault="000169E4" w:rsidP="00057BE5">
      <w:pPr>
        <w:spacing w:after="0" w:line="240" w:lineRule="auto"/>
        <w:ind w:firstLine="709"/>
        <w:jc w:val="both"/>
        <w:rPr>
          <w:rFonts w:ascii="Times New Roman" w:eastAsia="Calibri" w:hAnsi="Times New Roman" w:cs="Times New Roman"/>
          <w:b/>
          <w:i/>
          <w:sz w:val="24"/>
          <w:szCs w:val="24"/>
        </w:rPr>
      </w:pPr>
      <w:r w:rsidRPr="005C53F5">
        <w:rPr>
          <w:rFonts w:ascii="Times New Roman" w:eastAsia="Calibri" w:hAnsi="Times New Roman" w:cs="Times New Roman"/>
          <w:b/>
          <w:i/>
          <w:sz w:val="24"/>
          <w:szCs w:val="24"/>
        </w:rPr>
        <w:t>информация о методике присвоения кредитного рейтинга размещена (опубликована) в информационно- телекоммуникационной сети «Интернет» в свободном доступе по адресу www.moodys.com;</w:t>
      </w:r>
    </w:p>
    <w:p w14:paraId="0F3E9244" w14:textId="1F3DBE0F" w:rsidR="0068585E" w:rsidRPr="005C53F5" w:rsidRDefault="000169E4" w:rsidP="00057BE5">
      <w:pPr>
        <w:spacing w:after="0" w:line="240" w:lineRule="auto"/>
        <w:ind w:firstLine="708"/>
        <w:jc w:val="both"/>
        <w:rPr>
          <w:rFonts w:ascii="Times New Roman" w:eastAsia="Calibri" w:hAnsi="Times New Roman" w:cs="Times New Roman"/>
          <w:b/>
          <w:sz w:val="24"/>
          <w:szCs w:val="24"/>
        </w:rPr>
      </w:pPr>
      <w:r w:rsidRPr="005C53F5">
        <w:rPr>
          <w:rFonts w:ascii="Times New Roman" w:eastAsia="Calibri" w:hAnsi="Times New Roman" w:cs="Times New Roman"/>
          <w:sz w:val="24"/>
          <w:szCs w:val="24"/>
        </w:rPr>
        <w:t xml:space="preserve">иные сведения о кредитном рейтинге, указываемые эмитентом по собственному усмотрению: </w:t>
      </w:r>
      <w:r w:rsidRPr="005C53F5">
        <w:rPr>
          <w:rFonts w:ascii="Times New Roman" w:eastAsia="Calibri" w:hAnsi="Times New Roman" w:cs="Times New Roman"/>
          <w:b/>
          <w:sz w:val="24"/>
          <w:szCs w:val="24"/>
        </w:rPr>
        <w:t>отсутствуют;</w:t>
      </w:r>
    </w:p>
    <w:p w14:paraId="355331AA" w14:textId="7E273022"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46" w:name="_Toc39616432"/>
      <w:bookmarkStart w:id="547" w:name="_Toc36145671"/>
      <w:r w:rsidRPr="005C53F5">
        <w:rPr>
          <w:rFonts w:ascii="Times New Roman" w:hAnsi="Times New Roman" w:cs="Times New Roman"/>
          <w:b/>
          <w:sz w:val="24"/>
          <w:szCs w:val="24"/>
        </w:rPr>
        <w:t>9.2. Сведения о каждой категории (типе) акций эмитента</w:t>
      </w:r>
      <w:bookmarkEnd w:id="546"/>
      <w:bookmarkEnd w:id="547"/>
    </w:p>
    <w:p w14:paraId="53A519DA" w14:textId="77777777" w:rsidR="00390563" w:rsidRPr="005C53F5" w:rsidRDefault="00390563" w:rsidP="00057BE5">
      <w:pPr>
        <w:pStyle w:val="ConsPlusNormal"/>
        <w:ind w:firstLine="709"/>
        <w:jc w:val="both"/>
        <w:rPr>
          <w:rFonts w:ascii="Times New Roman" w:hAnsi="Times New Roman" w:cs="Times New Roman"/>
          <w:b/>
          <w:sz w:val="24"/>
          <w:szCs w:val="24"/>
        </w:rPr>
      </w:pPr>
      <w:bookmarkStart w:id="548" w:name="_Toc521609768"/>
      <w:bookmarkStart w:id="549" w:name="_Toc533785588"/>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548"/>
      <w:bookmarkEnd w:id="549"/>
    </w:p>
    <w:p w14:paraId="7FDDAAE4"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50" w:name="_Toc39616433"/>
      <w:bookmarkStart w:id="551" w:name="_Toc36145672"/>
      <w:r w:rsidRPr="005C53F5">
        <w:rPr>
          <w:rFonts w:ascii="Times New Roman" w:hAnsi="Times New Roman" w:cs="Times New Roman"/>
          <w:b/>
          <w:sz w:val="24"/>
          <w:szCs w:val="24"/>
        </w:rPr>
        <w:t>9.3. Сведения о предыдущих выпусках ценных бумаг эмитента, за исключением акций эмитента</w:t>
      </w:r>
      <w:bookmarkEnd w:id="550"/>
      <w:bookmarkEnd w:id="551"/>
    </w:p>
    <w:p w14:paraId="46035CAA" w14:textId="2BD4645D" w:rsidR="00D15054" w:rsidRPr="005C53F5" w:rsidRDefault="00D15054" w:rsidP="00057BE5">
      <w:pPr>
        <w:pStyle w:val="ConsPlusNormal"/>
        <w:ind w:firstLine="709"/>
        <w:jc w:val="both"/>
        <w:rPr>
          <w:rFonts w:ascii="Times New Roman" w:hAnsi="Times New Roman" w:cs="Times New Roman"/>
          <w:sz w:val="24"/>
          <w:szCs w:val="24"/>
        </w:rPr>
      </w:pPr>
      <w:bookmarkStart w:id="552" w:name="_Toc521609770"/>
      <w:bookmarkStart w:id="553" w:name="_Toc533785590"/>
      <w:r w:rsidRPr="005C53F5">
        <w:rPr>
          <w:rFonts w:ascii="Times New Roman" w:hAnsi="Times New Roman" w:cs="Times New Roman"/>
          <w:sz w:val="24"/>
          <w:szCs w:val="24"/>
        </w:rPr>
        <w:t>В соответствии с пунктом 91.3 Положения Банка России № 454-П в настоящем пункте указывается информация о ценных бумагах эмитента, размещение или обращение которых осуществлялось (осуществляется) на территории Российской Федерации.</w:t>
      </w:r>
      <w:bookmarkEnd w:id="552"/>
      <w:bookmarkEnd w:id="553"/>
    </w:p>
    <w:p w14:paraId="72868F72" w14:textId="62DE50FC" w:rsidR="00D15054" w:rsidRPr="005C53F5" w:rsidRDefault="00D15054"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4"/>
        </w:rPr>
        <w:t>По состоянию на дату утверждения Проспекта ценных бумаг у Эмитента отсутствуют ценные бумаги, размещение или обращение которых осуществлялось (осуществляется) на территории Российской Федерации.</w:t>
      </w:r>
    </w:p>
    <w:p w14:paraId="3D58A358" w14:textId="6B7FAE0C"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54" w:name="_Toc39616434"/>
      <w:bookmarkStart w:id="555" w:name="_Toc36145675"/>
      <w:r w:rsidRPr="005C53F5">
        <w:rPr>
          <w:rFonts w:ascii="Times New Roman" w:hAnsi="Times New Roman" w:cs="Times New Roman"/>
          <w:b/>
          <w:sz w:val="24"/>
          <w:szCs w:val="24"/>
        </w:rPr>
        <w:t>9.4.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554"/>
      <w:bookmarkEnd w:id="555"/>
    </w:p>
    <w:p w14:paraId="7C96875C" w14:textId="24389CC0" w:rsidR="00D15054" w:rsidRPr="005C53F5" w:rsidRDefault="00D15054" w:rsidP="00057BE5">
      <w:pPr>
        <w:pStyle w:val="ConsPlusNormal"/>
        <w:ind w:firstLine="709"/>
        <w:jc w:val="both"/>
        <w:rPr>
          <w:rFonts w:ascii="Times New Roman" w:hAnsi="Times New Roman" w:cs="Times New Roman"/>
          <w:sz w:val="24"/>
          <w:szCs w:val="24"/>
        </w:rPr>
      </w:pPr>
      <w:bookmarkStart w:id="556" w:name="_Toc521609777"/>
      <w:bookmarkStart w:id="557" w:name="_Toc533785597"/>
      <w:r w:rsidRPr="005C53F5">
        <w:rPr>
          <w:rFonts w:ascii="Times New Roman" w:hAnsi="Times New Roman" w:cs="Times New Roman"/>
          <w:sz w:val="24"/>
          <w:szCs w:val="24"/>
        </w:rPr>
        <w:t>В соответствии с пунктом 91.3 Положения Банка России № 454-П в настоящем пункте приводится информация о лице (лицах), предоставившем (предоставивших) обеспечение по облигациям эмитента с обеспечением, размещение или обращение которых осуществлялось (осуществляется) на территории Российской Федерации, а также об условиях обеспечения исполнения обязательств по облигациям эмитента, размещение или обращение которых осуществлялось (осуществляется) на территории Российской Федерации.</w:t>
      </w:r>
      <w:bookmarkEnd w:id="556"/>
      <w:bookmarkEnd w:id="557"/>
    </w:p>
    <w:p w14:paraId="35D3E20A" w14:textId="3D228B6D" w:rsidR="00D15054" w:rsidRPr="005C53F5" w:rsidRDefault="00D15054" w:rsidP="00057BE5">
      <w:pPr>
        <w:pStyle w:val="ConsPlusNormal"/>
        <w:ind w:firstLine="709"/>
        <w:jc w:val="both"/>
        <w:rPr>
          <w:rFonts w:ascii="Times New Roman" w:hAnsi="Times New Roman" w:cs="Times New Roman"/>
          <w:sz w:val="24"/>
          <w:szCs w:val="24"/>
        </w:rPr>
      </w:pPr>
      <w:bookmarkStart w:id="558" w:name="_Toc521609778"/>
      <w:bookmarkStart w:id="559" w:name="_Toc533785598"/>
      <w:r w:rsidRPr="005C53F5">
        <w:rPr>
          <w:rFonts w:ascii="Times New Roman" w:hAnsi="Times New Roman" w:cs="Times New Roman"/>
          <w:sz w:val="24"/>
          <w:szCs w:val="24"/>
        </w:rPr>
        <w:t>По состоянию на дату утверждения Проспекта ценных бумаг у Эмитента отсутствуют облигации с обеспечением, размещение или обращение которых осуществлялось (осуществляется) на территории Российской Федерации. Размещаемые Облигации не являются облигациями с обеспечением.</w:t>
      </w:r>
      <w:bookmarkEnd w:id="558"/>
      <w:bookmarkEnd w:id="559"/>
    </w:p>
    <w:p w14:paraId="17177226" w14:textId="30E76F21"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60" w:name="_Toc39616435"/>
      <w:bookmarkStart w:id="561" w:name="_Toc36145676"/>
      <w:r w:rsidRPr="005C53F5">
        <w:rPr>
          <w:rFonts w:ascii="Times New Roman" w:hAnsi="Times New Roman" w:cs="Times New Roman"/>
          <w:b/>
          <w:sz w:val="24"/>
          <w:szCs w:val="24"/>
        </w:rPr>
        <w:t>9.5. Сведения об организациях, осуществляющих учет прав на эмиссионные ценные бумаги эмитента</w:t>
      </w:r>
      <w:bookmarkEnd w:id="560"/>
      <w:bookmarkEnd w:id="561"/>
    </w:p>
    <w:p w14:paraId="4606491F" w14:textId="77777777" w:rsidR="006B4C34" w:rsidRPr="005C53F5" w:rsidRDefault="006B4C34" w:rsidP="00057BE5">
      <w:pPr>
        <w:pStyle w:val="ConsPlusNormal"/>
        <w:ind w:firstLine="709"/>
        <w:jc w:val="both"/>
        <w:rPr>
          <w:rFonts w:ascii="Times New Roman" w:hAnsi="Times New Roman" w:cs="Times New Roman"/>
          <w:sz w:val="24"/>
          <w:szCs w:val="24"/>
        </w:rPr>
      </w:pPr>
      <w:bookmarkStart w:id="562" w:name="_Toc521609780"/>
      <w:bookmarkStart w:id="563" w:name="_Toc533785600"/>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562"/>
      <w:bookmarkEnd w:id="563"/>
    </w:p>
    <w:p w14:paraId="7982C83C"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64" w:name="_Toc39616436"/>
      <w:bookmarkStart w:id="565" w:name="_Toc36145677"/>
      <w:r w:rsidRPr="005C53F5">
        <w:rPr>
          <w:rFonts w:ascii="Times New Roman" w:hAnsi="Times New Roman" w:cs="Times New Roman"/>
          <w:b/>
          <w:sz w:val="24"/>
          <w:szCs w:val="24"/>
        </w:rPr>
        <w:t>9.6.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564"/>
      <w:bookmarkEnd w:id="565"/>
    </w:p>
    <w:p w14:paraId="1DCF99FE" w14:textId="77777777" w:rsidR="006B4C34" w:rsidRPr="005C53F5" w:rsidRDefault="006B4C34" w:rsidP="00057BE5">
      <w:pPr>
        <w:pStyle w:val="ConsPlusNormal"/>
        <w:ind w:firstLine="709"/>
        <w:jc w:val="both"/>
        <w:rPr>
          <w:rFonts w:ascii="Times New Roman" w:hAnsi="Times New Roman" w:cs="Times New Roman"/>
          <w:sz w:val="24"/>
          <w:szCs w:val="24"/>
        </w:rPr>
      </w:pPr>
      <w:bookmarkStart w:id="566" w:name="_Toc521609782"/>
      <w:bookmarkStart w:id="567" w:name="_Toc533785602"/>
      <w:r w:rsidRPr="005C53F5">
        <w:rPr>
          <w:rFonts w:ascii="Times New Roman" w:hAnsi="Times New Roman" w:cs="Times New Roman"/>
          <w:sz w:val="24"/>
          <w:szCs w:val="24"/>
        </w:rPr>
        <w:t>Сведения не указываются в соответствии с пунктом 91.3 Положения Банка России № 454-П.</w:t>
      </w:r>
      <w:bookmarkEnd w:id="566"/>
      <w:bookmarkEnd w:id="567"/>
    </w:p>
    <w:p w14:paraId="29489AFD" w14:textId="77777777"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68" w:name="_Toc39616437"/>
      <w:bookmarkStart w:id="569" w:name="_Toc36145678"/>
      <w:r w:rsidRPr="005C53F5">
        <w:rPr>
          <w:rFonts w:ascii="Times New Roman" w:hAnsi="Times New Roman" w:cs="Times New Roman"/>
          <w:b/>
          <w:sz w:val="24"/>
          <w:szCs w:val="24"/>
        </w:rPr>
        <w:t>9.7. Сведения об объявленных (начисленных) и о выплаченных дивидендах по акциям эмитента, а также о доходах по облигациям эмитента</w:t>
      </w:r>
      <w:bookmarkEnd w:id="568"/>
      <w:bookmarkEnd w:id="569"/>
    </w:p>
    <w:p w14:paraId="36D0DF12" w14:textId="3CD5B820" w:rsidR="003A1D6B" w:rsidRPr="005C53F5" w:rsidRDefault="00D15054"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szCs w:val="24"/>
        </w:rPr>
        <w:t>В соответствии с пунктом 91.3 Положения Банка России № 454-П в настоящем пункте приводится информация о доходах по ценным бумагам эмитента, размещение или обращение которых осуществлялось (осуществляется) на территории Российской Федерации</w:t>
      </w:r>
      <w:r w:rsidRPr="005C53F5">
        <w:rPr>
          <w:rFonts w:ascii="Times New Roman" w:hAnsi="Times New Roman" w:cs="Times New Roman"/>
          <w:sz w:val="24"/>
          <w:szCs w:val="22"/>
        </w:rPr>
        <w:t>.</w:t>
      </w:r>
    </w:p>
    <w:p w14:paraId="13A0B573" w14:textId="175DC7C9" w:rsidR="00D15054" w:rsidRPr="005C53F5" w:rsidRDefault="00D15054" w:rsidP="00057BE5">
      <w:pPr>
        <w:pStyle w:val="ConsPlusNormal"/>
        <w:ind w:firstLine="709"/>
        <w:jc w:val="both"/>
        <w:rPr>
          <w:rFonts w:ascii="Times New Roman" w:hAnsi="Times New Roman" w:cs="Times New Roman"/>
          <w:sz w:val="24"/>
          <w:szCs w:val="22"/>
        </w:rPr>
      </w:pPr>
      <w:r w:rsidRPr="005C53F5">
        <w:rPr>
          <w:rFonts w:ascii="Times New Roman" w:hAnsi="Times New Roman" w:cs="Times New Roman"/>
          <w:sz w:val="24"/>
          <w:szCs w:val="24"/>
        </w:rPr>
        <w:t>По состоянию на дату утверждения Проспекта ценных бумаг у Эмитента отсутствуют ценные бумаги, размещение или обращение которых осуществлялось (осуществляется) на территории Российской Федерации.</w:t>
      </w:r>
    </w:p>
    <w:p w14:paraId="53766BCB" w14:textId="5AC74BF8" w:rsidR="00BF5F06" w:rsidRPr="005C53F5" w:rsidRDefault="00BF5F06" w:rsidP="00057BE5">
      <w:pPr>
        <w:pStyle w:val="ConsPlusNormal"/>
        <w:ind w:firstLine="709"/>
        <w:jc w:val="both"/>
        <w:outlineLvl w:val="1"/>
        <w:rPr>
          <w:rFonts w:ascii="Times New Roman" w:hAnsi="Times New Roman" w:cs="Times New Roman"/>
          <w:b/>
          <w:sz w:val="24"/>
          <w:szCs w:val="24"/>
        </w:rPr>
      </w:pPr>
      <w:bookmarkStart w:id="570" w:name="_Toc39616438"/>
      <w:bookmarkStart w:id="571" w:name="_Toc36145681"/>
      <w:r w:rsidRPr="005C53F5">
        <w:rPr>
          <w:rFonts w:ascii="Times New Roman" w:hAnsi="Times New Roman" w:cs="Times New Roman"/>
          <w:b/>
          <w:sz w:val="24"/>
          <w:szCs w:val="24"/>
        </w:rPr>
        <w:t>9.8. Иные сведения</w:t>
      </w:r>
      <w:bookmarkEnd w:id="570"/>
      <w:bookmarkEnd w:id="571"/>
    </w:p>
    <w:p w14:paraId="61F15001" w14:textId="5A9F128C" w:rsidR="003A1D6B" w:rsidRPr="005C53F5" w:rsidRDefault="00AB2C3D" w:rsidP="00057BE5">
      <w:pPr>
        <w:pStyle w:val="ConsPlusNormal"/>
        <w:ind w:firstLine="709"/>
        <w:jc w:val="both"/>
        <w:rPr>
          <w:rFonts w:ascii="Times New Roman" w:hAnsi="Times New Roman" w:cs="Times New Roman"/>
          <w:sz w:val="24"/>
          <w:szCs w:val="24"/>
        </w:rPr>
      </w:pPr>
      <w:r w:rsidRPr="005C53F5">
        <w:rPr>
          <w:rFonts w:ascii="Times New Roman" w:hAnsi="Times New Roman" w:cs="Times New Roman"/>
          <w:sz w:val="24"/>
          <w:szCs w:val="22"/>
        </w:rPr>
        <w:t xml:space="preserve">Иные сведения отсутствуют. </w:t>
      </w:r>
    </w:p>
    <w:p w14:paraId="53065E4E" w14:textId="40E6665A" w:rsidR="003C46DC" w:rsidRPr="005C53F5" w:rsidRDefault="003C46DC" w:rsidP="00057BE5">
      <w:pPr>
        <w:pStyle w:val="ConsPlusNormal"/>
        <w:ind w:firstLine="539"/>
        <w:jc w:val="both"/>
        <w:rPr>
          <w:rFonts w:ascii="Times New Roman" w:hAnsi="Times New Roman" w:cs="Times New Roman"/>
          <w:sz w:val="24"/>
          <w:szCs w:val="24"/>
        </w:rPr>
      </w:pPr>
      <w:r w:rsidRPr="005C53F5">
        <w:rPr>
          <w:rFonts w:ascii="Times New Roman" w:hAnsi="Times New Roman" w:cs="Times New Roman"/>
          <w:sz w:val="24"/>
          <w:szCs w:val="24"/>
        </w:rPr>
        <w:br w:type="page"/>
      </w:r>
    </w:p>
    <w:p w14:paraId="3F490E8A" w14:textId="77777777" w:rsidR="004B7322" w:rsidRPr="005C53F5" w:rsidRDefault="004B7322" w:rsidP="00057BE5">
      <w:pPr>
        <w:pStyle w:val="ConsPlusNormal"/>
        <w:jc w:val="center"/>
        <w:rPr>
          <w:rFonts w:ascii="Times New Roman" w:hAnsi="Times New Roman" w:cs="Times New Roman"/>
          <w:b/>
          <w:sz w:val="24"/>
          <w:szCs w:val="24"/>
        </w:rPr>
      </w:pPr>
    </w:p>
    <w:p w14:paraId="1172BDB3" w14:textId="412DE256" w:rsidR="00C0193C" w:rsidRPr="005C53F5" w:rsidRDefault="00365C66" w:rsidP="00057BE5">
      <w:pPr>
        <w:pStyle w:val="ConsPlusNormal"/>
        <w:jc w:val="center"/>
        <w:outlineLvl w:val="0"/>
        <w:rPr>
          <w:rFonts w:ascii="Times New Roman" w:hAnsi="Times New Roman" w:cs="Times New Roman"/>
          <w:b/>
          <w:sz w:val="24"/>
          <w:szCs w:val="24"/>
        </w:rPr>
      </w:pPr>
      <w:bookmarkStart w:id="572" w:name="_Toc39616439"/>
      <w:bookmarkStart w:id="573" w:name="_Toc36145682"/>
      <w:r w:rsidRPr="005C53F5">
        <w:rPr>
          <w:rFonts w:ascii="Times New Roman" w:hAnsi="Times New Roman" w:cs="Times New Roman"/>
          <w:b/>
          <w:sz w:val="24"/>
          <w:szCs w:val="24"/>
        </w:rPr>
        <w:t>Приложение 1.</w:t>
      </w:r>
      <w:r w:rsidR="00C0193C" w:rsidRPr="005C53F5">
        <w:rPr>
          <w:rFonts w:ascii="Times New Roman" w:hAnsi="Times New Roman" w:cs="Times New Roman"/>
          <w:b/>
          <w:sz w:val="24"/>
          <w:szCs w:val="24"/>
        </w:rPr>
        <w:t xml:space="preserve"> Отчет об исполнении консолидированного бюджета Республики Казахстан за 201</w:t>
      </w:r>
      <w:r w:rsidR="00FA0800" w:rsidRPr="005C53F5">
        <w:rPr>
          <w:rFonts w:ascii="Times New Roman" w:hAnsi="Times New Roman" w:cs="Times New Roman"/>
          <w:b/>
          <w:sz w:val="24"/>
          <w:szCs w:val="24"/>
        </w:rPr>
        <w:t>6</w:t>
      </w:r>
      <w:r w:rsidR="00C0193C" w:rsidRPr="005C53F5">
        <w:rPr>
          <w:rFonts w:ascii="Times New Roman" w:hAnsi="Times New Roman" w:cs="Times New Roman"/>
          <w:b/>
          <w:sz w:val="24"/>
          <w:szCs w:val="24"/>
        </w:rPr>
        <w:t xml:space="preserve"> год</w:t>
      </w:r>
      <w:bookmarkEnd w:id="572"/>
      <w:r w:rsidR="000428BA" w:rsidRPr="005C53F5">
        <w:rPr>
          <w:rFonts w:ascii="Times New Roman" w:hAnsi="Times New Roman" w:cs="Times New Roman"/>
          <w:b/>
          <w:sz w:val="24"/>
          <w:szCs w:val="24"/>
        </w:rPr>
        <w:t xml:space="preserve"> </w:t>
      </w:r>
    </w:p>
    <w:p w14:paraId="011C0CA0" w14:textId="77777777" w:rsidR="009F7FF6" w:rsidRPr="005C53F5" w:rsidDel="00D17896" w:rsidRDefault="00D17896" w:rsidP="00057BE5">
      <w:pPr>
        <w:spacing w:after="0" w:line="240" w:lineRule="auto"/>
        <w:rPr>
          <w:rFonts w:ascii="Times New Roman" w:hAnsi="Times New Roman" w:cs="Times New Roman"/>
          <w:sz w:val="24"/>
          <w:szCs w:val="24"/>
        </w:rPr>
      </w:pPr>
      <w:r w:rsidRPr="005C53F5" w:rsidDel="00D17896">
        <w:rPr>
          <w:rFonts w:ascii="Times New Roman" w:hAnsi="Times New Roman" w:cs="Times New Roman"/>
          <w:sz w:val="24"/>
          <w:szCs w:val="24"/>
        </w:rPr>
        <w:t xml:space="preserve"> </w:t>
      </w:r>
    </w:p>
    <w:tbl>
      <w:tblPr>
        <w:tblW w:w="9923" w:type="dxa"/>
        <w:tblLook w:val="04A0" w:firstRow="1" w:lastRow="0" w:firstColumn="1" w:lastColumn="0" w:noHBand="0" w:noVBand="1"/>
      </w:tblPr>
      <w:tblGrid>
        <w:gridCol w:w="5245"/>
        <w:gridCol w:w="2126"/>
        <w:gridCol w:w="1418"/>
        <w:gridCol w:w="1134"/>
      </w:tblGrid>
      <w:tr w:rsidR="009F7FF6" w:rsidRPr="005C53F5" w14:paraId="4ECD39B9" w14:textId="77777777" w:rsidTr="009F6321">
        <w:trPr>
          <w:trHeight w:val="315"/>
        </w:trPr>
        <w:tc>
          <w:tcPr>
            <w:tcW w:w="5245" w:type="dxa"/>
            <w:tcBorders>
              <w:top w:val="nil"/>
              <w:left w:val="nil"/>
              <w:bottom w:val="nil"/>
              <w:right w:val="nil"/>
            </w:tcBorders>
            <w:shd w:val="clear" w:color="auto" w:fill="auto"/>
            <w:vAlign w:val="center"/>
            <w:hideMark/>
          </w:tcPr>
          <w:p w14:paraId="2C1CF692" w14:textId="77777777" w:rsidR="009F7FF6" w:rsidRPr="005C53F5" w:rsidRDefault="009F7FF6" w:rsidP="00057BE5">
            <w:pPr>
              <w:spacing w:after="0" w:line="240" w:lineRule="auto"/>
              <w:rPr>
                <w:rFonts w:ascii="Times New Roman" w:eastAsia="Times New Roman" w:hAnsi="Times New Roman" w:cs="Times New Roman"/>
                <w:sz w:val="24"/>
                <w:szCs w:val="24"/>
                <w:lang w:eastAsia="ru-RU"/>
              </w:rPr>
            </w:pPr>
          </w:p>
        </w:tc>
        <w:tc>
          <w:tcPr>
            <w:tcW w:w="2126" w:type="dxa"/>
            <w:tcBorders>
              <w:top w:val="nil"/>
              <w:left w:val="nil"/>
              <w:bottom w:val="nil"/>
              <w:right w:val="nil"/>
            </w:tcBorders>
            <w:shd w:val="clear" w:color="auto" w:fill="auto"/>
            <w:vAlign w:val="center"/>
            <w:hideMark/>
          </w:tcPr>
          <w:p w14:paraId="6E2C0B77" w14:textId="77777777" w:rsidR="009F7FF6" w:rsidRPr="005C53F5" w:rsidRDefault="009F7FF6" w:rsidP="00057BE5">
            <w:pPr>
              <w:spacing w:after="0" w:line="240" w:lineRule="auto"/>
              <w:jc w:val="center"/>
              <w:rPr>
                <w:rFonts w:ascii="Times New Roman" w:eastAsia="Times New Roman" w:hAnsi="Times New Roman" w:cs="Times New Roman"/>
                <w:sz w:val="20"/>
                <w:szCs w:val="20"/>
                <w:lang w:eastAsia="ru-RU"/>
              </w:rPr>
            </w:pPr>
          </w:p>
        </w:tc>
        <w:tc>
          <w:tcPr>
            <w:tcW w:w="1418" w:type="dxa"/>
            <w:tcBorders>
              <w:top w:val="nil"/>
              <w:left w:val="nil"/>
              <w:bottom w:val="nil"/>
              <w:right w:val="nil"/>
            </w:tcBorders>
            <w:shd w:val="clear" w:color="auto" w:fill="auto"/>
            <w:vAlign w:val="center"/>
            <w:hideMark/>
          </w:tcPr>
          <w:p w14:paraId="2AC0C410" w14:textId="77777777" w:rsidR="009F7FF6" w:rsidRPr="005C53F5" w:rsidRDefault="009F7FF6" w:rsidP="00057BE5">
            <w:pPr>
              <w:spacing w:after="0" w:line="240" w:lineRule="auto"/>
              <w:jc w:val="center"/>
              <w:rPr>
                <w:rFonts w:ascii="Times New Roman" w:eastAsia="Times New Roman" w:hAnsi="Times New Roman" w:cs="Times New Roman"/>
                <w:sz w:val="20"/>
                <w:szCs w:val="20"/>
                <w:lang w:eastAsia="ru-RU"/>
              </w:rPr>
            </w:pPr>
          </w:p>
        </w:tc>
        <w:tc>
          <w:tcPr>
            <w:tcW w:w="1134" w:type="dxa"/>
            <w:tcBorders>
              <w:top w:val="nil"/>
              <w:left w:val="nil"/>
              <w:bottom w:val="nil"/>
              <w:right w:val="nil"/>
            </w:tcBorders>
            <w:shd w:val="clear" w:color="auto" w:fill="auto"/>
            <w:noWrap/>
            <w:vAlign w:val="bottom"/>
            <w:hideMark/>
          </w:tcPr>
          <w:p w14:paraId="402E645E" w14:textId="77777777" w:rsidR="009F7FF6" w:rsidRPr="005C53F5" w:rsidRDefault="009F7FF6" w:rsidP="00057BE5">
            <w:pPr>
              <w:spacing w:after="0" w:line="240" w:lineRule="auto"/>
              <w:jc w:val="right"/>
              <w:rPr>
                <w:rFonts w:ascii="Times New Roman" w:eastAsia="Times New Roman" w:hAnsi="Times New Roman" w:cs="Times New Roman"/>
                <w:i/>
                <w:iCs/>
                <w:sz w:val="18"/>
                <w:szCs w:val="18"/>
                <w:lang w:eastAsia="ru-RU"/>
              </w:rPr>
            </w:pPr>
            <w:r w:rsidRPr="005C53F5">
              <w:rPr>
                <w:rFonts w:ascii="Times New Roman" w:eastAsia="Times New Roman" w:hAnsi="Times New Roman" w:cs="Times New Roman"/>
                <w:i/>
                <w:iCs/>
                <w:sz w:val="18"/>
                <w:szCs w:val="18"/>
                <w:lang w:eastAsia="ru-RU"/>
              </w:rPr>
              <w:t>тыс. тенге</w:t>
            </w:r>
          </w:p>
        </w:tc>
      </w:tr>
      <w:tr w:rsidR="009F7FF6" w:rsidRPr="005C53F5" w14:paraId="438DE40C" w14:textId="77777777" w:rsidTr="009F6321">
        <w:trPr>
          <w:trHeight w:val="438"/>
        </w:trPr>
        <w:tc>
          <w:tcPr>
            <w:tcW w:w="52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2C444D" w14:textId="77777777" w:rsidR="009F7FF6" w:rsidRPr="005C53F5" w:rsidRDefault="009F7FF6" w:rsidP="00057BE5">
            <w:pPr>
              <w:spacing w:after="0" w:line="240" w:lineRule="auto"/>
              <w:jc w:val="center"/>
              <w:rPr>
                <w:rFonts w:ascii="Times New Roman" w:eastAsia="Times New Roman" w:hAnsi="Times New Roman" w:cs="Times New Roman"/>
                <w:sz w:val="14"/>
                <w:szCs w:val="14"/>
                <w:lang w:eastAsia="ru-RU"/>
              </w:rPr>
            </w:pPr>
            <w:r w:rsidRPr="005C53F5">
              <w:rPr>
                <w:rFonts w:ascii="Times New Roman" w:eastAsia="Times New Roman" w:hAnsi="Times New Roman" w:cs="Times New Roman"/>
                <w:sz w:val="14"/>
                <w:szCs w:val="14"/>
                <w:lang w:eastAsia="ru-RU"/>
              </w:rPr>
              <w:t xml:space="preserve">Наименование </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450C7F" w14:textId="77777777" w:rsidR="009F7FF6" w:rsidRPr="005C53F5" w:rsidRDefault="009F7FF6" w:rsidP="00057BE5">
            <w:pPr>
              <w:spacing w:after="0" w:line="240" w:lineRule="auto"/>
              <w:jc w:val="center"/>
              <w:rPr>
                <w:rFonts w:ascii="Times New Roman" w:eastAsia="Times New Roman" w:hAnsi="Times New Roman" w:cs="Times New Roman"/>
                <w:sz w:val="14"/>
                <w:szCs w:val="14"/>
                <w:lang w:eastAsia="ru-RU"/>
              </w:rPr>
            </w:pPr>
            <w:r w:rsidRPr="005C53F5">
              <w:rPr>
                <w:rFonts w:ascii="Times New Roman" w:eastAsia="Times New Roman" w:hAnsi="Times New Roman" w:cs="Times New Roman"/>
                <w:sz w:val="14"/>
                <w:szCs w:val="14"/>
                <w:lang w:eastAsia="ru-RU"/>
              </w:rPr>
              <w:t>Скорректированный  бюджет</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FD4BC3" w14:textId="77777777" w:rsidR="009F7FF6" w:rsidRPr="005C53F5" w:rsidRDefault="009F7FF6" w:rsidP="00057BE5">
            <w:pPr>
              <w:spacing w:after="0" w:line="240" w:lineRule="auto"/>
              <w:jc w:val="center"/>
              <w:rPr>
                <w:rFonts w:ascii="Times New Roman" w:eastAsia="Times New Roman" w:hAnsi="Times New Roman" w:cs="Times New Roman"/>
                <w:sz w:val="14"/>
                <w:szCs w:val="14"/>
                <w:lang w:eastAsia="ru-RU"/>
              </w:rPr>
            </w:pPr>
            <w:r w:rsidRPr="005C53F5">
              <w:rPr>
                <w:rFonts w:ascii="Times New Roman" w:eastAsia="Times New Roman" w:hAnsi="Times New Roman" w:cs="Times New Roman"/>
                <w:sz w:val="14"/>
                <w:szCs w:val="14"/>
                <w:lang w:eastAsia="ru-RU"/>
              </w:rPr>
              <w:t>Исполнение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5059B2" w14:textId="77777777" w:rsidR="009F7FF6" w:rsidRPr="005C53F5" w:rsidRDefault="009F7FF6" w:rsidP="00057BE5">
            <w:pPr>
              <w:spacing w:after="0" w:line="240" w:lineRule="auto"/>
              <w:jc w:val="center"/>
              <w:rPr>
                <w:rFonts w:ascii="Times New Roman" w:eastAsia="Times New Roman" w:hAnsi="Times New Roman" w:cs="Times New Roman"/>
                <w:sz w:val="14"/>
                <w:szCs w:val="14"/>
                <w:lang w:eastAsia="ru-RU"/>
              </w:rPr>
            </w:pPr>
            <w:r w:rsidRPr="005C53F5">
              <w:rPr>
                <w:rFonts w:ascii="Times New Roman" w:eastAsia="Times New Roman" w:hAnsi="Times New Roman" w:cs="Times New Roman"/>
                <w:sz w:val="14"/>
                <w:szCs w:val="14"/>
                <w:lang w:eastAsia="ru-RU"/>
              </w:rPr>
              <w:t>% исполнения</w:t>
            </w:r>
          </w:p>
        </w:tc>
      </w:tr>
      <w:tr w:rsidR="009F7FF6" w:rsidRPr="005C53F5" w14:paraId="451ABE3B" w14:textId="77777777" w:rsidTr="009F6321">
        <w:trPr>
          <w:trHeight w:val="496"/>
        </w:trPr>
        <w:tc>
          <w:tcPr>
            <w:tcW w:w="5245" w:type="dxa"/>
            <w:vMerge/>
            <w:tcBorders>
              <w:top w:val="single" w:sz="4" w:space="0" w:color="auto"/>
              <w:left w:val="single" w:sz="4" w:space="0" w:color="auto"/>
              <w:bottom w:val="single" w:sz="4" w:space="0" w:color="000000"/>
              <w:right w:val="single" w:sz="4" w:space="0" w:color="auto"/>
            </w:tcBorders>
            <w:vAlign w:val="center"/>
            <w:hideMark/>
          </w:tcPr>
          <w:p w14:paraId="357266CB" w14:textId="77777777" w:rsidR="009F7FF6" w:rsidRPr="005C53F5" w:rsidRDefault="009F7FF6" w:rsidP="00057BE5">
            <w:pPr>
              <w:spacing w:after="0" w:line="240" w:lineRule="auto"/>
              <w:rPr>
                <w:rFonts w:ascii="Times New Roman" w:eastAsia="Times New Roman" w:hAnsi="Times New Roman" w:cs="Times New Roman"/>
                <w:sz w:val="14"/>
                <w:szCs w:val="14"/>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00DE49B3" w14:textId="77777777" w:rsidR="009F7FF6" w:rsidRPr="005C53F5" w:rsidRDefault="009F7FF6" w:rsidP="00057BE5">
            <w:pPr>
              <w:spacing w:after="0" w:line="240" w:lineRule="auto"/>
              <w:rPr>
                <w:rFonts w:ascii="Times New Roman" w:eastAsia="Times New Roman" w:hAnsi="Times New Roman" w:cs="Times New Roman"/>
                <w:sz w:val="14"/>
                <w:szCs w:val="14"/>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ABE043C" w14:textId="77777777" w:rsidR="009F7FF6" w:rsidRPr="005C53F5" w:rsidRDefault="009F7FF6" w:rsidP="00057BE5">
            <w:pPr>
              <w:spacing w:after="0" w:line="240" w:lineRule="auto"/>
              <w:rPr>
                <w:rFonts w:ascii="Times New Roman" w:eastAsia="Times New Roman" w:hAnsi="Times New Roman" w:cs="Times New Roman"/>
                <w:sz w:val="14"/>
                <w:szCs w:val="14"/>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6B55215" w14:textId="77777777" w:rsidR="009F7FF6" w:rsidRPr="005C53F5" w:rsidRDefault="009F7FF6" w:rsidP="00057BE5">
            <w:pPr>
              <w:spacing w:after="0" w:line="240" w:lineRule="auto"/>
              <w:rPr>
                <w:rFonts w:ascii="Times New Roman" w:eastAsia="Times New Roman" w:hAnsi="Times New Roman" w:cs="Times New Roman"/>
                <w:sz w:val="14"/>
                <w:szCs w:val="14"/>
                <w:lang w:eastAsia="ru-RU"/>
              </w:rPr>
            </w:pPr>
          </w:p>
        </w:tc>
      </w:tr>
      <w:tr w:rsidR="009F7FF6" w:rsidRPr="005C53F5" w14:paraId="1452FE57" w14:textId="77777777" w:rsidTr="009F6321">
        <w:trPr>
          <w:trHeight w:val="255"/>
        </w:trPr>
        <w:tc>
          <w:tcPr>
            <w:tcW w:w="5245" w:type="dxa"/>
            <w:tcBorders>
              <w:top w:val="nil"/>
              <w:left w:val="nil"/>
              <w:bottom w:val="nil"/>
              <w:right w:val="nil"/>
            </w:tcBorders>
            <w:shd w:val="clear" w:color="auto" w:fill="auto"/>
            <w:vAlign w:val="center"/>
            <w:hideMark/>
          </w:tcPr>
          <w:p w14:paraId="5C519DCB" w14:textId="77777777" w:rsidR="009F7FF6" w:rsidRPr="005C53F5" w:rsidRDefault="009F7FF6" w:rsidP="00057BE5">
            <w:pPr>
              <w:spacing w:after="0" w:line="240" w:lineRule="auto"/>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I. ДОХОДЫ</w:t>
            </w:r>
          </w:p>
        </w:tc>
        <w:tc>
          <w:tcPr>
            <w:tcW w:w="2126" w:type="dxa"/>
            <w:tcBorders>
              <w:top w:val="nil"/>
              <w:left w:val="nil"/>
              <w:bottom w:val="nil"/>
              <w:right w:val="nil"/>
            </w:tcBorders>
            <w:shd w:val="clear" w:color="auto" w:fill="auto"/>
            <w:noWrap/>
            <w:vAlign w:val="center"/>
            <w:hideMark/>
          </w:tcPr>
          <w:p w14:paraId="421F69DC"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7 684 223 403,5</w:t>
            </w:r>
          </w:p>
        </w:tc>
        <w:tc>
          <w:tcPr>
            <w:tcW w:w="1418" w:type="dxa"/>
            <w:tcBorders>
              <w:top w:val="nil"/>
              <w:left w:val="nil"/>
              <w:bottom w:val="nil"/>
              <w:right w:val="nil"/>
            </w:tcBorders>
            <w:shd w:val="clear" w:color="auto" w:fill="auto"/>
            <w:noWrap/>
            <w:vAlign w:val="center"/>
            <w:hideMark/>
          </w:tcPr>
          <w:p w14:paraId="4A2CF317"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7 438 558 613,2</w:t>
            </w:r>
          </w:p>
        </w:tc>
        <w:tc>
          <w:tcPr>
            <w:tcW w:w="1134" w:type="dxa"/>
            <w:tcBorders>
              <w:top w:val="nil"/>
              <w:left w:val="nil"/>
              <w:bottom w:val="nil"/>
              <w:right w:val="nil"/>
            </w:tcBorders>
            <w:shd w:val="clear" w:color="auto" w:fill="auto"/>
            <w:noWrap/>
            <w:vAlign w:val="center"/>
            <w:hideMark/>
          </w:tcPr>
          <w:p w14:paraId="39768ED9" w14:textId="77777777" w:rsidR="009F7FF6" w:rsidRPr="005C53F5" w:rsidRDefault="009F7FF6" w:rsidP="00057BE5">
            <w:pPr>
              <w:spacing w:after="0" w:line="240" w:lineRule="auto"/>
              <w:jc w:val="center"/>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96,8</w:t>
            </w:r>
          </w:p>
        </w:tc>
      </w:tr>
      <w:tr w:rsidR="009F7FF6" w:rsidRPr="005C53F5" w14:paraId="0E467F2C" w14:textId="77777777" w:rsidTr="009F6321">
        <w:trPr>
          <w:trHeight w:val="255"/>
        </w:trPr>
        <w:tc>
          <w:tcPr>
            <w:tcW w:w="5245" w:type="dxa"/>
            <w:tcBorders>
              <w:top w:val="nil"/>
              <w:left w:val="nil"/>
              <w:bottom w:val="nil"/>
              <w:right w:val="nil"/>
            </w:tcBorders>
            <w:shd w:val="clear" w:color="auto" w:fill="auto"/>
            <w:vAlign w:val="center"/>
            <w:hideMark/>
          </w:tcPr>
          <w:p w14:paraId="4EF40B79"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НАЛОГОВЫЕ ПОСТУПЛЕНИЯ</w:t>
            </w:r>
          </w:p>
        </w:tc>
        <w:tc>
          <w:tcPr>
            <w:tcW w:w="2126" w:type="dxa"/>
            <w:tcBorders>
              <w:top w:val="nil"/>
              <w:left w:val="nil"/>
              <w:bottom w:val="nil"/>
              <w:right w:val="nil"/>
            </w:tcBorders>
            <w:shd w:val="clear" w:color="auto" w:fill="auto"/>
            <w:noWrap/>
            <w:vAlign w:val="center"/>
            <w:hideMark/>
          </w:tcPr>
          <w:p w14:paraId="0368FFD2"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6 851 536 464,5</w:t>
            </w:r>
          </w:p>
        </w:tc>
        <w:tc>
          <w:tcPr>
            <w:tcW w:w="1418" w:type="dxa"/>
            <w:tcBorders>
              <w:top w:val="nil"/>
              <w:left w:val="nil"/>
              <w:bottom w:val="nil"/>
              <w:right w:val="nil"/>
            </w:tcBorders>
            <w:shd w:val="clear" w:color="auto" w:fill="auto"/>
            <w:noWrap/>
            <w:vAlign w:val="center"/>
            <w:hideMark/>
          </w:tcPr>
          <w:p w14:paraId="6E2ACD1D"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7 153 319 545,3</w:t>
            </w:r>
          </w:p>
        </w:tc>
        <w:tc>
          <w:tcPr>
            <w:tcW w:w="1134" w:type="dxa"/>
            <w:tcBorders>
              <w:top w:val="nil"/>
              <w:left w:val="nil"/>
              <w:bottom w:val="nil"/>
              <w:right w:val="nil"/>
            </w:tcBorders>
            <w:shd w:val="clear" w:color="auto" w:fill="auto"/>
            <w:noWrap/>
            <w:vAlign w:val="center"/>
            <w:hideMark/>
          </w:tcPr>
          <w:p w14:paraId="7B0BC9B8" w14:textId="77777777" w:rsidR="009F7FF6" w:rsidRPr="005C53F5" w:rsidRDefault="009F7FF6" w:rsidP="00057BE5">
            <w:pPr>
              <w:spacing w:after="0" w:line="240" w:lineRule="auto"/>
              <w:jc w:val="center"/>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104,4</w:t>
            </w:r>
          </w:p>
        </w:tc>
      </w:tr>
      <w:tr w:rsidR="009F7FF6" w:rsidRPr="005C53F5" w14:paraId="72899A8B" w14:textId="77777777" w:rsidTr="009F6321">
        <w:trPr>
          <w:trHeight w:val="255"/>
        </w:trPr>
        <w:tc>
          <w:tcPr>
            <w:tcW w:w="5245" w:type="dxa"/>
            <w:tcBorders>
              <w:top w:val="nil"/>
              <w:left w:val="nil"/>
              <w:bottom w:val="nil"/>
              <w:right w:val="nil"/>
            </w:tcBorders>
            <w:shd w:val="clear" w:color="auto" w:fill="auto"/>
            <w:vAlign w:val="center"/>
            <w:hideMark/>
          </w:tcPr>
          <w:p w14:paraId="4189810B"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Налоговые поступления</w:t>
            </w:r>
          </w:p>
        </w:tc>
        <w:tc>
          <w:tcPr>
            <w:tcW w:w="2126" w:type="dxa"/>
            <w:tcBorders>
              <w:top w:val="nil"/>
              <w:left w:val="nil"/>
              <w:bottom w:val="nil"/>
              <w:right w:val="nil"/>
            </w:tcBorders>
            <w:shd w:val="clear" w:color="auto" w:fill="auto"/>
            <w:noWrap/>
            <w:vAlign w:val="center"/>
            <w:hideMark/>
          </w:tcPr>
          <w:p w14:paraId="53285677"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6 851 536 464,5</w:t>
            </w:r>
          </w:p>
        </w:tc>
        <w:tc>
          <w:tcPr>
            <w:tcW w:w="1418" w:type="dxa"/>
            <w:tcBorders>
              <w:top w:val="nil"/>
              <w:left w:val="nil"/>
              <w:bottom w:val="nil"/>
              <w:right w:val="nil"/>
            </w:tcBorders>
            <w:shd w:val="clear" w:color="auto" w:fill="auto"/>
            <w:noWrap/>
            <w:vAlign w:val="center"/>
            <w:hideMark/>
          </w:tcPr>
          <w:p w14:paraId="4D89FA68"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7 153 319 545,3</w:t>
            </w:r>
          </w:p>
        </w:tc>
        <w:tc>
          <w:tcPr>
            <w:tcW w:w="1134" w:type="dxa"/>
            <w:tcBorders>
              <w:top w:val="nil"/>
              <w:left w:val="nil"/>
              <w:bottom w:val="nil"/>
              <w:right w:val="nil"/>
            </w:tcBorders>
            <w:shd w:val="clear" w:color="auto" w:fill="auto"/>
            <w:noWrap/>
            <w:vAlign w:val="center"/>
            <w:hideMark/>
          </w:tcPr>
          <w:p w14:paraId="41584631"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104,4</w:t>
            </w:r>
          </w:p>
        </w:tc>
      </w:tr>
      <w:tr w:rsidR="009F7FF6" w:rsidRPr="005C53F5" w14:paraId="68E80AAC" w14:textId="77777777" w:rsidTr="009F6321">
        <w:trPr>
          <w:trHeight w:val="255"/>
        </w:trPr>
        <w:tc>
          <w:tcPr>
            <w:tcW w:w="5245" w:type="dxa"/>
            <w:tcBorders>
              <w:top w:val="nil"/>
              <w:left w:val="nil"/>
              <w:bottom w:val="nil"/>
              <w:right w:val="nil"/>
            </w:tcBorders>
            <w:shd w:val="clear" w:color="auto" w:fill="auto"/>
            <w:vAlign w:val="center"/>
            <w:hideMark/>
          </w:tcPr>
          <w:p w14:paraId="23FAB10C"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НЕНАЛОГОВЫЕ ПОСТУПЛЕНИЯ</w:t>
            </w:r>
          </w:p>
        </w:tc>
        <w:tc>
          <w:tcPr>
            <w:tcW w:w="2126" w:type="dxa"/>
            <w:tcBorders>
              <w:top w:val="nil"/>
              <w:left w:val="nil"/>
              <w:bottom w:val="nil"/>
              <w:right w:val="nil"/>
            </w:tcBorders>
            <w:shd w:val="clear" w:color="auto" w:fill="auto"/>
            <w:noWrap/>
            <w:vAlign w:val="center"/>
            <w:hideMark/>
          </w:tcPr>
          <w:p w14:paraId="6366D839"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328 701 554,3</w:t>
            </w:r>
          </w:p>
        </w:tc>
        <w:tc>
          <w:tcPr>
            <w:tcW w:w="1418" w:type="dxa"/>
            <w:tcBorders>
              <w:top w:val="nil"/>
              <w:left w:val="nil"/>
              <w:bottom w:val="nil"/>
              <w:right w:val="nil"/>
            </w:tcBorders>
            <w:shd w:val="clear" w:color="auto" w:fill="auto"/>
            <w:noWrap/>
            <w:vAlign w:val="center"/>
            <w:hideMark/>
          </w:tcPr>
          <w:p w14:paraId="7B81EBC1"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377 291 523,7</w:t>
            </w:r>
          </w:p>
        </w:tc>
        <w:tc>
          <w:tcPr>
            <w:tcW w:w="1134" w:type="dxa"/>
            <w:tcBorders>
              <w:top w:val="nil"/>
              <w:left w:val="nil"/>
              <w:bottom w:val="nil"/>
              <w:right w:val="nil"/>
            </w:tcBorders>
            <w:shd w:val="clear" w:color="auto" w:fill="auto"/>
            <w:noWrap/>
            <w:vAlign w:val="center"/>
            <w:hideMark/>
          </w:tcPr>
          <w:p w14:paraId="423E3E47" w14:textId="77777777" w:rsidR="009F7FF6" w:rsidRPr="005C53F5" w:rsidRDefault="009F7FF6" w:rsidP="00057BE5">
            <w:pPr>
              <w:spacing w:after="0" w:line="240" w:lineRule="auto"/>
              <w:jc w:val="center"/>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114,8</w:t>
            </w:r>
          </w:p>
        </w:tc>
      </w:tr>
      <w:tr w:rsidR="009F7FF6" w:rsidRPr="005C53F5" w14:paraId="0E7ADB44" w14:textId="77777777" w:rsidTr="009F6321">
        <w:trPr>
          <w:trHeight w:val="255"/>
        </w:trPr>
        <w:tc>
          <w:tcPr>
            <w:tcW w:w="5245" w:type="dxa"/>
            <w:tcBorders>
              <w:top w:val="nil"/>
              <w:left w:val="nil"/>
              <w:bottom w:val="nil"/>
              <w:right w:val="nil"/>
            </w:tcBorders>
            <w:shd w:val="clear" w:color="auto" w:fill="auto"/>
            <w:vAlign w:val="center"/>
            <w:hideMark/>
          </w:tcPr>
          <w:p w14:paraId="28EE635E"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Неналоговые поступления</w:t>
            </w:r>
          </w:p>
        </w:tc>
        <w:tc>
          <w:tcPr>
            <w:tcW w:w="2126" w:type="dxa"/>
            <w:tcBorders>
              <w:top w:val="nil"/>
              <w:left w:val="nil"/>
              <w:bottom w:val="nil"/>
              <w:right w:val="nil"/>
            </w:tcBorders>
            <w:shd w:val="clear" w:color="auto" w:fill="auto"/>
            <w:noWrap/>
            <w:vAlign w:val="center"/>
            <w:hideMark/>
          </w:tcPr>
          <w:p w14:paraId="5C66E2CA"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328 701 554,3</w:t>
            </w:r>
          </w:p>
        </w:tc>
        <w:tc>
          <w:tcPr>
            <w:tcW w:w="1418" w:type="dxa"/>
            <w:tcBorders>
              <w:top w:val="nil"/>
              <w:left w:val="nil"/>
              <w:bottom w:val="nil"/>
              <w:right w:val="nil"/>
            </w:tcBorders>
            <w:shd w:val="clear" w:color="auto" w:fill="auto"/>
            <w:noWrap/>
            <w:vAlign w:val="center"/>
            <w:hideMark/>
          </w:tcPr>
          <w:p w14:paraId="721750D2"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377 291 523,7</w:t>
            </w:r>
          </w:p>
        </w:tc>
        <w:tc>
          <w:tcPr>
            <w:tcW w:w="1134" w:type="dxa"/>
            <w:tcBorders>
              <w:top w:val="nil"/>
              <w:left w:val="nil"/>
              <w:bottom w:val="nil"/>
              <w:right w:val="nil"/>
            </w:tcBorders>
            <w:shd w:val="clear" w:color="auto" w:fill="auto"/>
            <w:noWrap/>
            <w:vAlign w:val="center"/>
            <w:hideMark/>
          </w:tcPr>
          <w:p w14:paraId="038488A5"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114,8</w:t>
            </w:r>
          </w:p>
        </w:tc>
      </w:tr>
      <w:tr w:rsidR="009F7FF6" w:rsidRPr="005C53F5" w14:paraId="42B07FC5" w14:textId="77777777" w:rsidTr="009F6321">
        <w:trPr>
          <w:trHeight w:val="270"/>
        </w:trPr>
        <w:tc>
          <w:tcPr>
            <w:tcW w:w="5245" w:type="dxa"/>
            <w:tcBorders>
              <w:top w:val="nil"/>
              <w:left w:val="nil"/>
              <w:bottom w:val="nil"/>
              <w:right w:val="nil"/>
            </w:tcBorders>
            <w:shd w:val="clear" w:color="auto" w:fill="auto"/>
            <w:vAlign w:val="center"/>
            <w:hideMark/>
          </w:tcPr>
          <w:p w14:paraId="1A3A7175"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ПОСТУПЛЕНИЯ ОТ ПРОДАЖИ ОСНОВНОГО КАПИТАЛА</w:t>
            </w:r>
          </w:p>
        </w:tc>
        <w:tc>
          <w:tcPr>
            <w:tcW w:w="2126" w:type="dxa"/>
            <w:tcBorders>
              <w:top w:val="nil"/>
              <w:left w:val="nil"/>
              <w:bottom w:val="nil"/>
              <w:right w:val="nil"/>
            </w:tcBorders>
            <w:shd w:val="clear" w:color="auto" w:fill="auto"/>
            <w:noWrap/>
            <w:vAlign w:val="center"/>
            <w:hideMark/>
          </w:tcPr>
          <w:p w14:paraId="4F1F605B"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58 070 584,7</w:t>
            </w:r>
          </w:p>
        </w:tc>
        <w:tc>
          <w:tcPr>
            <w:tcW w:w="1418" w:type="dxa"/>
            <w:tcBorders>
              <w:top w:val="nil"/>
              <w:left w:val="nil"/>
              <w:bottom w:val="nil"/>
              <w:right w:val="nil"/>
            </w:tcBorders>
            <w:shd w:val="clear" w:color="auto" w:fill="auto"/>
            <w:noWrap/>
            <w:vAlign w:val="center"/>
            <w:hideMark/>
          </w:tcPr>
          <w:p w14:paraId="01C06E83"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61 059 579,2</w:t>
            </w:r>
          </w:p>
        </w:tc>
        <w:tc>
          <w:tcPr>
            <w:tcW w:w="1134" w:type="dxa"/>
            <w:tcBorders>
              <w:top w:val="nil"/>
              <w:left w:val="nil"/>
              <w:bottom w:val="nil"/>
              <w:right w:val="nil"/>
            </w:tcBorders>
            <w:shd w:val="clear" w:color="auto" w:fill="auto"/>
            <w:noWrap/>
            <w:vAlign w:val="center"/>
            <w:hideMark/>
          </w:tcPr>
          <w:p w14:paraId="4E5C36D6" w14:textId="77777777" w:rsidR="009F7FF6" w:rsidRPr="005C53F5" w:rsidRDefault="009F7FF6" w:rsidP="00057BE5">
            <w:pPr>
              <w:spacing w:after="0" w:line="240" w:lineRule="auto"/>
              <w:jc w:val="center"/>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105,1</w:t>
            </w:r>
          </w:p>
        </w:tc>
      </w:tr>
      <w:tr w:rsidR="009F7FF6" w:rsidRPr="005C53F5" w14:paraId="7EA8C98E" w14:textId="77777777" w:rsidTr="009F6321">
        <w:trPr>
          <w:trHeight w:val="255"/>
        </w:trPr>
        <w:tc>
          <w:tcPr>
            <w:tcW w:w="5245" w:type="dxa"/>
            <w:tcBorders>
              <w:top w:val="nil"/>
              <w:left w:val="nil"/>
              <w:bottom w:val="nil"/>
              <w:right w:val="nil"/>
            </w:tcBorders>
            <w:shd w:val="clear" w:color="auto" w:fill="auto"/>
            <w:vAlign w:val="center"/>
            <w:hideMark/>
          </w:tcPr>
          <w:p w14:paraId="082272C0"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от продажи основного капитала</w:t>
            </w:r>
          </w:p>
        </w:tc>
        <w:tc>
          <w:tcPr>
            <w:tcW w:w="2126" w:type="dxa"/>
            <w:tcBorders>
              <w:top w:val="nil"/>
              <w:left w:val="nil"/>
              <w:bottom w:val="nil"/>
              <w:right w:val="nil"/>
            </w:tcBorders>
            <w:shd w:val="clear" w:color="auto" w:fill="auto"/>
            <w:noWrap/>
            <w:vAlign w:val="center"/>
            <w:hideMark/>
          </w:tcPr>
          <w:p w14:paraId="2C98DC7C"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58 070 584,7</w:t>
            </w:r>
          </w:p>
        </w:tc>
        <w:tc>
          <w:tcPr>
            <w:tcW w:w="1418" w:type="dxa"/>
            <w:tcBorders>
              <w:top w:val="nil"/>
              <w:left w:val="nil"/>
              <w:bottom w:val="nil"/>
              <w:right w:val="nil"/>
            </w:tcBorders>
            <w:shd w:val="clear" w:color="auto" w:fill="auto"/>
            <w:noWrap/>
            <w:vAlign w:val="center"/>
            <w:hideMark/>
          </w:tcPr>
          <w:p w14:paraId="7F4F4561"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61 059 579,2</w:t>
            </w:r>
          </w:p>
        </w:tc>
        <w:tc>
          <w:tcPr>
            <w:tcW w:w="1134" w:type="dxa"/>
            <w:tcBorders>
              <w:top w:val="nil"/>
              <w:left w:val="nil"/>
              <w:bottom w:val="nil"/>
              <w:right w:val="nil"/>
            </w:tcBorders>
            <w:shd w:val="clear" w:color="auto" w:fill="auto"/>
            <w:noWrap/>
            <w:vAlign w:val="center"/>
            <w:hideMark/>
          </w:tcPr>
          <w:p w14:paraId="1F258D41"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105,1</w:t>
            </w:r>
          </w:p>
        </w:tc>
      </w:tr>
      <w:tr w:rsidR="009F7FF6" w:rsidRPr="005C53F5" w14:paraId="3D6AB569" w14:textId="77777777" w:rsidTr="009F6321">
        <w:trPr>
          <w:trHeight w:val="255"/>
        </w:trPr>
        <w:tc>
          <w:tcPr>
            <w:tcW w:w="5245" w:type="dxa"/>
            <w:tcBorders>
              <w:top w:val="nil"/>
              <w:left w:val="nil"/>
              <w:bottom w:val="nil"/>
              <w:right w:val="nil"/>
            </w:tcBorders>
            <w:shd w:val="clear" w:color="auto" w:fill="auto"/>
            <w:vAlign w:val="center"/>
            <w:hideMark/>
          </w:tcPr>
          <w:p w14:paraId="2C494FB6"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ПОСТУПЛЕНИЯ ТРАНСФЕРТОВ</w:t>
            </w:r>
          </w:p>
        </w:tc>
        <w:tc>
          <w:tcPr>
            <w:tcW w:w="2126" w:type="dxa"/>
            <w:tcBorders>
              <w:top w:val="nil"/>
              <w:left w:val="nil"/>
              <w:bottom w:val="nil"/>
              <w:right w:val="nil"/>
            </w:tcBorders>
            <w:shd w:val="clear" w:color="auto" w:fill="auto"/>
            <w:noWrap/>
            <w:vAlign w:val="center"/>
            <w:hideMark/>
          </w:tcPr>
          <w:p w14:paraId="1383CE2A"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0,0</w:t>
            </w:r>
          </w:p>
        </w:tc>
        <w:tc>
          <w:tcPr>
            <w:tcW w:w="1418" w:type="dxa"/>
            <w:tcBorders>
              <w:top w:val="nil"/>
              <w:left w:val="nil"/>
              <w:bottom w:val="nil"/>
              <w:right w:val="nil"/>
            </w:tcBorders>
            <w:shd w:val="clear" w:color="auto" w:fill="auto"/>
            <w:noWrap/>
            <w:vAlign w:val="center"/>
            <w:hideMark/>
          </w:tcPr>
          <w:p w14:paraId="4288DAF4"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420 834,0</w:t>
            </w:r>
          </w:p>
        </w:tc>
        <w:tc>
          <w:tcPr>
            <w:tcW w:w="1134" w:type="dxa"/>
            <w:tcBorders>
              <w:top w:val="nil"/>
              <w:left w:val="nil"/>
              <w:bottom w:val="nil"/>
              <w:right w:val="nil"/>
            </w:tcBorders>
            <w:shd w:val="clear" w:color="auto" w:fill="auto"/>
            <w:noWrap/>
            <w:vAlign w:val="center"/>
            <w:hideMark/>
          </w:tcPr>
          <w:p w14:paraId="1744973D"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p>
        </w:tc>
      </w:tr>
      <w:tr w:rsidR="009F7FF6" w:rsidRPr="005C53F5" w14:paraId="58E4B572" w14:textId="77777777" w:rsidTr="009F6321">
        <w:trPr>
          <w:trHeight w:val="255"/>
        </w:trPr>
        <w:tc>
          <w:tcPr>
            <w:tcW w:w="5245" w:type="dxa"/>
            <w:tcBorders>
              <w:top w:val="nil"/>
              <w:left w:val="nil"/>
              <w:bottom w:val="nil"/>
              <w:right w:val="nil"/>
            </w:tcBorders>
            <w:shd w:val="clear" w:color="auto" w:fill="auto"/>
            <w:hideMark/>
          </w:tcPr>
          <w:p w14:paraId="41BE441A"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трансфертов</w:t>
            </w:r>
          </w:p>
        </w:tc>
        <w:tc>
          <w:tcPr>
            <w:tcW w:w="2126" w:type="dxa"/>
            <w:tcBorders>
              <w:top w:val="nil"/>
              <w:left w:val="nil"/>
              <w:bottom w:val="nil"/>
              <w:right w:val="nil"/>
            </w:tcBorders>
            <w:shd w:val="clear" w:color="auto" w:fill="auto"/>
            <w:noWrap/>
            <w:vAlign w:val="center"/>
            <w:hideMark/>
          </w:tcPr>
          <w:p w14:paraId="3B4773CF"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0,0</w:t>
            </w:r>
          </w:p>
        </w:tc>
        <w:tc>
          <w:tcPr>
            <w:tcW w:w="1418" w:type="dxa"/>
            <w:tcBorders>
              <w:top w:val="nil"/>
              <w:left w:val="nil"/>
              <w:bottom w:val="nil"/>
              <w:right w:val="nil"/>
            </w:tcBorders>
            <w:shd w:val="clear" w:color="auto" w:fill="auto"/>
            <w:noWrap/>
            <w:vAlign w:val="center"/>
            <w:hideMark/>
          </w:tcPr>
          <w:p w14:paraId="3F32A849"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420 834,0</w:t>
            </w:r>
          </w:p>
        </w:tc>
        <w:tc>
          <w:tcPr>
            <w:tcW w:w="1134" w:type="dxa"/>
            <w:tcBorders>
              <w:top w:val="nil"/>
              <w:left w:val="nil"/>
              <w:bottom w:val="nil"/>
              <w:right w:val="nil"/>
            </w:tcBorders>
            <w:shd w:val="clear" w:color="auto" w:fill="auto"/>
            <w:noWrap/>
            <w:vAlign w:val="center"/>
            <w:hideMark/>
          </w:tcPr>
          <w:p w14:paraId="156EDB6E"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p>
        </w:tc>
      </w:tr>
      <w:tr w:rsidR="009F7FF6" w:rsidRPr="005C53F5" w14:paraId="152B25FF" w14:textId="77777777" w:rsidTr="009F6321">
        <w:trPr>
          <w:trHeight w:val="255"/>
        </w:trPr>
        <w:tc>
          <w:tcPr>
            <w:tcW w:w="5245" w:type="dxa"/>
            <w:tcBorders>
              <w:top w:val="nil"/>
              <w:left w:val="nil"/>
              <w:bottom w:val="nil"/>
              <w:right w:val="nil"/>
            </w:tcBorders>
            <w:shd w:val="clear" w:color="000000" w:fill="FFFFFF"/>
            <w:vAlign w:val="center"/>
            <w:hideMark/>
          </w:tcPr>
          <w:p w14:paraId="5911AFE1" w14:textId="77777777" w:rsidR="009F7FF6" w:rsidRPr="005C53F5" w:rsidRDefault="009F7FF6" w:rsidP="00057BE5">
            <w:pPr>
              <w:spacing w:after="0" w:line="240" w:lineRule="auto"/>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 xml:space="preserve">Инвестиционные доходы от управления Национальным фондом </w:t>
            </w:r>
          </w:p>
        </w:tc>
        <w:tc>
          <w:tcPr>
            <w:tcW w:w="2126" w:type="dxa"/>
            <w:tcBorders>
              <w:top w:val="nil"/>
              <w:left w:val="nil"/>
              <w:bottom w:val="nil"/>
              <w:right w:val="nil"/>
            </w:tcBorders>
            <w:shd w:val="clear" w:color="auto" w:fill="auto"/>
            <w:noWrap/>
            <w:vAlign w:val="center"/>
            <w:hideMark/>
          </w:tcPr>
          <w:p w14:paraId="16951FEF"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445 914 800,0</w:t>
            </w:r>
          </w:p>
        </w:tc>
        <w:tc>
          <w:tcPr>
            <w:tcW w:w="1418" w:type="dxa"/>
            <w:tcBorders>
              <w:top w:val="nil"/>
              <w:left w:val="nil"/>
              <w:bottom w:val="nil"/>
              <w:right w:val="nil"/>
            </w:tcBorders>
            <w:shd w:val="clear" w:color="auto" w:fill="auto"/>
            <w:noWrap/>
            <w:vAlign w:val="center"/>
            <w:hideMark/>
          </w:tcPr>
          <w:p w14:paraId="71F6DB74"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-155 070 646,0</w:t>
            </w:r>
          </w:p>
        </w:tc>
        <w:tc>
          <w:tcPr>
            <w:tcW w:w="1134" w:type="dxa"/>
            <w:tcBorders>
              <w:top w:val="nil"/>
              <w:left w:val="nil"/>
              <w:bottom w:val="nil"/>
              <w:right w:val="nil"/>
            </w:tcBorders>
            <w:shd w:val="clear" w:color="auto" w:fill="auto"/>
            <w:noWrap/>
            <w:vAlign w:val="center"/>
            <w:hideMark/>
          </w:tcPr>
          <w:p w14:paraId="264DE3DC" w14:textId="77777777" w:rsidR="009F7FF6" w:rsidRPr="005C53F5" w:rsidRDefault="009F7FF6" w:rsidP="00057BE5">
            <w:pPr>
              <w:spacing w:after="0" w:line="240" w:lineRule="auto"/>
              <w:jc w:val="center"/>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0,0</w:t>
            </w:r>
          </w:p>
        </w:tc>
      </w:tr>
      <w:tr w:rsidR="009F7FF6" w:rsidRPr="005C53F5" w14:paraId="7E0E40F1" w14:textId="77777777" w:rsidTr="009F6321">
        <w:trPr>
          <w:trHeight w:val="570"/>
        </w:trPr>
        <w:tc>
          <w:tcPr>
            <w:tcW w:w="5245" w:type="dxa"/>
            <w:tcBorders>
              <w:top w:val="nil"/>
              <w:left w:val="nil"/>
              <w:bottom w:val="nil"/>
              <w:right w:val="nil"/>
            </w:tcBorders>
            <w:shd w:val="clear" w:color="000000" w:fill="FFFFFF"/>
            <w:vAlign w:val="center"/>
            <w:hideMark/>
          </w:tcPr>
          <w:p w14:paraId="335D6E85" w14:textId="77777777" w:rsidR="009F7FF6" w:rsidRPr="005C53F5" w:rsidRDefault="009F7FF6" w:rsidP="00057BE5">
            <w:pPr>
              <w:spacing w:after="0" w:line="240" w:lineRule="auto"/>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Иные поступления и доходы, не запрещенные законодательством Республики Казахстан</w:t>
            </w:r>
          </w:p>
        </w:tc>
        <w:tc>
          <w:tcPr>
            <w:tcW w:w="2126" w:type="dxa"/>
            <w:tcBorders>
              <w:top w:val="nil"/>
              <w:left w:val="nil"/>
              <w:bottom w:val="nil"/>
              <w:right w:val="nil"/>
            </w:tcBorders>
            <w:shd w:val="clear" w:color="auto" w:fill="auto"/>
            <w:noWrap/>
            <w:vAlign w:val="center"/>
            <w:hideMark/>
          </w:tcPr>
          <w:p w14:paraId="2265B7B7"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0,0</w:t>
            </w:r>
          </w:p>
        </w:tc>
        <w:tc>
          <w:tcPr>
            <w:tcW w:w="1418" w:type="dxa"/>
            <w:tcBorders>
              <w:top w:val="nil"/>
              <w:left w:val="nil"/>
              <w:bottom w:val="nil"/>
              <w:right w:val="nil"/>
            </w:tcBorders>
            <w:shd w:val="clear" w:color="auto" w:fill="auto"/>
            <w:noWrap/>
            <w:vAlign w:val="center"/>
            <w:hideMark/>
          </w:tcPr>
          <w:p w14:paraId="3345A154"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1 537 777,0</w:t>
            </w:r>
          </w:p>
        </w:tc>
        <w:tc>
          <w:tcPr>
            <w:tcW w:w="1134" w:type="dxa"/>
            <w:tcBorders>
              <w:top w:val="nil"/>
              <w:left w:val="nil"/>
              <w:bottom w:val="nil"/>
              <w:right w:val="nil"/>
            </w:tcBorders>
            <w:shd w:val="clear" w:color="auto" w:fill="auto"/>
            <w:noWrap/>
            <w:vAlign w:val="center"/>
            <w:hideMark/>
          </w:tcPr>
          <w:p w14:paraId="114ACFB0"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p>
        </w:tc>
      </w:tr>
      <w:tr w:rsidR="009F7FF6" w:rsidRPr="005C53F5" w14:paraId="3078502A" w14:textId="77777777" w:rsidTr="009F6321">
        <w:trPr>
          <w:trHeight w:val="255"/>
        </w:trPr>
        <w:tc>
          <w:tcPr>
            <w:tcW w:w="5245" w:type="dxa"/>
            <w:tcBorders>
              <w:top w:val="nil"/>
              <w:left w:val="nil"/>
              <w:bottom w:val="nil"/>
              <w:right w:val="nil"/>
            </w:tcBorders>
            <w:shd w:val="clear" w:color="auto" w:fill="auto"/>
            <w:vAlign w:val="center"/>
            <w:hideMark/>
          </w:tcPr>
          <w:p w14:paraId="03DE4BA0" w14:textId="77777777" w:rsidR="009F7FF6" w:rsidRPr="005C53F5" w:rsidRDefault="009F7FF6" w:rsidP="00057BE5">
            <w:pPr>
              <w:spacing w:after="0" w:line="240" w:lineRule="auto"/>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II. ЗАТРАТЫ</w:t>
            </w:r>
          </w:p>
        </w:tc>
        <w:tc>
          <w:tcPr>
            <w:tcW w:w="2126" w:type="dxa"/>
            <w:tcBorders>
              <w:top w:val="nil"/>
              <w:left w:val="nil"/>
              <w:bottom w:val="nil"/>
              <w:right w:val="nil"/>
            </w:tcBorders>
            <w:shd w:val="clear" w:color="auto" w:fill="auto"/>
            <w:noWrap/>
            <w:vAlign w:val="center"/>
            <w:hideMark/>
          </w:tcPr>
          <w:p w14:paraId="0207E629"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9 629 505 824,8</w:t>
            </w:r>
          </w:p>
        </w:tc>
        <w:tc>
          <w:tcPr>
            <w:tcW w:w="1418" w:type="dxa"/>
            <w:tcBorders>
              <w:top w:val="nil"/>
              <w:left w:val="nil"/>
              <w:bottom w:val="nil"/>
              <w:right w:val="nil"/>
            </w:tcBorders>
            <w:shd w:val="clear" w:color="auto" w:fill="auto"/>
            <w:noWrap/>
            <w:vAlign w:val="center"/>
            <w:hideMark/>
          </w:tcPr>
          <w:p w14:paraId="04156CBE"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9 452 553 546,0</w:t>
            </w:r>
          </w:p>
        </w:tc>
        <w:tc>
          <w:tcPr>
            <w:tcW w:w="1134" w:type="dxa"/>
            <w:tcBorders>
              <w:top w:val="nil"/>
              <w:left w:val="nil"/>
              <w:bottom w:val="nil"/>
              <w:right w:val="nil"/>
            </w:tcBorders>
            <w:shd w:val="clear" w:color="auto" w:fill="auto"/>
            <w:noWrap/>
            <w:vAlign w:val="center"/>
            <w:hideMark/>
          </w:tcPr>
          <w:p w14:paraId="44F97131" w14:textId="77777777" w:rsidR="009F7FF6" w:rsidRPr="005C53F5" w:rsidRDefault="009F7FF6" w:rsidP="00057BE5">
            <w:pPr>
              <w:spacing w:after="0" w:line="240" w:lineRule="auto"/>
              <w:jc w:val="center"/>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98,2</w:t>
            </w:r>
          </w:p>
        </w:tc>
      </w:tr>
      <w:tr w:rsidR="009F7FF6" w:rsidRPr="005C53F5" w14:paraId="241671D1" w14:textId="77777777" w:rsidTr="009F6321">
        <w:trPr>
          <w:trHeight w:val="255"/>
        </w:trPr>
        <w:tc>
          <w:tcPr>
            <w:tcW w:w="5245" w:type="dxa"/>
            <w:tcBorders>
              <w:top w:val="nil"/>
              <w:left w:val="nil"/>
              <w:bottom w:val="nil"/>
              <w:right w:val="nil"/>
            </w:tcBorders>
            <w:shd w:val="clear" w:color="auto" w:fill="auto"/>
            <w:vAlign w:val="center"/>
            <w:hideMark/>
          </w:tcPr>
          <w:p w14:paraId="12A830FB"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Государственные услуги общего характера</w:t>
            </w:r>
          </w:p>
        </w:tc>
        <w:tc>
          <w:tcPr>
            <w:tcW w:w="2126" w:type="dxa"/>
            <w:tcBorders>
              <w:top w:val="nil"/>
              <w:left w:val="nil"/>
              <w:bottom w:val="nil"/>
              <w:right w:val="nil"/>
            </w:tcBorders>
            <w:shd w:val="clear" w:color="auto" w:fill="auto"/>
            <w:noWrap/>
            <w:vAlign w:val="center"/>
            <w:hideMark/>
          </w:tcPr>
          <w:p w14:paraId="596BB8DE"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627 387 276,3</w:t>
            </w:r>
          </w:p>
        </w:tc>
        <w:tc>
          <w:tcPr>
            <w:tcW w:w="1418" w:type="dxa"/>
            <w:tcBorders>
              <w:top w:val="nil"/>
              <w:left w:val="nil"/>
              <w:bottom w:val="nil"/>
              <w:right w:val="nil"/>
            </w:tcBorders>
            <w:shd w:val="clear" w:color="auto" w:fill="auto"/>
            <w:noWrap/>
            <w:vAlign w:val="center"/>
            <w:hideMark/>
          </w:tcPr>
          <w:p w14:paraId="149FF285"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622 484 346,0</w:t>
            </w:r>
          </w:p>
        </w:tc>
        <w:tc>
          <w:tcPr>
            <w:tcW w:w="1134" w:type="dxa"/>
            <w:tcBorders>
              <w:top w:val="nil"/>
              <w:left w:val="nil"/>
              <w:bottom w:val="nil"/>
              <w:right w:val="nil"/>
            </w:tcBorders>
            <w:shd w:val="clear" w:color="auto" w:fill="auto"/>
            <w:noWrap/>
            <w:vAlign w:val="center"/>
            <w:hideMark/>
          </w:tcPr>
          <w:p w14:paraId="572791EF"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99,2</w:t>
            </w:r>
          </w:p>
        </w:tc>
      </w:tr>
      <w:tr w:rsidR="009F7FF6" w:rsidRPr="005C53F5" w14:paraId="21612BBD" w14:textId="77777777" w:rsidTr="009F6321">
        <w:trPr>
          <w:trHeight w:val="255"/>
        </w:trPr>
        <w:tc>
          <w:tcPr>
            <w:tcW w:w="5245" w:type="dxa"/>
            <w:tcBorders>
              <w:top w:val="nil"/>
              <w:left w:val="nil"/>
              <w:bottom w:val="nil"/>
              <w:right w:val="nil"/>
            </w:tcBorders>
            <w:shd w:val="clear" w:color="auto" w:fill="auto"/>
            <w:vAlign w:val="center"/>
            <w:hideMark/>
          </w:tcPr>
          <w:p w14:paraId="0C19194C"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Оборона</w:t>
            </w:r>
          </w:p>
        </w:tc>
        <w:tc>
          <w:tcPr>
            <w:tcW w:w="2126" w:type="dxa"/>
            <w:tcBorders>
              <w:top w:val="nil"/>
              <w:left w:val="nil"/>
              <w:bottom w:val="nil"/>
              <w:right w:val="nil"/>
            </w:tcBorders>
            <w:shd w:val="clear" w:color="auto" w:fill="auto"/>
            <w:noWrap/>
            <w:vAlign w:val="center"/>
            <w:hideMark/>
          </w:tcPr>
          <w:p w14:paraId="39EC3F31"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467 886 821,8</w:t>
            </w:r>
          </w:p>
        </w:tc>
        <w:tc>
          <w:tcPr>
            <w:tcW w:w="1418" w:type="dxa"/>
            <w:tcBorders>
              <w:top w:val="nil"/>
              <w:left w:val="nil"/>
              <w:bottom w:val="nil"/>
              <w:right w:val="nil"/>
            </w:tcBorders>
            <w:shd w:val="clear" w:color="auto" w:fill="auto"/>
            <w:noWrap/>
            <w:vAlign w:val="center"/>
            <w:hideMark/>
          </w:tcPr>
          <w:p w14:paraId="374118B0"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438 499 401,4</w:t>
            </w:r>
          </w:p>
        </w:tc>
        <w:tc>
          <w:tcPr>
            <w:tcW w:w="1134" w:type="dxa"/>
            <w:tcBorders>
              <w:top w:val="nil"/>
              <w:left w:val="nil"/>
              <w:bottom w:val="nil"/>
              <w:right w:val="nil"/>
            </w:tcBorders>
            <w:shd w:val="clear" w:color="auto" w:fill="auto"/>
            <w:noWrap/>
            <w:vAlign w:val="center"/>
            <w:hideMark/>
          </w:tcPr>
          <w:p w14:paraId="575CE244"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93,7</w:t>
            </w:r>
          </w:p>
        </w:tc>
      </w:tr>
      <w:tr w:rsidR="009F7FF6" w:rsidRPr="005C53F5" w14:paraId="62F3F4B4" w14:textId="77777777" w:rsidTr="009F6321">
        <w:trPr>
          <w:trHeight w:val="450"/>
        </w:trPr>
        <w:tc>
          <w:tcPr>
            <w:tcW w:w="5245" w:type="dxa"/>
            <w:tcBorders>
              <w:top w:val="nil"/>
              <w:left w:val="nil"/>
              <w:bottom w:val="nil"/>
              <w:right w:val="nil"/>
            </w:tcBorders>
            <w:shd w:val="clear" w:color="auto" w:fill="auto"/>
            <w:vAlign w:val="center"/>
            <w:hideMark/>
          </w:tcPr>
          <w:p w14:paraId="27D7ADC1"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Общественный порядок, безопасность, правовая, судебная, уголовно-исполнительная деятельность</w:t>
            </w:r>
          </w:p>
        </w:tc>
        <w:tc>
          <w:tcPr>
            <w:tcW w:w="2126" w:type="dxa"/>
            <w:tcBorders>
              <w:top w:val="nil"/>
              <w:left w:val="nil"/>
              <w:bottom w:val="nil"/>
              <w:right w:val="nil"/>
            </w:tcBorders>
            <w:shd w:val="clear" w:color="auto" w:fill="auto"/>
            <w:noWrap/>
            <w:vAlign w:val="center"/>
            <w:hideMark/>
          </w:tcPr>
          <w:p w14:paraId="18319284"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586 741 807,9</w:t>
            </w:r>
          </w:p>
        </w:tc>
        <w:tc>
          <w:tcPr>
            <w:tcW w:w="1418" w:type="dxa"/>
            <w:tcBorders>
              <w:top w:val="nil"/>
              <w:left w:val="nil"/>
              <w:bottom w:val="nil"/>
              <w:right w:val="nil"/>
            </w:tcBorders>
            <w:shd w:val="clear" w:color="auto" w:fill="auto"/>
            <w:noWrap/>
            <w:vAlign w:val="center"/>
            <w:hideMark/>
          </w:tcPr>
          <w:p w14:paraId="40CE9DC8"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584 169 501,3</w:t>
            </w:r>
          </w:p>
        </w:tc>
        <w:tc>
          <w:tcPr>
            <w:tcW w:w="1134" w:type="dxa"/>
            <w:tcBorders>
              <w:top w:val="nil"/>
              <w:left w:val="nil"/>
              <w:bottom w:val="nil"/>
              <w:right w:val="nil"/>
            </w:tcBorders>
            <w:shd w:val="clear" w:color="auto" w:fill="auto"/>
            <w:noWrap/>
            <w:vAlign w:val="center"/>
            <w:hideMark/>
          </w:tcPr>
          <w:p w14:paraId="5187D49A"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99,6</w:t>
            </w:r>
          </w:p>
        </w:tc>
      </w:tr>
      <w:tr w:rsidR="009F7FF6" w:rsidRPr="005C53F5" w14:paraId="05F49971" w14:textId="77777777" w:rsidTr="009F6321">
        <w:trPr>
          <w:trHeight w:val="255"/>
        </w:trPr>
        <w:tc>
          <w:tcPr>
            <w:tcW w:w="5245" w:type="dxa"/>
            <w:tcBorders>
              <w:top w:val="nil"/>
              <w:left w:val="nil"/>
              <w:bottom w:val="nil"/>
              <w:right w:val="nil"/>
            </w:tcBorders>
            <w:shd w:val="clear" w:color="auto" w:fill="auto"/>
            <w:vAlign w:val="center"/>
            <w:hideMark/>
          </w:tcPr>
          <w:p w14:paraId="43FF98A6"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Образование</w:t>
            </w:r>
          </w:p>
        </w:tc>
        <w:tc>
          <w:tcPr>
            <w:tcW w:w="2126" w:type="dxa"/>
            <w:tcBorders>
              <w:top w:val="nil"/>
              <w:left w:val="nil"/>
              <w:bottom w:val="nil"/>
              <w:right w:val="nil"/>
            </w:tcBorders>
            <w:shd w:val="clear" w:color="auto" w:fill="auto"/>
            <w:noWrap/>
            <w:vAlign w:val="center"/>
            <w:hideMark/>
          </w:tcPr>
          <w:p w14:paraId="3F8FEA6D"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1 675 136 720,0</w:t>
            </w:r>
          </w:p>
        </w:tc>
        <w:tc>
          <w:tcPr>
            <w:tcW w:w="1418" w:type="dxa"/>
            <w:tcBorders>
              <w:top w:val="nil"/>
              <w:left w:val="nil"/>
              <w:bottom w:val="nil"/>
              <w:right w:val="nil"/>
            </w:tcBorders>
            <w:shd w:val="clear" w:color="auto" w:fill="auto"/>
            <w:noWrap/>
            <w:vAlign w:val="center"/>
            <w:hideMark/>
          </w:tcPr>
          <w:p w14:paraId="0F213470"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1 669 398 158,0</w:t>
            </w:r>
          </w:p>
        </w:tc>
        <w:tc>
          <w:tcPr>
            <w:tcW w:w="1134" w:type="dxa"/>
            <w:tcBorders>
              <w:top w:val="nil"/>
              <w:left w:val="nil"/>
              <w:bottom w:val="nil"/>
              <w:right w:val="nil"/>
            </w:tcBorders>
            <w:shd w:val="clear" w:color="auto" w:fill="auto"/>
            <w:noWrap/>
            <w:vAlign w:val="center"/>
            <w:hideMark/>
          </w:tcPr>
          <w:p w14:paraId="07E56231"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99,7</w:t>
            </w:r>
          </w:p>
        </w:tc>
      </w:tr>
      <w:tr w:rsidR="009F7FF6" w:rsidRPr="005C53F5" w14:paraId="385DD085" w14:textId="77777777" w:rsidTr="009F6321">
        <w:trPr>
          <w:trHeight w:val="255"/>
        </w:trPr>
        <w:tc>
          <w:tcPr>
            <w:tcW w:w="5245" w:type="dxa"/>
            <w:tcBorders>
              <w:top w:val="nil"/>
              <w:left w:val="nil"/>
              <w:bottom w:val="nil"/>
              <w:right w:val="nil"/>
            </w:tcBorders>
            <w:shd w:val="clear" w:color="auto" w:fill="auto"/>
            <w:vAlign w:val="center"/>
            <w:hideMark/>
          </w:tcPr>
          <w:p w14:paraId="13AF3AE7"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Здравоохранение</w:t>
            </w:r>
          </w:p>
        </w:tc>
        <w:tc>
          <w:tcPr>
            <w:tcW w:w="2126" w:type="dxa"/>
            <w:tcBorders>
              <w:top w:val="nil"/>
              <w:left w:val="nil"/>
              <w:bottom w:val="nil"/>
              <w:right w:val="nil"/>
            </w:tcBorders>
            <w:shd w:val="clear" w:color="auto" w:fill="auto"/>
            <w:noWrap/>
            <w:vAlign w:val="center"/>
            <w:hideMark/>
          </w:tcPr>
          <w:p w14:paraId="447361E5"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1 045 277 023,1</w:t>
            </w:r>
          </w:p>
        </w:tc>
        <w:tc>
          <w:tcPr>
            <w:tcW w:w="1418" w:type="dxa"/>
            <w:tcBorders>
              <w:top w:val="nil"/>
              <w:left w:val="nil"/>
              <w:bottom w:val="nil"/>
              <w:right w:val="nil"/>
            </w:tcBorders>
            <w:shd w:val="clear" w:color="auto" w:fill="auto"/>
            <w:noWrap/>
            <w:vAlign w:val="center"/>
            <w:hideMark/>
          </w:tcPr>
          <w:p w14:paraId="197F6DF4"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1 039 575 707,4</w:t>
            </w:r>
          </w:p>
        </w:tc>
        <w:tc>
          <w:tcPr>
            <w:tcW w:w="1134" w:type="dxa"/>
            <w:tcBorders>
              <w:top w:val="nil"/>
              <w:left w:val="nil"/>
              <w:bottom w:val="nil"/>
              <w:right w:val="nil"/>
            </w:tcBorders>
            <w:shd w:val="clear" w:color="auto" w:fill="auto"/>
            <w:noWrap/>
            <w:vAlign w:val="center"/>
            <w:hideMark/>
          </w:tcPr>
          <w:p w14:paraId="48A9E25C"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99,5</w:t>
            </w:r>
          </w:p>
        </w:tc>
      </w:tr>
      <w:tr w:rsidR="009F7FF6" w:rsidRPr="005C53F5" w14:paraId="3BC6A74F" w14:textId="77777777" w:rsidTr="009F6321">
        <w:trPr>
          <w:trHeight w:val="255"/>
        </w:trPr>
        <w:tc>
          <w:tcPr>
            <w:tcW w:w="5245" w:type="dxa"/>
            <w:tcBorders>
              <w:top w:val="nil"/>
              <w:left w:val="nil"/>
              <w:bottom w:val="nil"/>
              <w:right w:val="nil"/>
            </w:tcBorders>
            <w:shd w:val="clear" w:color="auto" w:fill="auto"/>
            <w:vAlign w:val="center"/>
            <w:hideMark/>
          </w:tcPr>
          <w:p w14:paraId="021543C7"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Социальная помощь и социальное обеспечение</w:t>
            </w:r>
          </w:p>
        </w:tc>
        <w:tc>
          <w:tcPr>
            <w:tcW w:w="2126" w:type="dxa"/>
            <w:tcBorders>
              <w:top w:val="nil"/>
              <w:left w:val="nil"/>
              <w:bottom w:val="nil"/>
              <w:right w:val="nil"/>
            </w:tcBorders>
            <w:shd w:val="clear" w:color="auto" w:fill="auto"/>
            <w:noWrap/>
            <w:vAlign w:val="center"/>
            <w:hideMark/>
          </w:tcPr>
          <w:p w14:paraId="04D5EB62"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1 978 582 975,5</w:t>
            </w:r>
          </w:p>
        </w:tc>
        <w:tc>
          <w:tcPr>
            <w:tcW w:w="1418" w:type="dxa"/>
            <w:tcBorders>
              <w:top w:val="nil"/>
              <w:left w:val="nil"/>
              <w:bottom w:val="nil"/>
              <w:right w:val="nil"/>
            </w:tcBorders>
            <w:shd w:val="clear" w:color="auto" w:fill="auto"/>
            <w:noWrap/>
            <w:vAlign w:val="center"/>
            <w:hideMark/>
          </w:tcPr>
          <w:p w14:paraId="1DB3CA06"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1 977 314 769,5</w:t>
            </w:r>
          </w:p>
        </w:tc>
        <w:tc>
          <w:tcPr>
            <w:tcW w:w="1134" w:type="dxa"/>
            <w:tcBorders>
              <w:top w:val="nil"/>
              <w:left w:val="nil"/>
              <w:bottom w:val="nil"/>
              <w:right w:val="nil"/>
            </w:tcBorders>
            <w:shd w:val="clear" w:color="auto" w:fill="auto"/>
            <w:noWrap/>
            <w:vAlign w:val="center"/>
            <w:hideMark/>
          </w:tcPr>
          <w:p w14:paraId="155A143A"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99,9</w:t>
            </w:r>
          </w:p>
        </w:tc>
      </w:tr>
      <w:tr w:rsidR="009F7FF6" w:rsidRPr="005C53F5" w14:paraId="46F7568E" w14:textId="77777777" w:rsidTr="009F6321">
        <w:trPr>
          <w:trHeight w:val="255"/>
        </w:trPr>
        <w:tc>
          <w:tcPr>
            <w:tcW w:w="5245" w:type="dxa"/>
            <w:tcBorders>
              <w:top w:val="nil"/>
              <w:left w:val="nil"/>
              <w:bottom w:val="nil"/>
              <w:right w:val="nil"/>
            </w:tcBorders>
            <w:shd w:val="clear" w:color="auto" w:fill="auto"/>
            <w:vAlign w:val="center"/>
            <w:hideMark/>
          </w:tcPr>
          <w:p w14:paraId="4F0D66AA"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Жилищно-коммунальное хозяйство</w:t>
            </w:r>
          </w:p>
        </w:tc>
        <w:tc>
          <w:tcPr>
            <w:tcW w:w="2126" w:type="dxa"/>
            <w:tcBorders>
              <w:top w:val="nil"/>
              <w:left w:val="nil"/>
              <w:bottom w:val="nil"/>
              <w:right w:val="nil"/>
            </w:tcBorders>
            <w:shd w:val="clear" w:color="auto" w:fill="auto"/>
            <w:noWrap/>
            <w:vAlign w:val="center"/>
            <w:hideMark/>
          </w:tcPr>
          <w:p w14:paraId="50286B90"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513 997 826,1</w:t>
            </w:r>
          </w:p>
        </w:tc>
        <w:tc>
          <w:tcPr>
            <w:tcW w:w="1418" w:type="dxa"/>
            <w:tcBorders>
              <w:top w:val="nil"/>
              <w:left w:val="nil"/>
              <w:bottom w:val="nil"/>
              <w:right w:val="nil"/>
            </w:tcBorders>
            <w:shd w:val="clear" w:color="auto" w:fill="auto"/>
            <w:noWrap/>
            <w:vAlign w:val="center"/>
            <w:hideMark/>
          </w:tcPr>
          <w:p w14:paraId="39B34B0E"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507 184 584,6</w:t>
            </w:r>
          </w:p>
        </w:tc>
        <w:tc>
          <w:tcPr>
            <w:tcW w:w="1134" w:type="dxa"/>
            <w:tcBorders>
              <w:top w:val="nil"/>
              <w:left w:val="nil"/>
              <w:bottom w:val="nil"/>
              <w:right w:val="nil"/>
            </w:tcBorders>
            <w:shd w:val="clear" w:color="auto" w:fill="auto"/>
            <w:noWrap/>
            <w:vAlign w:val="center"/>
            <w:hideMark/>
          </w:tcPr>
          <w:p w14:paraId="2E532676"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98,7</w:t>
            </w:r>
          </w:p>
        </w:tc>
      </w:tr>
      <w:tr w:rsidR="009F7FF6" w:rsidRPr="005C53F5" w14:paraId="073DA0C3" w14:textId="77777777" w:rsidTr="009F6321">
        <w:trPr>
          <w:trHeight w:val="240"/>
        </w:trPr>
        <w:tc>
          <w:tcPr>
            <w:tcW w:w="5245" w:type="dxa"/>
            <w:tcBorders>
              <w:top w:val="nil"/>
              <w:left w:val="nil"/>
              <w:bottom w:val="nil"/>
              <w:right w:val="nil"/>
            </w:tcBorders>
            <w:shd w:val="clear" w:color="auto" w:fill="auto"/>
            <w:vAlign w:val="center"/>
            <w:hideMark/>
          </w:tcPr>
          <w:p w14:paraId="19C06FB0"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Культура, спорт, туризм и информационное пространство</w:t>
            </w:r>
          </w:p>
        </w:tc>
        <w:tc>
          <w:tcPr>
            <w:tcW w:w="2126" w:type="dxa"/>
            <w:tcBorders>
              <w:top w:val="nil"/>
              <w:left w:val="nil"/>
              <w:bottom w:val="nil"/>
              <w:right w:val="nil"/>
            </w:tcBorders>
            <w:shd w:val="clear" w:color="auto" w:fill="auto"/>
            <w:noWrap/>
            <w:vAlign w:val="center"/>
            <w:hideMark/>
          </w:tcPr>
          <w:p w14:paraId="06896E36"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332 138 322,0</w:t>
            </w:r>
          </w:p>
        </w:tc>
        <w:tc>
          <w:tcPr>
            <w:tcW w:w="1418" w:type="dxa"/>
            <w:tcBorders>
              <w:top w:val="nil"/>
              <w:left w:val="nil"/>
              <w:bottom w:val="nil"/>
              <w:right w:val="nil"/>
            </w:tcBorders>
            <w:shd w:val="clear" w:color="auto" w:fill="auto"/>
            <w:noWrap/>
            <w:vAlign w:val="center"/>
            <w:hideMark/>
          </w:tcPr>
          <w:p w14:paraId="6155B4BA"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326 653 279,0</w:t>
            </w:r>
          </w:p>
        </w:tc>
        <w:tc>
          <w:tcPr>
            <w:tcW w:w="1134" w:type="dxa"/>
            <w:tcBorders>
              <w:top w:val="nil"/>
              <w:left w:val="nil"/>
              <w:bottom w:val="nil"/>
              <w:right w:val="nil"/>
            </w:tcBorders>
            <w:shd w:val="clear" w:color="auto" w:fill="auto"/>
            <w:noWrap/>
            <w:vAlign w:val="center"/>
            <w:hideMark/>
          </w:tcPr>
          <w:p w14:paraId="30033CBB"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98,3</w:t>
            </w:r>
          </w:p>
        </w:tc>
      </w:tr>
      <w:tr w:rsidR="009F7FF6" w:rsidRPr="005C53F5" w14:paraId="4F74F810" w14:textId="77777777" w:rsidTr="009F6321">
        <w:trPr>
          <w:trHeight w:val="255"/>
        </w:trPr>
        <w:tc>
          <w:tcPr>
            <w:tcW w:w="5245" w:type="dxa"/>
            <w:tcBorders>
              <w:top w:val="nil"/>
              <w:left w:val="nil"/>
              <w:bottom w:val="nil"/>
              <w:right w:val="nil"/>
            </w:tcBorders>
            <w:shd w:val="clear" w:color="auto" w:fill="auto"/>
            <w:vAlign w:val="center"/>
            <w:hideMark/>
          </w:tcPr>
          <w:p w14:paraId="624D0F9C"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Топливно-энергетический комплекс и недропользование</w:t>
            </w:r>
          </w:p>
        </w:tc>
        <w:tc>
          <w:tcPr>
            <w:tcW w:w="2126" w:type="dxa"/>
            <w:tcBorders>
              <w:top w:val="nil"/>
              <w:left w:val="nil"/>
              <w:bottom w:val="nil"/>
              <w:right w:val="nil"/>
            </w:tcBorders>
            <w:shd w:val="clear" w:color="auto" w:fill="auto"/>
            <w:noWrap/>
            <w:vAlign w:val="center"/>
            <w:hideMark/>
          </w:tcPr>
          <w:p w14:paraId="415CCB68"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100 886 865,0</w:t>
            </w:r>
          </w:p>
        </w:tc>
        <w:tc>
          <w:tcPr>
            <w:tcW w:w="1418" w:type="dxa"/>
            <w:tcBorders>
              <w:top w:val="nil"/>
              <w:left w:val="nil"/>
              <w:bottom w:val="nil"/>
              <w:right w:val="nil"/>
            </w:tcBorders>
            <w:shd w:val="clear" w:color="auto" w:fill="auto"/>
            <w:noWrap/>
            <w:vAlign w:val="center"/>
            <w:hideMark/>
          </w:tcPr>
          <w:p w14:paraId="1FF438AA"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100 423 369,8</w:t>
            </w:r>
          </w:p>
        </w:tc>
        <w:tc>
          <w:tcPr>
            <w:tcW w:w="1134" w:type="dxa"/>
            <w:tcBorders>
              <w:top w:val="nil"/>
              <w:left w:val="nil"/>
              <w:bottom w:val="nil"/>
              <w:right w:val="nil"/>
            </w:tcBorders>
            <w:shd w:val="clear" w:color="auto" w:fill="auto"/>
            <w:noWrap/>
            <w:vAlign w:val="center"/>
            <w:hideMark/>
          </w:tcPr>
          <w:p w14:paraId="772E8A1A"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99,5</w:t>
            </w:r>
          </w:p>
        </w:tc>
      </w:tr>
      <w:tr w:rsidR="009F7FF6" w:rsidRPr="005C53F5" w14:paraId="6AB34C62" w14:textId="77777777" w:rsidTr="009F6321">
        <w:trPr>
          <w:trHeight w:val="675"/>
        </w:trPr>
        <w:tc>
          <w:tcPr>
            <w:tcW w:w="5245" w:type="dxa"/>
            <w:tcBorders>
              <w:top w:val="nil"/>
              <w:left w:val="nil"/>
              <w:bottom w:val="nil"/>
              <w:right w:val="nil"/>
            </w:tcBorders>
            <w:shd w:val="clear" w:color="auto" w:fill="auto"/>
            <w:vAlign w:val="center"/>
            <w:hideMark/>
          </w:tcPr>
          <w:p w14:paraId="555D57F3"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2126" w:type="dxa"/>
            <w:tcBorders>
              <w:top w:val="nil"/>
              <w:left w:val="nil"/>
              <w:bottom w:val="nil"/>
              <w:right w:val="nil"/>
            </w:tcBorders>
            <w:shd w:val="clear" w:color="auto" w:fill="auto"/>
            <w:noWrap/>
            <w:vAlign w:val="center"/>
            <w:hideMark/>
          </w:tcPr>
          <w:p w14:paraId="7903F2D2"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418 882 563,7</w:t>
            </w:r>
          </w:p>
        </w:tc>
        <w:tc>
          <w:tcPr>
            <w:tcW w:w="1418" w:type="dxa"/>
            <w:tcBorders>
              <w:top w:val="nil"/>
              <w:left w:val="nil"/>
              <w:bottom w:val="nil"/>
              <w:right w:val="nil"/>
            </w:tcBorders>
            <w:shd w:val="clear" w:color="auto" w:fill="auto"/>
            <w:noWrap/>
            <w:vAlign w:val="center"/>
            <w:hideMark/>
          </w:tcPr>
          <w:p w14:paraId="2787518F"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414 528 491,4</w:t>
            </w:r>
          </w:p>
        </w:tc>
        <w:tc>
          <w:tcPr>
            <w:tcW w:w="1134" w:type="dxa"/>
            <w:tcBorders>
              <w:top w:val="nil"/>
              <w:left w:val="nil"/>
              <w:bottom w:val="nil"/>
              <w:right w:val="nil"/>
            </w:tcBorders>
            <w:shd w:val="clear" w:color="auto" w:fill="auto"/>
            <w:noWrap/>
            <w:vAlign w:val="center"/>
            <w:hideMark/>
          </w:tcPr>
          <w:p w14:paraId="0D50AAC0"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99,0</w:t>
            </w:r>
          </w:p>
        </w:tc>
      </w:tr>
      <w:tr w:rsidR="009F7FF6" w:rsidRPr="005C53F5" w14:paraId="603B0F34" w14:textId="77777777" w:rsidTr="009F6321">
        <w:trPr>
          <w:trHeight w:val="450"/>
        </w:trPr>
        <w:tc>
          <w:tcPr>
            <w:tcW w:w="5245" w:type="dxa"/>
            <w:tcBorders>
              <w:top w:val="nil"/>
              <w:left w:val="nil"/>
              <w:bottom w:val="nil"/>
              <w:right w:val="nil"/>
            </w:tcBorders>
            <w:shd w:val="clear" w:color="auto" w:fill="auto"/>
            <w:vAlign w:val="center"/>
            <w:hideMark/>
          </w:tcPr>
          <w:p w14:paraId="7B863420"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Промышленность, архитектурная, градостроительная и строительная деятельность</w:t>
            </w:r>
          </w:p>
        </w:tc>
        <w:tc>
          <w:tcPr>
            <w:tcW w:w="2126" w:type="dxa"/>
            <w:tcBorders>
              <w:top w:val="nil"/>
              <w:left w:val="nil"/>
              <w:bottom w:val="nil"/>
              <w:right w:val="nil"/>
            </w:tcBorders>
            <w:shd w:val="clear" w:color="auto" w:fill="auto"/>
            <w:noWrap/>
            <w:vAlign w:val="center"/>
            <w:hideMark/>
          </w:tcPr>
          <w:p w14:paraId="668A985F"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46 605 381,7</w:t>
            </w:r>
          </w:p>
        </w:tc>
        <w:tc>
          <w:tcPr>
            <w:tcW w:w="1418" w:type="dxa"/>
            <w:tcBorders>
              <w:top w:val="nil"/>
              <w:left w:val="nil"/>
              <w:bottom w:val="nil"/>
              <w:right w:val="nil"/>
            </w:tcBorders>
            <w:shd w:val="clear" w:color="auto" w:fill="auto"/>
            <w:noWrap/>
            <w:vAlign w:val="center"/>
            <w:hideMark/>
          </w:tcPr>
          <w:p w14:paraId="6E047250"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46 323 925,1</w:t>
            </w:r>
          </w:p>
        </w:tc>
        <w:tc>
          <w:tcPr>
            <w:tcW w:w="1134" w:type="dxa"/>
            <w:tcBorders>
              <w:top w:val="nil"/>
              <w:left w:val="nil"/>
              <w:bottom w:val="nil"/>
              <w:right w:val="nil"/>
            </w:tcBorders>
            <w:shd w:val="clear" w:color="auto" w:fill="auto"/>
            <w:noWrap/>
            <w:vAlign w:val="center"/>
            <w:hideMark/>
          </w:tcPr>
          <w:p w14:paraId="3BA2664B"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99,4</w:t>
            </w:r>
          </w:p>
        </w:tc>
      </w:tr>
      <w:tr w:rsidR="009F7FF6" w:rsidRPr="005C53F5" w14:paraId="19A921B2" w14:textId="77777777" w:rsidTr="009F6321">
        <w:trPr>
          <w:trHeight w:val="255"/>
        </w:trPr>
        <w:tc>
          <w:tcPr>
            <w:tcW w:w="5245" w:type="dxa"/>
            <w:tcBorders>
              <w:top w:val="nil"/>
              <w:left w:val="nil"/>
              <w:bottom w:val="nil"/>
              <w:right w:val="nil"/>
            </w:tcBorders>
            <w:shd w:val="clear" w:color="auto" w:fill="auto"/>
            <w:vAlign w:val="center"/>
            <w:hideMark/>
          </w:tcPr>
          <w:p w14:paraId="54C3346D"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Транспорт и коммуникации</w:t>
            </w:r>
          </w:p>
        </w:tc>
        <w:tc>
          <w:tcPr>
            <w:tcW w:w="2126" w:type="dxa"/>
            <w:tcBorders>
              <w:top w:val="nil"/>
              <w:left w:val="nil"/>
              <w:bottom w:val="nil"/>
              <w:right w:val="nil"/>
            </w:tcBorders>
            <w:shd w:val="clear" w:color="auto" w:fill="auto"/>
            <w:noWrap/>
            <w:vAlign w:val="center"/>
            <w:hideMark/>
          </w:tcPr>
          <w:p w14:paraId="5FBF2112"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767 005 559,9</w:t>
            </w:r>
          </w:p>
        </w:tc>
        <w:tc>
          <w:tcPr>
            <w:tcW w:w="1418" w:type="dxa"/>
            <w:tcBorders>
              <w:top w:val="nil"/>
              <w:left w:val="nil"/>
              <w:bottom w:val="nil"/>
              <w:right w:val="nil"/>
            </w:tcBorders>
            <w:shd w:val="clear" w:color="auto" w:fill="auto"/>
            <w:noWrap/>
            <w:vAlign w:val="center"/>
            <w:hideMark/>
          </w:tcPr>
          <w:p w14:paraId="4264A9D2"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761 990 482,1</w:t>
            </w:r>
          </w:p>
        </w:tc>
        <w:tc>
          <w:tcPr>
            <w:tcW w:w="1134" w:type="dxa"/>
            <w:tcBorders>
              <w:top w:val="nil"/>
              <w:left w:val="nil"/>
              <w:bottom w:val="nil"/>
              <w:right w:val="nil"/>
            </w:tcBorders>
            <w:shd w:val="clear" w:color="auto" w:fill="auto"/>
            <w:noWrap/>
            <w:vAlign w:val="center"/>
            <w:hideMark/>
          </w:tcPr>
          <w:p w14:paraId="2AD3C7EA"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99,3</w:t>
            </w:r>
          </w:p>
        </w:tc>
      </w:tr>
      <w:tr w:rsidR="009F7FF6" w:rsidRPr="005C53F5" w14:paraId="019ABCF1" w14:textId="77777777" w:rsidTr="009F6321">
        <w:trPr>
          <w:trHeight w:val="255"/>
        </w:trPr>
        <w:tc>
          <w:tcPr>
            <w:tcW w:w="5245" w:type="dxa"/>
            <w:tcBorders>
              <w:top w:val="nil"/>
              <w:left w:val="nil"/>
              <w:bottom w:val="nil"/>
              <w:right w:val="nil"/>
            </w:tcBorders>
            <w:shd w:val="clear" w:color="auto" w:fill="auto"/>
            <w:vAlign w:val="center"/>
            <w:hideMark/>
          </w:tcPr>
          <w:p w14:paraId="087E5A4C"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Прочие</w:t>
            </w:r>
          </w:p>
        </w:tc>
        <w:tc>
          <w:tcPr>
            <w:tcW w:w="2126" w:type="dxa"/>
            <w:tcBorders>
              <w:top w:val="nil"/>
              <w:left w:val="nil"/>
              <w:bottom w:val="nil"/>
              <w:right w:val="nil"/>
            </w:tcBorders>
            <w:shd w:val="clear" w:color="auto" w:fill="auto"/>
            <w:noWrap/>
            <w:vAlign w:val="center"/>
            <w:hideMark/>
          </w:tcPr>
          <w:p w14:paraId="725AC4A9"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492 838 825,0</w:t>
            </w:r>
          </w:p>
        </w:tc>
        <w:tc>
          <w:tcPr>
            <w:tcW w:w="1418" w:type="dxa"/>
            <w:tcBorders>
              <w:top w:val="nil"/>
              <w:left w:val="nil"/>
              <w:bottom w:val="nil"/>
              <w:right w:val="nil"/>
            </w:tcBorders>
            <w:shd w:val="clear" w:color="auto" w:fill="auto"/>
            <w:noWrap/>
            <w:vAlign w:val="center"/>
            <w:hideMark/>
          </w:tcPr>
          <w:p w14:paraId="1F378A4C"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410 181 041,8</w:t>
            </w:r>
          </w:p>
        </w:tc>
        <w:tc>
          <w:tcPr>
            <w:tcW w:w="1134" w:type="dxa"/>
            <w:tcBorders>
              <w:top w:val="nil"/>
              <w:left w:val="nil"/>
              <w:bottom w:val="nil"/>
              <w:right w:val="nil"/>
            </w:tcBorders>
            <w:shd w:val="clear" w:color="auto" w:fill="auto"/>
            <w:noWrap/>
            <w:vAlign w:val="center"/>
            <w:hideMark/>
          </w:tcPr>
          <w:p w14:paraId="30C145AD"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83,2</w:t>
            </w:r>
          </w:p>
        </w:tc>
      </w:tr>
      <w:tr w:rsidR="009F7FF6" w:rsidRPr="005C53F5" w14:paraId="025C635F" w14:textId="77777777" w:rsidTr="009F6321">
        <w:trPr>
          <w:trHeight w:val="255"/>
        </w:trPr>
        <w:tc>
          <w:tcPr>
            <w:tcW w:w="5245" w:type="dxa"/>
            <w:tcBorders>
              <w:top w:val="nil"/>
              <w:left w:val="nil"/>
              <w:bottom w:val="nil"/>
              <w:right w:val="nil"/>
            </w:tcBorders>
            <w:shd w:val="clear" w:color="auto" w:fill="auto"/>
            <w:vAlign w:val="center"/>
            <w:hideMark/>
          </w:tcPr>
          <w:p w14:paraId="284F1AC8"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Обслуживание долга</w:t>
            </w:r>
          </w:p>
        </w:tc>
        <w:tc>
          <w:tcPr>
            <w:tcW w:w="2126" w:type="dxa"/>
            <w:tcBorders>
              <w:top w:val="nil"/>
              <w:left w:val="nil"/>
              <w:bottom w:val="nil"/>
              <w:right w:val="nil"/>
            </w:tcBorders>
            <w:shd w:val="clear" w:color="auto" w:fill="auto"/>
            <w:noWrap/>
            <w:vAlign w:val="center"/>
            <w:hideMark/>
          </w:tcPr>
          <w:p w14:paraId="7DC32B18"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551 313 998,1</w:t>
            </w:r>
          </w:p>
        </w:tc>
        <w:tc>
          <w:tcPr>
            <w:tcW w:w="1418" w:type="dxa"/>
            <w:tcBorders>
              <w:top w:val="nil"/>
              <w:left w:val="nil"/>
              <w:bottom w:val="nil"/>
              <w:right w:val="nil"/>
            </w:tcBorders>
            <w:shd w:val="clear" w:color="auto" w:fill="auto"/>
            <w:noWrap/>
            <w:vAlign w:val="center"/>
            <w:hideMark/>
          </w:tcPr>
          <w:p w14:paraId="43592527"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523 213 632,0</w:t>
            </w:r>
          </w:p>
        </w:tc>
        <w:tc>
          <w:tcPr>
            <w:tcW w:w="1134" w:type="dxa"/>
            <w:tcBorders>
              <w:top w:val="nil"/>
              <w:left w:val="nil"/>
              <w:bottom w:val="nil"/>
              <w:right w:val="nil"/>
            </w:tcBorders>
            <w:shd w:val="clear" w:color="auto" w:fill="auto"/>
            <w:noWrap/>
            <w:vAlign w:val="center"/>
            <w:hideMark/>
          </w:tcPr>
          <w:p w14:paraId="4DF31AEA"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94,9</w:t>
            </w:r>
          </w:p>
        </w:tc>
      </w:tr>
      <w:tr w:rsidR="009F7FF6" w:rsidRPr="005C53F5" w14:paraId="6EBCFF31" w14:textId="77777777" w:rsidTr="009F6321">
        <w:trPr>
          <w:trHeight w:val="255"/>
        </w:trPr>
        <w:tc>
          <w:tcPr>
            <w:tcW w:w="5245" w:type="dxa"/>
            <w:tcBorders>
              <w:top w:val="nil"/>
              <w:left w:val="nil"/>
              <w:bottom w:val="nil"/>
              <w:right w:val="nil"/>
            </w:tcBorders>
            <w:shd w:val="clear" w:color="auto" w:fill="auto"/>
            <w:vAlign w:val="center"/>
            <w:hideMark/>
          </w:tcPr>
          <w:p w14:paraId="2D5CD741"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Трансферты</w:t>
            </w:r>
          </w:p>
        </w:tc>
        <w:tc>
          <w:tcPr>
            <w:tcW w:w="2126" w:type="dxa"/>
            <w:tcBorders>
              <w:top w:val="nil"/>
              <w:left w:val="nil"/>
              <w:bottom w:val="nil"/>
              <w:right w:val="nil"/>
            </w:tcBorders>
            <w:shd w:val="clear" w:color="auto" w:fill="auto"/>
            <w:noWrap/>
            <w:vAlign w:val="center"/>
            <w:hideMark/>
          </w:tcPr>
          <w:p w14:paraId="5DBAA4BE"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11 823 858,7</w:t>
            </w:r>
          </w:p>
        </w:tc>
        <w:tc>
          <w:tcPr>
            <w:tcW w:w="1418" w:type="dxa"/>
            <w:tcBorders>
              <w:top w:val="nil"/>
              <w:left w:val="nil"/>
              <w:bottom w:val="nil"/>
              <w:right w:val="nil"/>
            </w:tcBorders>
            <w:shd w:val="clear" w:color="auto" w:fill="auto"/>
            <w:noWrap/>
            <w:vAlign w:val="center"/>
            <w:hideMark/>
          </w:tcPr>
          <w:p w14:paraId="5C4EEC7B"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11 804 202,6</w:t>
            </w:r>
          </w:p>
        </w:tc>
        <w:tc>
          <w:tcPr>
            <w:tcW w:w="1134" w:type="dxa"/>
            <w:tcBorders>
              <w:top w:val="nil"/>
              <w:left w:val="nil"/>
              <w:bottom w:val="nil"/>
              <w:right w:val="nil"/>
            </w:tcBorders>
            <w:shd w:val="clear" w:color="auto" w:fill="auto"/>
            <w:noWrap/>
            <w:vAlign w:val="center"/>
            <w:hideMark/>
          </w:tcPr>
          <w:p w14:paraId="5AD31442"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99,8</w:t>
            </w:r>
          </w:p>
        </w:tc>
      </w:tr>
      <w:tr w:rsidR="009F7FF6" w:rsidRPr="005C53F5" w14:paraId="1A0B49F9" w14:textId="77777777" w:rsidTr="009F6321">
        <w:trPr>
          <w:trHeight w:val="420"/>
        </w:trPr>
        <w:tc>
          <w:tcPr>
            <w:tcW w:w="5245" w:type="dxa"/>
            <w:tcBorders>
              <w:top w:val="nil"/>
              <w:left w:val="nil"/>
              <w:bottom w:val="nil"/>
              <w:right w:val="nil"/>
            </w:tcBorders>
            <w:shd w:val="clear" w:color="auto" w:fill="auto"/>
            <w:vAlign w:val="center"/>
            <w:hideMark/>
          </w:tcPr>
          <w:p w14:paraId="6396E51F"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Покрытие расходов, связанных с управлением Нацфондом и проведением ежегодного внешнего аудита</w:t>
            </w:r>
          </w:p>
        </w:tc>
        <w:tc>
          <w:tcPr>
            <w:tcW w:w="2126" w:type="dxa"/>
            <w:tcBorders>
              <w:top w:val="nil"/>
              <w:left w:val="nil"/>
              <w:bottom w:val="nil"/>
              <w:right w:val="nil"/>
            </w:tcBorders>
            <w:shd w:val="clear" w:color="auto" w:fill="auto"/>
            <w:noWrap/>
            <w:vAlign w:val="center"/>
            <w:hideMark/>
          </w:tcPr>
          <w:p w14:paraId="2EE0CCE0"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13 000 000,0</w:t>
            </w:r>
          </w:p>
        </w:tc>
        <w:tc>
          <w:tcPr>
            <w:tcW w:w="1418" w:type="dxa"/>
            <w:tcBorders>
              <w:top w:val="nil"/>
              <w:left w:val="nil"/>
              <w:bottom w:val="nil"/>
              <w:right w:val="nil"/>
            </w:tcBorders>
            <w:shd w:val="clear" w:color="auto" w:fill="auto"/>
            <w:noWrap/>
            <w:vAlign w:val="center"/>
            <w:hideMark/>
          </w:tcPr>
          <w:p w14:paraId="01207576"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18 808 654,0</w:t>
            </w:r>
          </w:p>
        </w:tc>
        <w:tc>
          <w:tcPr>
            <w:tcW w:w="1134" w:type="dxa"/>
            <w:tcBorders>
              <w:top w:val="nil"/>
              <w:left w:val="nil"/>
              <w:bottom w:val="nil"/>
              <w:right w:val="nil"/>
            </w:tcBorders>
            <w:shd w:val="clear" w:color="auto" w:fill="auto"/>
            <w:noWrap/>
            <w:vAlign w:val="center"/>
            <w:hideMark/>
          </w:tcPr>
          <w:p w14:paraId="5546D94D" w14:textId="77777777" w:rsidR="009F7FF6" w:rsidRPr="005C53F5" w:rsidRDefault="009F7FF6" w:rsidP="00057BE5">
            <w:pPr>
              <w:spacing w:after="0" w:line="240" w:lineRule="auto"/>
              <w:jc w:val="center"/>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144,7</w:t>
            </w:r>
          </w:p>
        </w:tc>
      </w:tr>
      <w:tr w:rsidR="009F7FF6" w:rsidRPr="005C53F5" w14:paraId="5E72DE99" w14:textId="77777777" w:rsidTr="009F6321">
        <w:trPr>
          <w:trHeight w:val="255"/>
        </w:trPr>
        <w:tc>
          <w:tcPr>
            <w:tcW w:w="5245" w:type="dxa"/>
            <w:tcBorders>
              <w:top w:val="nil"/>
              <w:left w:val="nil"/>
              <w:bottom w:val="nil"/>
              <w:right w:val="nil"/>
            </w:tcBorders>
            <w:shd w:val="clear" w:color="auto" w:fill="auto"/>
            <w:vAlign w:val="center"/>
            <w:hideMark/>
          </w:tcPr>
          <w:p w14:paraId="3E21A315" w14:textId="77777777" w:rsidR="009F7FF6" w:rsidRPr="005C53F5" w:rsidRDefault="009F7FF6" w:rsidP="00057BE5">
            <w:pPr>
              <w:spacing w:after="0" w:line="240" w:lineRule="auto"/>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III. ЧИСТОЕ БЮДЖЕТНОЕ КРЕДИТОВАНИЕ</w:t>
            </w:r>
          </w:p>
        </w:tc>
        <w:tc>
          <w:tcPr>
            <w:tcW w:w="2126" w:type="dxa"/>
            <w:tcBorders>
              <w:top w:val="nil"/>
              <w:left w:val="nil"/>
              <w:bottom w:val="nil"/>
              <w:right w:val="nil"/>
            </w:tcBorders>
            <w:shd w:val="clear" w:color="auto" w:fill="auto"/>
            <w:noWrap/>
            <w:vAlign w:val="center"/>
            <w:hideMark/>
          </w:tcPr>
          <w:p w14:paraId="2B7A3D5D"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249 502 656,4</w:t>
            </w:r>
          </w:p>
        </w:tc>
        <w:tc>
          <w:tcPr>
            <w:tcW w:w="1418" w:type="dxa"/>
            <w:tcBorders>
              <w:top w:val="nil"/>
              <w:left w:val="nil"/>
              <w:bottom w:val="nil"/>
              <w:right w:val="nil"/>
            </w:tcBorders>
            <w:shd w:val="clear" w:color="auto" w:fill="auto"/>
            <w:noWrap/>
            <w:vAlign w:val="center"/>
            <w:hideMark/>
          </w:tcPr>
          <w:p w14:paraId="0B90DF5F"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249 842 192,6</w:t>
            </w:r>
          </w:p>
        </w:tc>
        <w:tc>
          <w:tcPr>
            <w:tcW w:w="1134" w:type="dxa"/>
            <w:tcBorders>
              <w:top w:val="nil"/>
              <w:left w:val="nil"/>
              <w:bottom w:val="nil"/>
              <w:right w:val="nil"/>
            </w:tcBorders>
            <w:shd w:val="clear" w:color="auto" w:fill="auto"/>
            <w:noWrap/>
            <w:vAlign w:val="center"/>
            <w:hideMark/>
          </w:tcPr>
          <w:p w14:paraId="4FD5F708"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p>
        </w:tc>
      </w:tr>
      <w:tr w:rsidR="009F7FF6" w:rsidRPr="005C53F5" w14:paraId="7983AF12" w14:textId="77777777" w:rsidTr="009F6321">
        <w:trPr>
          <w:trHeight w:val="255"/>
        </w:trPr>
        <w:tc>
          <w:tcPr>
            <w:tcW w:w="5245" w:type="dxa"/>
            <w:tcBorders>
              <w:top w:val="nil"/>
              <w:left w:val="nil"/>
              <w:bottom w:val="nil"/>
              <w:right w:val="nil"/>
            </w:tcBorders>
            <w:shd w:val="clear" w:color="auto" w:fill="auto"/>
            <w:vAlign w:val="center"/>
            <w:hideMark/>
          </w:tcPr>
          <w:p w14:paraId="77D2749C"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БЮДЖЕТНЫЕ КРЕДИТЫ</w:t>
            </w:r>
          </w:p>
        </w:tc>
        <w:tc>
          <w:tcPr>
            <w:tcW w:w="2126" w:type="dxa"/>
            <w:tcBorders>
              <w:top w:val="nil"/>
              <w:left w:val="nil"/>
              <w:bottom w:val="nil"/>
              <w:right w:val="nil"/>
            </w:tcBorders>
            <w:shd w:val="clear" w:color="auto" w:fill="auto"/>
            <w:noWrap/>
            <w:vAlign w:val="center"/>
            <w:hideMark/>
          </w:tcPr>
          <w:p w14:paraId="5FD08D7D"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322 988 194,0</w:t>
            </w:r>
          </w:p>
        </w:tc>
        <w:tc>
          <w:tcPr>
            <w:tcW w:w="1418" w:type="dxa"/>
            <w:tcBorders>
              <w:top w:val="nil"/>
              <w:left w:val="nil"/>
              <w:bottom w:val="nil"/>
              <w:right w:val="nil"/>
            </w:tcBorders>
            <w:shd w:val="clear" w:color="auto" w:fill="auto"/>
            <w:noWrap/>
            <w:vAlign w:val="center"/>
            <w:hideMark/>
          </w:tcPr>
          <w:p w14:paraId="5ED0E853"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322 610 736,7</w:t>
            </w:r>
          </w:p>
        </w:tc>
        <w:tc>
          <w:tcPr>
            <w:tcW w:w="1134" w:type="dxa"/>
            <w:tcBorders>
              <w:top w:val="nil"/>
              <w:left w:val="nil"/>
              <w:bottom w:val="nil"/>
              <w:right w:val="nil"/>
            </w:tcBorders>
            <w:shd w:val="clear" w:color="auto" w:fill="auto"/>
            <w:noWrap/>
            <w:vAlign w:val="center"/>
            <w:hideMark/>
          </w:tcPr>
          <w:p w14:paraId="0F6D91EB" w14:textId="77777777" w:rsidR="009F7FF6" w:rsidRPr="005C53F5" w:rsidRDefault="009F7FF6" w:rsidP="00057BE5">
            <w:pPr>
              <w:spacing w:after="0" w:line="240" w:lineRule="auto"/>
              <w:jc w:val="center"/>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99,9</w:t>
            </w:r>
          </w:p>
        </w:tc>
      </w:tr>
      <w:tr w:rsidR="009F7FF6" w:rsidRPr="005C53F5" w14:paraId="7A0BA9A2" w14:textId="77777777" w:rsidTr="009F6321">
        <w:trPr>
          <w:trHeight w:val="255"/>
        </w:trPr>
        <w:tc>
          <w:tcPr>
            <w:tcW w:w="5245" w:type="dxa"/>
            <w:tcBorders>
              <w:top w:val="nil"/>
              <w:left w:val="nil"/>
              <w:bottom w:val="nil"/>
              <w:right w:val="nil"/>
            </w:tcBorders>
            <w:shd w:val="clear" w:color="auto" w:fill="auto"/>
            <w:vAlign w:val="center"/>
            <w:hideMark/>
          </w:tcPr>
          <w:p w14:paraId="4BE0496A"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Социальная помощь и социальное обеспечение</w:t>
            </w:r>
          </w:p>
        </w:tc>
        <w:tc>
          <w:tcPr>
            <w:tcW w:w="2126" w:type="dxa"/>
            <w:tcBorders>
              <w:top w:val="nil"/>
              <w:left w:val="nil"/>
              <w:bottom w:val="nil"/>
              <w:right w:val="nil"/>
            </w:tcBorders>
            <w:shd w:val="clear" w:color="auto" w:fill="auto"/>
            <w:noWrap/>
            <w:vAlign w:val="center"/>
            <w:hideMark/>
          </w:tcPr>
          <w:p w14:paraId="766D355B"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30 823 827,0</w:t>
            </w:r>
          </w:p>
        </w:tc>
        <w:tc>
          <w:tcPr>
            <w:tcW w:w="1418" w:type="dxa"/>
            <w:tcBorders>
              <w:top w:val="nil"/>
              <w:left w:val="nil"/>
              <w:bottom w:val="nil"/>
              <w:right w:val="nil"/>
            </w:tcBorders>
            <w:shd w:val="clear" w:color="auto" w:fill="auto"/>
            <w:noWrap/>
            <w:vAlign w:val="center"/>
            <w:hideMark/>
          </w:tcPr>
          <w:p w14:paraId="56A4D9B2"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30 823 827,0</w:t>
            </w:r>
          </w:p>
        </w:tc>
        <w:tc>
          <w:tcPr>
            <w:tcW w:w="1134" w:type="dxa"/>
            <w:tcBorders>
              <w:top w:val="nil"/>
              <w:left w:val="nil"/>
              <w:bottom w:val="nil"/>
              <w:right w:val="nil"/>
            </w:tcBorders>
            <w:shd w:val="clear" w:color="auto" w:fill="auto"/>
            <w:noWrap/>
            <w:vAlign w:val="center"/>
            <w:hideMark/>
          </w:tcPr>
          <w:p w14:paraId="0D406266"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9F7FF6" w:rsidRPr="005C53F5" w14:paraId="563B2642" w14:textId="77777777" w:rsidTr="009F6321">
        <w:trPr>
          <w:trHeight w:val="255"/>
        </w:trPr>
        <w:tc>
          <w:tcPr>
            <w:tcW w:w="5245" w:type="dxa"/>
            <w:tcBorders>
              <w:top w:val="nil"/>
              <w:left w:val="nil"/>
              <w:bottom w:val="nil"/>
              <w:right w:val="nil"/>
            </w:tcBorders>
            <w:shd w:val="clear" w:color="auto" w:fill="auto"/>
            <w:vAlign w:val="center"/>
            <w:hideMark/>
          </w:tcPr>
          <w:p w14:paraId="2C77B01A"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Жилищно-коммунальное хозяйство</w:t>
            </w:r>
          </w:p>
        </w:tc>
        <w:tc>
          <w:tcPr>
            <w:tcW w:w="2126" w:type="dxa"/>
            <w:tcBorders>
              <w:top w:val="nil"/>
              <w:left w:val="nil"/>
              <w:bottom w:val="nil"/>
              <w:right w:val="nil"/>
            </w:tcBorders>
            <w:shd w:val="clear" w:color="auto" w:fill="auto"/>
            <w:noWrap/>
            <w:vAlign w:val="center"/>
            <w:hideMark/>
          </w:tcPr>
          <w:p w14:paraId="06AB9FDA"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106 749 912,0</w:t>
            </w:r>
          </w:p>
        </w:tc>
        <w:tc>
          <w:tcPr>
            <w:tcW w:w="1418" w:type="dxa"/>
            <w:tcBorders>
              <w:top w:val="nil"/>
              <w:left w:val="nil"/>
              <w:bottom w:val="nil"/>
              <w:right w:val="nil"/>
            </w:tcBorders>
            <w:shd w:val="clear" w:color="auto" w:fill="auto"/>
            <w:noWrap/>
            <w:vAlign w:val="center"/>
            <w:hideMark/>
          </w:tcPr>
          <w:p w14:paraId="01202FD6"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106 392 858,7</w:t>
            </w:r>
          </w:p>
        </w:tc>
        <w:tc>
          <w:tcPr>
            <w:tcW w:w="1134" w:type="dxa"/>
            <w:tcBorders>
              <w:top w:val="nil"/>
              <w:left w:val="nil"/>
              <w:bottom w:val="nil"/>
              <w:right w:val="nil"/>
            </w:tcBorders>
            <w:shd w:val="clear" w:color="auto" w:fill="auto"/>
            <w:noWrap/>
            <w:vAlign w:val="center"/>
            <w:hideMark/>
          </w:tcPr>
          <w:p w14:paraId="4AD7DCB7"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99,7</w:t>
            </w:r>
          </w:p>
        </w:tc>
      </w:tr>
      <w:tr w:rsidR="009F7FF6" w:rsidRPr="005C53F5" w14:paraId="1EAA6684" w14:textId="77777777" w:rsidTr="009F6321">
        <w:trPr>
          <w:trHeight w:val="675"/>
        </w:trPr>
        <w:tc>
          <w:tcPr>
            <w:tcW w:w="5245" w:type="dxa"/>
            <w:tcBorders>
              <w:top w:val="nil"/>
              <w:left w:val="nil"/>
              <w:bottom w:val="nil"/>
              <w:right w:val="nil"/>
            </w:tcBorders>
            <w:shd w:val="clear" w:color="auto" w:fill="auto"/>
            <w:vAlign w:val="center"/>
            <w:hideMark/>
          </w:tcPr>
          <w:p w14:paraId="363785BF"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2126" w:type="dxa"/>
            <w:tcBorders>
              <w:top w:val="nil"/>
              <w:left w:val="nil"/>
              <w:bottom w:val="nil"/>
              <w:right w:val="nil"/>
            </w:tcBorders>
            <w:shd w:val="clear" w:color="auto" w:fill="auto"/>
            <w:noWrap/>
            <w:vAlign w:val="center"/>
            <w:hideMark/>
          </w:tcPr>
          <w:p w14:paraId="0B12CD14"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68 853 518,0</w:t>
            </w:r>
          </w:p>
        </w:tc>
        <w:tc>
          <w:tcPr>
            <w:tcW w:w="1418" w:type="dxa"/>
            <w:tcBorders>
              <w:top w:val="nil"/>
              <w:left w:val="nil"/>
              <w:bottom w:val="nil"/>
              <w:right w:val="nil"/>
            </w:tcBorders>
            <w:shd w:val="clear" w:color="auto" w:fill="auto"/>
            <w:noWrap/>
            <w:vAlign w:val="center"/>
            <w:hideMark/>
          </w:tcPr>
          <w:p w14:paraId="6B521FD3"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68 833 114,1</w:t>
            </w:r>
          </w:p>
        </w:tc>
        <w:tc>
          <w:tcPr>
            <w:tcW w:w="1134" w:type="dxa"/>
            <w:tcBorders>
              <w:top w:val="nil"/>
              <w:left w:val="nil"/>
              <w:bottom w:val="nil"/>
              <w:right w:val="nil"/>
            </w:tcBorders>
            <w:shd w:val="clear" w:color="auto" w:fill="auto"/>
            <w:noWrap/>
            <w:vAlign w:val="center"/>
            <w:hideMark/>
          </w:tcPr>
          <w:p w14:paraId="489BDE42"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9F7FF6" w:rsidRPr="005C53F5" w14:paraId="79D7421F" w14:textId="77777777" w:rsidTr="009F6321">
        <w:trPr>
          <w:trHeight w:val="255"/>
        </w:trPr>
        <w:tc>
          <w:tcPr>
            <w:tcW w:w="5245" w:type="dxa"/>
            <w:tcBorders>
              <w:top w:val="nil"/>
              <w:left w:val="nil"/>
              <w:bottom w:val="nil"/>
              <w:right w:val="nil"/>
            </w:tcBorders>
            <w:shd w:val="clear" w:color="auto" w:fill="auto"/>
            <w:hideMark/>
          </w:tcPr>
          <w:p w14:paraId="0A2B95F2"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Транспорт и коммуникации</w:t>
            </w:r>
          </w:p>
        </w:tc>
        <w:tc>
          <w:tcPr>
            <w:tcW w:w="2126" w:type="dxa"/>
            <w:tcBorders>
              <w:top w:val="nil"/>
              <w:left w:val="nil"/>
              <w:bottom w:val="nil"/>
              <w:right w:val="nil"/>
            </w:tcBorders>
            <w:shd w:val="clear" w:color="auto" w:fill="auto"/>
            <w:noWrap/>
            <w:vAlign w:val="center"/>
            <w:hideMark/>
          </w:tcPr>
          <w:p w14:paraId="45241D09"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12 861 805,0</w:t>
            </w:r>
          </w:p>
        </w:tc>
        <w:tc>
          <w:tcPr>
            <w:tcW w:w="1418" w:type="dxa"/>
            <w:tcBorders>
              <w:top w:val="nil"/>
              <w:left w:val="nil"/>
              <w:bottom w:val="nil"/>
              <w:right w:val="nil"/>
            </w:tcBorders>
            <w:shd w:val="clear" w:color="auto" w:fill="auto"/>
            <w:noWrap/>
            <w:vAlign w:val="center"/>
            <w:hideMark/>
          </w:tcPr>
          <w:p w14:paraId="157ABDFC"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12 861 805,0</w:t>
            </w:r>
          </w:p>
        </w:tc>
        <w:tc>
          <w:tcPr>
            <w:tcW w:w="1134" w:type="dxa"/>
            <w:tcBorders>
              <w:top w:val="nil"/>
              <w:left w:val="nil"/>
              <w:bottom w:val="nil"/>
              <w:right w:val="nil"/>
            </w:tcBorders>
            <w:shd w:val="clear" w:color="auto" w:fill="auto"/>
            <w:noWrap/>
            <w:vAlign w:val="center"/>
            <w:hideMark/>
          </w:tcPr>
          <w:p w14:paraId="20D72C9D"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9F7FF6" w:rsidRPr="005C53F5" w14:paraId="5EE2730E" w14:textId="77777777" w:rsidTr="009F6321">
        <w:trPr>
          <w:trHeight w:val="255"/>
        </w:trPr>
        <w:tc>
          <w:tcPr>
            <w:tcW w:w="5245" w:type="dxa"/>
            <w:tcBorders>
              <w:top w:val="nil"/>
              <w:left w:val="nil"/>
              <w:bottom w:val="nil"/>
              <w:right w:val="nil"/>
            </w:tcBorders>
            <w:shd w:val="clear" w:color="auto" w:fill="auto"/>
            <w:vAlign w:val="center"/>
            <w:hideMark/>
          </w:tcPr>
          <w:p w14:paraId="52109D37"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Прочие</w:t>
            </w:r>
          </w:p>
        </w:tc>
        <w:tc>
          <w:tcPr>
            <w:tcW w:w="2126" w:type="dxa"/>
            <w:tcBorders>
              <w:top w:val="nil"/>
              <w:left w:val="nil"/>
              <w:bottom w:val="nil"/>
              <w:right w:val="nil"/>
            </w:tcBorders>
            <w:shd w:val="clear" w:color="auto" w:fill="auto"/>
            <w:noWrap/>
            <w:vAlign w:val="center"/>
            <w:hideMark/>
          </w:tcPr>
          <w:p w14:paraId="626C2DDB"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103 699 132,0</w:t>
            </w:r>
          </w:p>
        </w:tc>
        <w:tc>
          <w:tcPr>
            <w:tcW w:w="1418" w:type="dxa"/>
            <w:tcBorders>
              <w:top w:val="nil"/>
              <w:left w:val="nil"/>
              <w:bottom w:val="nil"/>
              <w:right w:val="nil"/>
            </w:tcBorders>
            <w:shd w:val="clear" w:color="auto" w:fill="auto"/>
            <w:noWrap/>
            <w:vAlign w:val="center"/>
            <w:hideMark/>
          </w:tcPr>
          <w:p w14:paraId="6B281375"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103 699 131,9</w:t>
            </w:r>
          </w:p>
        </w:tc>
        <w:tc>
          <w:tcPr>
            <w:tcW w:w="1134" w:type="dxa"/>
            <w:tcBorders>
              <w:top w:val="nil"/>
              <w:left w:val="nil"/>
              <w:bottom w:val="nil"/>
              <w:right w:val="nil"/>
            </w:tcBorders>
            <w:shd w:val="clear" w:color="auto" w:fill="auto"/>
            <w:noWrap/>
            <w:vAlign w:val="center"/>
            <w:hideMark/>
          </w:tcPr>
          <w:p w14:paraId="7B7F54BB"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9F7FF6" w:rsidRPr="005C53F5" w14:paraId="44E9E398" w14:textId="77777777" w:rsidTr="009F6321">
        <w:trPr>
          <w:trHeight w:val="255"/>
        </w:trPr>
        <w:tc>
          <w:tcPr>
            <w:tcW w:w="5245" w:type="dxa"/>
            <w:tcBorders>
              <w:top w:val="nil"/>
              <w:left w:val="nil"/>
              <w:bottom w:val="nil"/>
              <w:right w:val="nil"/>
            </w:tcBorders>
            <w:shd w:val="clear" w:color="auto" w:fill="auto"/>
            <w:vAlign w:val="center"/>
            <w:hideMark/>
          </w:tcPr>
          <w:p w14:paraId="3064DA4C"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ПОГАШЕНИЕ БЮДЖЕТНЫХ КРЕДИТОВ</w:t>
            </w:r>
          </w:p>
        </w:tc>
        <w:tc>
          <w:tcPr>
            <w:tcW w:w="2126" w:type="dxa"/>
            <w:tcBorders>
              <w:top w:val="nil"/>
              <w:left w:val="nil"/>
              <w:bottom w:val="nil"/>
              <w:right w:val="nil"/>
            </w:tcBorders>
            <w:shd w:val="clear" w:color="auto" w:fill="auto"/>
            <w:noWrap/>
            <w:vAlign w:val="center"/>
            <w:hideMark/>
          </w:tcPr>
          <w:p w14:paraId="281752E7"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73 485 537,6</w:t>
            </w:r>
          </w:p>
        </w:tc>
        <w:tc>
          <w:tcPr>
            <w:tcW w:w="1418" w:type="dxa"/>
            <w:tcBorders>
              <w:top w:val="nil"/>
              <w:left w:val="nil"/>
              <w:bottom w:val="nil"/>
              <w:right w:val="nil"/>
            </w:tcBorders>
            <w:shd w:val="clear" w:color="auto" w:fill="auto"/>
            <w:noWrap/>
            <w:vAlign w:val="center"/>
            <w:hideMark/>
          </w:tcPr>
          <w:p w14:paraId="21D431B9"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72 768 544,1</w:t>
            </w:r>
          </w:p>
        </w:tc>
        <w:tc>
          <w:tcPr>
            <w:tcW w:w="1134" w:type="dxa"/>
            <w:tcBorders>
              <w:top w:val="nil"/>
              <w:left w:val="nil"/>
              <w:bottom w:val="nil"/>
              <w:right w:val="nil"/>
            </w:tcBorders>
            <w:shd w:val="clear" w:color="auto" w:fill="auto"/>
            <w:noWrap/>
            <w:vAlign w:val="center"/>
            <w:hideMark/>
          </w:tcPr>
          <w:p w14:paraId="64845CD2" w14:textId="77777777" w:rsidR="009F7FF6" w:rsidRPr="005C53F5" w:rsidRDefault="009F7FF6" w:rsidP="00057BE5">
            <w:pPr>
              <w:spacing w:after="0" w:line="240" w:lineRule="auto"/>
              <w:jc w:val="center"/>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99,0</w:t>
            </w:r>
          </w:p>
        </w:tc>
      </w:tr>
      <w:tr w:rsidR="009F7FF6" w:rsidRPr="005C53F5" w14:paraId="5489E2DA" w14:textId="77777777" w:rsidTr="009F6321">
        <w:trPr>
          <w:trHeight w:val="270"/>
        </w:trPr>
        <w:tc>
          <w:tcPr>
            <w:tcW w:w="5245" w:type="dxa"/>
            <w:tcBorders>
              <w:top w:val="nil"/>
              <w:left w:val="nil"/>
              <w:bottom w:val="nil"/>
              <w:right w:val="nil"/>
            </w:tcBorders>
            <w:shd w:val="clear" w:color="auto" w:fill="auto"/>
            <w:vAlign w:val="center"/>
            <w:hideMark/>
          </w:tcPr>
          <w:p w14:paraId="5BCD08FF"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Погашение бюджетных кредитов</w:t>
            </w:r>
          </w:p>
        </w:tc>
        <w:tc>
          <w:tcPr>
            <w:tcW w:w="2126" w:type="dxa"/>
            <w:tcBorders>
              <w:top w:val="nil"/>
              <w:left w:val="nil"/>
              <w:bottom w:val="nil"/>
              <w:right w:val="nil"/>
            </w:tcBorders>
            <w:shd w:val="clear" w:color="auto" w:fill="auto"/>
            <w:noWrap/>
            <w:vAlign w:val="center"/>
            <w:hideMark/>
          </w:tcPr>
          <w:p w14:paraId="63DF031D"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73 485 537,6</w:t>
            </w:r>
          </w:p>
        </w:tc>
        <w:tc>
          <w:tcPr>
            <w:tcW w:w="1418" w:type="dxa"/>
            <w:tcBorders>
              <w:top w:val="nil"/>
              <w:left w:val="nil"/>
              <w:bottom w:val="nil"/>
              <w:right w:val="nil"/>
            </w:tcBorders>
            <w:shd w:val="clear" w:color="auto" w:fill="auto"/>
            <w:noWrap/>
            <w:vAlign w:val="center"/>
            <w:hideMark/>
          </w:tcPr>
          <w:p w14:paraId="7D875FA0"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72 768 544,1</w:t>
            </w:r>
          </w:p>
        </w:tc>
        <w:tc>
          <w:tcPr>
            <w:tcW w:w="1134" w:type="dxa"/>
            <w:tcBorders>
              <w:top w:val="nil"/>
              <w:left w:val="nil"/>
              <w:bottom w:val="nil"/>
              <w:right w:val="nil"/>
            </w:tcBorders>
            <w:shd w:val="clear" w:color="auto" w:fill="auto"/>
            <w:noWrap/>
            <w:vAlign w:val="center"/>
            <w:hideMark/>
          </w:tcPr>
          <w:p w14:paraId="4D6C7323"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99,0</w:t>
            </w:r>
          </w:p>
        </w:tc>
      </w:tr>
      <w:tr w:rsidR="009F7FF6" w:rsidRPr="005C53F5" w14:paraId="5343B359" w14:textId="77777777" w:rsidTr="009F6321">
        <w:trPr>
          <w:trHeight w:val="255"/>
        </w:trPr>
        <w:tc>
          <w:tcPr>
            <w:tcW w:w="5245" w:type="dxa"/>
            <w:tcBorders>
              <w:top w:val="nil"/>
              <w:left w:val="nil"/>
              <w:bottom w:val="nil"/>
              <w:right w:val="nil"/>
            </w:tcBorders>
            <w:shd w:val="clear" w:color="auto" w:fill="auto"/>
            <w:vAlign w:val="center"/>
            <w:hideMark/>
          </w:tcPr>
          <w:p w14:paraId="48D09691" w14:textId="77777777" w:rsidR="009F7FF6" w:rsidRPr="005C53F5" w:rsidRDefault="009F7FF6" w:rsidP="00057BE5">
            <w:pPr>
              <w:spacing w:after="0" w:line="240" w:lineRule="auto"/>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IV. САЛЬДО ПО ОПЕРАЦИЯМ С ФИНАНСОВЫМИ АКТИВАМИ</w:t>
            </w:r>
          </w:p>
        </w:tc>
        <w:tc>
          <w:tcPr>
            <w:tcW w:w="2126" w:type="dxa"/>
            <w:tcBorders>
              <w:top w:val="nil"/>
              <w:left w:val="nil"/>
              <w:bottom w:val="nil"/>
              <w:right w:val="nil"/>
            </w:tcBorders>
            <w:shd w:val="clear" w:color="auto" w:fill="auto"/>
            <w:noWrap/>
            <w:vAlign w:val="center"/>
            <w:hideMark/>
          </w:tcPr>
          <w:p w14:paraId="052D1C8F"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356 693 658,4</w:t>
            </w:r>
          </w:p>
        </w:tc>
        <w:tc>
          <w:tcPr>
            <w:tcW w:w="1418" w:type="dxa"/>
            <w:tcBorders>
              <w:top w:val="nil"/>
              <w:left w:val="nil"/>
              <w:bottom w:val="nil"/>
              <w:right w:val="nil"/>
            </w:tcBorders>
            <w:shd w:val="clear" w:color="auto" w:fill="auto"/>
            <w:noWrap/>
            <w:vAlign w:val="center"/>
            <w:hideMark/>
          </w:tcPr>
          <w:p w14:paraId="2EAD524C"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362 615 727,2</w:t>
            </w:r>
          </w:p>
        </w:tc>
        <w:tc>
          <w:tcPr>
            <w:tcW w:w="1134" w:type="dxa"/>
            <w:tcBorders>
              <w:top w:val="nil"/>
              <w:left w:val="nil"/>
              <w:bottom w:val="nil"/>
              <w:right w:val="nil"/>
            </w:tcBorders>
            <w:shd w:val="clear" w:color="auto" w:fill="auto"/>
            <w:noWrap/>
            <w:vAlign w:val="center"/>
            <w:hideMark/>
          </w:tcPr>
          <w:p w14:paraId="4A3AF7DD"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p>
        </w:tc>
      </w:tr>
      <w:tr w:rsidR="009F7FF6" w:rsidRPr="005C53F5" w14:paraId="63871259" w14:textId="77777777" w:rsidTr="009F6321">
        <w:trPr>
          <w:trHeight w:val="255"/>
        </w:trPr>
        <w:tc>
          <w:tcPr>
            <w:tcW w:w="5245" w:type="dxa"/>
            <w:tcBorders>
              <w:top w:val="nil"/>
              <w:left w:val="nil"/>
              <w:bottom w:val="nil"/>
              <w:right w:val="nil"/>
            </w:tcBorders>
            <w:shd w:val="clear" w:color="auto" w:fill="auto"/>
            <w:vAlign w:val="center"/>
            <w:hideMark/>
          </w:tcPr>
          <w:p w14:paraId="674443E8"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ПРИОБРЕТЕНИЕ ФИНАНСОВЫХ АКТИВОВ</w:t>
            </w:r>
          </w:p>
        </w:tc>
        <w:tc>
          <w:tcPr>
            <w:tcW w:w="2126" w:type="dxa"/>
            <w:tcBorders>
              <w:top w:val="nil"/>
              <w:left w:val="nil"/>
              <w:bottom w:val="nil"/>
              <w:right w:val="nil"/>
            </w:tcBorders>
            <w:shd w:val="clear" w:color="auto" w:fill="auto"/>
            <w:noWrap/>
            <w:vAlign w:val="center"/>
            <w:hideMark/>
          </w:tcPr>
          <w:p w14:paraId="40EE0EAC"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369 085 556,6</w:t>
            </w:r>
          </w:p>
        </w:tc>
        <w:tc>
          <w:tcPr>
            <w:tcW w:w="1418" w:type="dxa"/>
            <w:tcBorders>
              <w:top w:val="nil"/>
              <w:left w:val="nil"/>
              <w:bottom w:val="nil"/>
              <w:right w:val="nil"/>
            </w:tcBorders>
            <w:shd w:val="clear" w:color="auto" w:fill="auto"/>
            <w:noWrap/>
            <w:vAlign w:val="center"/>
            <w:hideMark/>
          </w:tcPr>
          <w:p w14:paraId="07B5ABD6"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368 615 964,1</w:t>
            </w:r>
          </w:p>
        </w:tc>
        <w:tc>
          <w:tcPr>
            <w:tcW w:w="1134" w:type="dxa"/>
            <w:tcBorders>
              <w:top w:val="nil"/>
              <w:left w:val="nil"/>
              <w:bottom w:val="nil"/>
              <w:right w:val="nil"/>
            </w:tcBorders>
            <w:shd w:val="clear" w:color="auto" w:fill="auto"/>
            <w:noWrap/>
            <w:vAlign w:val="center"/>
            <w:hideMark/>
          </w:tcPr>
          <w:p w14:paraId="5F8DF1EE" w14:textId="77777777" w:rsidR="009F7FF6" w:rsidRPr="005C53F5" w:rsidRDefault="009F7FF6" w:rsidP="00057BE5">
            <w:pPr>
              <w:spacing w:after="0" w:line="240" w:lineRule="auto"/>
              <w:jc w:val="center"/>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99,9</w:t>
            </w:r>
          </w:p>
        </w:tc>
      </w:tr>
      <w:tr w:rsidR="009F7FF6" w:rsidRPr="005C53F5" w14:paraId="77092DFA" w14:textId="77777777" w:rsidTr="009F6321">
        <w:trPr>
          <w:trHeight w:val="255"/>
        </w:trPr>
        <w:tc>
          <w:tcPr>
            <w:tcW w:w="5245" w:type="dxa"/>
            <w:tcBorders>
              <w:top w:val="nil"/>
              <w:left w:val="nil"/>
              <w:bottom w:val="nil"/>
              <w:right w:val="nil"/>
            </w:tcBorders>
            <w:shd w:val="clear" w:color="auto" w:fill="auto"/>
            <w:vAlign w:val="center"/>
            <w:hideMark/>
          </w:tcPr>
          <w:p w14:paraId="4FD7C6D5"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Государственные услуги общего характера</w:t>
            </w:r>
          </w:p>
        </w:tc>
        <w:tc>
          <w:tcPr>
            <w:tcW w:w="2126" w:type="dxa"/>
            <w:tcBorders>
              <w:top w:val="nil"/>
              <w:left w:val="nil"/>
              <w:bottom w:val="nil"/>
              <w:right w:val="nil"/>
            </w:tcBorders>
            <w:shd w:val="clear" w:color="auto" w:fill="auto"/>
            <w:noWrap/>
            <w:vAlign w:val="center"/>
            <w:hideMark/>
          </w:tcPr>
          <w:p w14:paraId="23F3C5CD"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13 735 099,0</w:t>
            </w:r>
          </w:p>
        </w:tc>
        <w:tc>
          <w:tcPr>
            <w:tcW w:w="1418" w:type="dxa"/>
            <w:tcBorders>
              <w:top w:val="nil"/>
              <w:left w:val="nil"/>
              <w:bottom w:val="nil"/>
              <w:right w:val="nil"/>
            </w:tcBorders>
            <w:shd w:val="clear" w:color="auto" w:fill="auto"/>
            <w:noWrap/>
            <w:vAlign w:val="center"/>
            <w:hideMark/>
          </w:tcPr>
          <w:p w14:paraId="59F81CF1"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13 735 098,7</w:t>
            </w:r>
          </w:p>
        </w:tc>
        <w:tc>
          <w:tcPr>
            <w:tcW w:w="1134" w:type="dxa"/>
            <w:tcBorders>
              <w:top w:val="nil"/>
              <w:left w:val="nil"/>
              <w:bottom w:val="nil"/>
              <w:right w:val="nil"/>
            </w:tcBorders>
            <w:shd w:val="clear" w:color="auto" w:fill="auto"/>
            <w:noWrap/>
            <w:vAlign w:val="center"/>
            <w:hideMark/>
          </w:tcPr>
          <w:p w14:paraId="1E7B30BB"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9F7FF6" w:rsidRPr="005C53F5" w14:paraId="5D48A8B5" w14:textId="77777777" w:rsidTr="009F6321">
        <w:trPr>
          <w:trHeight w:val="255"/>
        </w:trPr>
        <w:tc>
          <w:tcPr>
            <w:tcW w:w="5245" w:type="dxa"/>
            <w:tcBorders>
              <w:top w:val="nil"/>
              <w:left w:val="nil"/>
              <w:bottom w:val="nil"/>
              <w:right w:val="nil"/>
            </w:tcBorders>
            <w:shd w:val="clear" w:color="auto" w:fill="auto"/>
            <w:vAlign w:val="center"/>
            <w:hideMark/>
          </w:tcPr>
          <w:p w14:paraId="3635CAEE"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Оборона</w:t>
            </w:r>
          </w:p>
        </w:tc>
        <w:tc>
          <w:tcPr>
            <w:tcW w:w="2126" w:type="dxa"/>
            <w:tcBorders>
              <w:top w:val="nil"/>
              <w:left w:val="nil"/>
              <w:bottom w:val="nil"/>
              <w:right w:val="nil"/>
            </w:tcBorders>
            <w:shd w:val="clear" w:color="auto" w:fill="auto"/>
            <w:noWrap/>
            <w:vAlign w:val="center"/>
            <w:hideMark/>
          </w:tcPr>
          <w:p w14:paraId="48B6D0B8"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10 377 200,0</w:t>
            </w:r>
          </w:p>
        </w:tc>
        <w:tc>
          <w:tcPr>
            <w:tcW w:w="1418" w:type="dxa"/>
            <w:tcBorders>
              <w:top w:val="nil"/>
              <w:left w:val="nil"/>
              <w:bottom w:val="nil"/>
              <w:right w:val="nil"/>
            </w:tcBorders>
            <w:shd w:val="clear" w:color="auto" w:fill="auto"/>
            <w:noWrap/>
            <w:vAlign w:val="center"/>
            <w:hideMark/>
          </w:tcPr>
          <w:p w14:paraId="28720EE4"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10 377 200,0</w:t>
            </w:r>
          </w:p>
        </w:tc>
        <w:tc>
          <w:tcPr>
            <w:tcW w:w="1134" w:type="dxa"/>
            <w:tcBorders>
              <w:top w:val="nil"/>
              <w:left w:val="nil"/>
              <w:bottom w:val="nil"/>
              <w:right w:val="nil"/>
            </w:tcBorders>
            <w:shd w:val="clear" w:color="auto" w:fill="auto"/>
            <w:noWrap/>
            <w:vAlign w:val="center"/>
            <w:hideMark/>
          </w:tcPr>
          <w:p w14:paraId="3AB217D2"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9F7FF6" w:rsidRPr="005C53F5" w14:paraId="76A50D13" w14:textId="77777777" w:rsidTr="009F6321">
        <w:trPr>
          <w:trHeight w:val="255"/>
        </w:trPr>
        <w:tc>
          <w:tcPr>
            <w:tcW w:w="5245" w:type="dxa"/>
            <w:tcBorders>
              <w:top w:val="nil"/>
              <w:left w:val="nil"/>
              <w:bottom w:val="nil"/>
              <w:right w:val="nil"/>
            </w:tcBorders>
            <w:shd w:val="clear" w:color="auto" w:fill="auto"/>
            <w:vAlign w:val="center"/>
            <w:hideMark/>
          </w:tcPr>
          <w:p w14:paraId="477D044A"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Образование</w:t>
            </w:r>
          </w:p>
        </w:tc>
        <w:tc>
          <w:tcPr>
            <w:tcW w:w="2126" w:type="dxa"/>
            <w:tcBorders>
              <w:top w:val="nil"/>
              <w:left w:val="nil"/>
              <w:bottom w:val="nil"/>
              <w:right w:val="nil"/>
            </w:tcBorders>
            <w:shd w:val="clear" w:color="auto" w:fill="auto"/>
            <w:noWrap/>
            <w:vAlign w:val="center"/>
            <w:hideMark/>
          </w:tcPr>
          <w:p w14:paraId="221A713D"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4 340 686,0</w:t>
            </w:r>
          </w:p>
        </w:tc>
        <w:tc>
          <w:tcPr>
            <w:tcW w:w="1418" w:type="dxa"/>
            <w:tcBorders>
              <w:top w:val="nil"/>
              <w:left w:val="nil"/>
              <w:bottom w:val="nil"/>
              <w:right w:val="nil"/>
            </w:tcBorders>
            <w:shd w:val="clear" w:color="auto" w:fill="auto"/>
            <w:noWrap/>
            <w:vAlign w:val="center"/>
            <w:hideMark/>
          </w:tcPr>
          <w:p w14:paraId="6B76E947"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4 340 686,0</w:t>
            </w:r>
          </w:p>
        </w:tc>
        <w:tc>
          <w:tcPr>
            <w:tcW w:w="1134" w:type="dxa"/>
            <w:tcBorders>
              <w:top w:val="nil"/>
              <w:left w:val="nil"/>
              <w:bottom w:val="nil"/>
              <w:right w:val="nil"/>
            </w:tcBorders>
            <w:shd w:val="clear" w:color="auto" w:fill="auto"/>
            <w:noWrap/>
            <w:vAlign w:val="center"/>
            <w:hideMark/>
          </w:tcPr>
          <w:p w14:paraId="4BE04ADE"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9F7FF6" w:rsidRPr="005C53F5" w14:paraId="7C297D3A" w14:textId="77777777" w:rsidTr="009F6321">
        <w:trPr>
          <w:trHeight w:val="255"/>
        </w:trPr>
        <w:tc>
          <w:tcPr>
            <w:tcW w:w="5245" w:type="dxa"/>
            <w:tcBorders>
              <w:top w:val="nil"/>
              <w:left w:val="nil"/>
              <w:bottom w:val="nil"/>
              <w:right w:val="nil"/>
            </w:tcBorders>
            <w:shd w:val="clear" w:color="auto" w:fill="auto"/>
            <w:vAlign w:val="center"/>
            <w:hideMark/>
          </w:tcPr>
          <w:p w14:paraId="34F3775B"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Здравоохранение</w:t>
            </w:r>
          </w:p>
        </w:tc>
        <w:tc>
          <w:tcPr>
            <w:tcW w:w="2126" w:type="dxa"/>
            <w:tcBorders>
              <w:top w:val="nil"/>
              <w:left w:val="nil"/>
              <w:bottom w:val="nil"/>
              <w:right w:val="nil"/>
            </w:tcBorders>
            <w:shd w:val="clear" w:color="auto" w:fill="auto"/>
            <w:noWrap/>
            <w:vAlign w:val="center"/>
            <w:hideMark/>
          </w:tcPr>
          <w:p w14:paraId="7B36B5CC"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106 050,0</w:t>
            </w:r>
          </w:p>
        </w:tc>
        <w:tc>
          <w:tcPr>
            <w:tcW w:w="1418" w:type="dxa"/>
            <w:tcBorders>
              <w:top w:val="nil"/>
              <w:left w:val="nil"/>
              <w:bottom w:val="nil"/>
              <w:right w:val="nil"/>
            </w:tcBorders>
            <w:shd w:val="clear" w:color="auto" w:fill="auto"/>
            <w:noWrap/>
            <w:vAlign w:val="center"/>
            <w:hideMark/>
          </w:tcPr>
          <w:p w14:paraId="7CE947D8"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106 050,0</w:t>
            </w:r>
          </w:p>
        </w:tc>
        <w:tc>
          <w:tcPr>
            <w:tcW w:w="1134" w:type="dxa"/>
            <w:tcBorders>
              <w:top w:val="nil"/>
              <w:left w:val="nil"/>
              <w:bottom w:val="nil"/>
              <w:right w:val="nil"/>
            </w:tcBorders>
            <w:shd w:val="clear" w:color="auto" w:fill="auto"/>
            <w:noWrap/>
            <w:vAlign w:val="center"/>
            <w:hideMark/>
          </w:tcPr>
          <w:p w14:paraId="1C7629AC"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9F7FF6" w:rsidRPr="005C53F5" w14:paraId="7A93BD5A" w14:textId="77777777" w:rsidTr="009F6321">
        <w:trPr>
          <w:trHeight w:val="735"/>
        </w:trPr>
        <w:tc>
          <w:tcPr>
            <w:tcW w:w="5245" w:type="dxa"/>
            <w:tcBorders>
              <w:top w:val="nil"/>
              <w:left w:val="nil"/>
              <w:bottom w:val="nil"/>
              <w:right w:val="nil"/>
            </w:tcBorders>
            <w:shd w:val="clear" w:color="000000" w:fill="FFFFFF"/>
            <w:vAlign w:val="center"/>
            <w:hideMark/>
          </w:tcPr>
          <w:p w14:paraId="5EB620CA"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Жилищно-коммунальное хозяйство</w:t>
            </w:r>
          </w:p>
        </w:tc>
        <w:tc>
          <w:tcPr>
            <w:tcW w:w="2126" w:type="dxa"/>
            <w:tcBorders>
              <w:top w:val="nil"/>
              <w:left w:val="nil"/>
              <w:bottom w:val="nil"/>
              <w:right w:val="nil"/>
            </w:tcBorders>
            <w:shd w:val="clear" w:color="auto" w:fill="auto"/>
            <w:noWrap/>
            <w:vAlign w:val="center"/>
            <w:hideMark/>
          </w:tcPr>
          <w:p w14:paraId="0C14D601"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17 088 643,0</w:t>
            </w:r>
          </w:p>
        </w:tc>
        <w:tc>
          <w:tcPr>
            <w:tcW w:w="1418" w:type="dxa"/>
            <w:tcBorders>
              <w:top w:val="nil"/>
              <w:left w:val="nil"/>
              <w:bottom w:val="nil"/>
              <w:right w:val="nil"/>
            </w:tcBorders>
            <w:shd w:val="clear" w:color="auto" w:fill="auto"/>
            <w:noWrap/>
            <w:vAlign w:val="center"/>
            <w:hideMark/>
          </w:tcPr>
          <w:p w14:paraId="16629811"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17 088 643,0</w:t>
            </w:r>
          </w:p>
        </w:tc>
        <w:tc>
          <w:tcPr>
            <w:tcW w:w="1134" w:type="dxa"/>
            <w:tcBorders>
              <w:top w:val="nil"/>
              <w:left w:val="nil"/>
              <w:bottom w:val="nil"/>
              <w:right w:val="nil"/>
            </w:tcBorders>
            <w:shd w:val="clear" w:color="auto" w:fill="auto"/>
            <w:noWrap/>
            <w:vAlign w:val="center"/>
            <w:hideMark/>
          </w:tcPr>
          <w:p w14:paraId="5F708463"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9F7FF6" w:rsidRPr="005C53F5" w14:paraId="5BDD5203" w14:textId="77777777" w:rsidTr="009F6321">
        <w:trPr>
          <w:trHeight w:val="675"/>
        </w:trPr>
        <w:tc>
          <w:tcPr>
            <w:tcW w:w="5245" w:type="dxa"/>
            <w:tcBorders>
              <w:top w:val="nil"/>
              <w:left w:val="nil"/>
              <w:bottom w:val="nil"/>
              <w:right w:val="nil"/>
            </w:tcBorders>
            <w:shd w:val="clear" w:color="auto" w:fill="auto"/>
            <w:vAlign w:val="center"/>
            <w:hideMark/>
          </w:tcPr>
          <w:p w14:paraId="10D41B69"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2126" w:type="dxa"/>
            <w:tcBorders>
              <w:top w:val="nil"/>
              <w:left w:val="nil"/>
              <w:bottom w:val="nil"/>
              <w:right w:val="nil"/>
            </w:tcBorders>
            <w:shd w:val="clear" w:color="auto" w:fill="auto"/>
            <w:noWrap/>
            <w:vAlign w:val="center"/>
            <w:hideMark/>
          </w:tcPr>
          <w:p w14:paraId="342C4C68"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77 409 000,0</w:t>
            </w:r>
          </w:p>
        </w:tc>
        <w:tc>
          <w:tcPr>
            <w:tcW w:w="1418" w:type="dxa"/>
            <w:tcBorders>
              <w:top w:val="nil"/>
              <w:left w:val="nil"/>
              <w:bottom w:val="nil"/>
              <w:right w:val="nil"/>
            </w:tcBorders>
            <w:shd w:val="clear" w:color="auto" w:fill="auto"/>
            <w:noWrap/>
            <w:vAlign w:val="center"/>
            <w:hideMark/>
          </w:tcPr>
          <w:p w14:paraId="227C13A4"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77 409 000,0</w:t>
            </w:r>
          </w:p>
        </w:tc>
        <w:tc>
          <w:tcPr>
            <w:tcW w:w="1134" w:type="dxa"/>
            <w:tcBorders>
              <w:top w:val="nil"/>
              <w:left w:val="nil"/>
              <w:bottom w:val="nil"/>
              <w:right w:val="nil"/>
            </w:tcBorders>
            <w:shd w:val="clear" w:color="auto" w:fill="auto"/>
            <w:noWrap/>
            <w:vAlign w:val="center"/>
            <w:hideMark/>
          </w:tcPr>
          <w:p w14:paraId="0D0A3699"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9F7FF6" w:rsidRPr="005C53F5" w14:paraId="1BC07939" w14:textId="77777777" w:rsidTr="009F6321">
        <w:trPr>
          <w:trHeight w:val="255"/>
        </w:trPr>
        <w:tc>
          <w:tcPr>
            <w:tcW w:w="5245" w:type="dxa"/>
            <w:tcBorders>
              <w:top w:val="nil"/>
              <w:left w:val="nil"/>
              <w:bottom w:val="nil"/>
              <w:right w:val="nil"/>
            </w:tcBorders>
            <w:shd w:val="clear" w:color="auto" w:fill="auto"/>
            <w:vAlign w:val="center"/>
            <w:hideMark/>
          </w:tcPr>
          <w:p w14:paraId="54A03367"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Транспорт и коммуникации</w:t>
            </w:r>
          </w:p>
        </w:tc>
        <w:tc>
          <w:tcPr>
            <w:tcW w:w="2126" w:type="dxa"/>
            <w:tcBorders>
              <w:top w:val="nil"/>
              <w:left w:val="nil"/>
              <w:bottom w:val="nil"/>
              <w:right w:val="nil"/>
            </w:tcBorders>
            <w:shd w:val="clear" w:color="auto" w:fill="auto"/>
            <w:noWrap/>
            <w:vAlign w:val="center"/>
            <w:hideMark/>
          </w:tcPr>
          <w:p w14:paraId="20E0C8FE"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52 630 038,0</w:t>
            </w:r>
          </w:p>
        </w:tc>
        <w:tc>
          <w:tcPr>
            <w:tcW w:w="1418" w:type="dxa"/>
            <w:tcBorders>
              <w:top w:val="nil"/>
              <w:left w:val="nil"/>
              <w:bottom w:val="nil"/>
              <w:right w:val="nil"/>
            </w:tcBorders>
            <w:shd w:val="clear" w:color="auto" w:fill="auto"/>
            <w:noWrap/>
            <w:vAlign w:val="center"/>
            <w:hideMark/>
          </w:tcPr>
          <w:p w14:paraId="6A8B7231"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52 630 037,5</w:t>
            </w:r>
          </w:p>
        </w:tc>
        <w:tc>
          <w:tcPr>
            <w:tcW w:w="1134" w:type="dxa"/>
            <w:tcBorders>
              <w:top w:val="nil"/>
              <w:left w:val="nil"/>
              <w:bottom w:val="nil"/>
              <w:right w:val="nil"/>
            </w:tcBorders>
            <w:shd w:val="clear" w:color="auto" w:fill="auto"/>
            <w:noWrap/>
            <w:vAlign w:val="center"/>
            <w:hideMark/>
          </w:tcPr>
          <w:p w14:paraId="02A8AB4E"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9F7FF6" w:rsidRPr="005C53F5" w14:paraId="696889CA" w14:textId="77777777" w:rsidTr="009F6321">
        <w:trPr>
          <w:trHeight w:val="300"/>
        </w:trPr>
        <w:tc>
          <w:tcPr>
            <w:tcW w:w="5245" w:type="dxa"/>
            <w:tcBorders>
              <w:top w:val="nil"/>
              <w:left w:val="nil"/>
              <w:bottom w:val="nil"/>
              <w:right w:val="nil"/>
            </w:tcBorders>
            <w:shd w:val="clear" w:color="auto" w:fill="auto"/>
            <w:vAlign w:val="center"/>
            <w:hideMark/>
          </w:tcPr>
          <w:p w14:paraId="41F747CA"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Прочие</w:t>
            </w:r>
          </w:p>
        </w:tc>
        <w:tc>
          <w:tcPr>
            <w:tcW w:w="2126" w:type="dxa"/>
            <w:tcBorders>
              <w:top w:val="nil"/>
              <w:left w:val="nil"/>
              <w:bottom w:val="nil"/>
              <w:right w:val="nil"/>
            </w:tcBorders>
            <w:shd w:val="clear" w:color="auto" w:fill="auto"/>
            <w:noWrap/>
            <w:vAlign w:val="center"/>
            <w:hideMark/>
          </w:tcPr>
          <w:p w14:paraId="4689F72F"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193 398 840,6</w:t>
            </w:r>
          </w:p>
        </w:tc>
        <w:tc>
          <w:tcPr>
            <w:tcW w:w="1418" w:type="dxa"/>
            <w:tcBorders>
              <w:top w:val="nil"/>
              <w:left w:val="nil"/>
              <w:bottom w:val="nil"/>
              <w:right w:val="nil"/>
            </w:tcBorders>
            <w:shd w:val="clear" w:color="auto" w:fill="auto"/>
            <w:noWrap/>
            <w:vAlign w:val="center"/>
            <w:hideMark/>
          </w:tcPr>
          <w:p w14:paraId="35DCA802"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192 929 248,9</w:t>
            </w:r>
          </w:p>
        </w:tc>
        <w:tc>
          <w:tcPr>
            <w:tcW w:w="1134" w:type="dxa"/>
            <w:tcBorders>
              <w:top w:val="nil"/>
              <w:left w:val="nil"/>
              <w:bottom w:val="nil"/>
              <w:right w:val="nil"/>
            </w:tcBorders>
            <w:shd w:val="clear" w:color="auto" w:fill="auto"/>
            <w:noWrap/>
            <w:vAlign w:val="center"/>
            <w:hideMark/>
          </w:tcPr>
          <w:p w14:paraId="6D2617B6"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99,8</w:t>
            </w:r>
          </w:p>
        </w:tc>
      </w:tr>
      <w:tr w:rsidR="009F7FF6" w:rsidRPr="005C53F5" w14:paraId="7AA04CA9" w14:textId="77777777" w:rsidTr="009F6321">
        <w:trPr>
          <w:trHeight w:val="270"/>
        </w:trPr>
        <w:tc>
          <w:tcPr>
            <w:tcW w:w="5245" w:type="dxa"/>
            <w:tcBorders>
              <w:top w:val="nil"/>
              <w:left w:val="nil"/>
              <w:bottom w:val="nil"/>
              <w:right w:val="nil"/>
            </w:tcBorders>
            <w:shd w:val="clear" w:color="auto" w:fill="auto"/>
            <w:vAlign w:val="center"/>
            <w:hideMark/>
          </w:tcPr>
          <w:p w14:paraId="6A7B0124"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ПОСТУПЛЕНИЯ ОТ ПРОДАЖИ ФИНАНСОВЫХ АКТИВОВ ГОСУДАРСТВА</w:t>
            </w:r>
          </w:p>
        </w:tc>
        <w:tc>
          <w:tcPr>
            <w:tcW w:w="2126" w:type="dxa"/>
            <w:tcBorders>
              <w:top w:val="nil"/>
              <w:left w:val="nil"/>
              <w:bottom w:val="nil"/>
              <w:right w:val="nil"/>
            </w:tcBorders>
            <w:shd w:val="clear" w:color="auto" w:fill="auto"/>
            <w:noWrap/>
            <w:vAlign w:val="center"/>
            <w:hideMark/>
          </w:tcPr>
          <w:p w14:paraId="0BE7BE76"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12 391 898,2</w:t>
            </w:r>
          </w:p>
        </w:tc>
        <w:tc>
          <w:tcPr>
            <w:tcW w:w="1418" w:type="dxa"/>
            <w:tcBorders>
              <w:top w:val="nil"/>
              <w:left w:val="nil"/>
              <w:bottom w:val="nil"/>
              <w:right w:val="nil"/>
            </w:tcBorders>
            <w:shd w:val="clear" w:color="auto" w:fill="auto"/>
            <w:noWrap/>
            <w:vAlign w:val="center"/>
            <w:hideMark/>
          </w:tcPr>
          <w:p w14:paraId="54827C6C"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6 000 236,8</w:t>
            </w:r>
          </w:p>
        </w:tc>
        <w:tc>
          <w:tcPr>
            <w:tcW w:w="1134" w:type="dxa"/>
            <w:tcBorders>
              <w:top w:val="nil"/>
              <w:left w:val="nil"/>
              <w:bottom w:val="nil"/>
              <w:right w:val="nil"/>
            </w:tcBorders>
            <w:shd w:val="clear" w:color="auto" w:fill="auto"/>
            <w:noWrap/>
            <w:vAlign w:val="center"/>
            <w:hideMark/>
          </w:tcPr>
          <w:p w14:paraId="2CEC26FC" w14:textId="77777777" w:rsidR="009F7FF6" w:rsidRPr="005C53F5" w:rsidRDefault="009F7FF6" w:rsidP="00057BE5">
            <w:pPr>
              <w:spacing w:after="0" w:line="240" w:lineRule="auto"/>
              <w:jc w:val="center"/>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48,4</w:t>
            </w:r>
          </w:p>
        </w:tc>
      </w:tr>
      <w:tr w:rsidR="009F7FF6" w:rsidRPr="005C53F5" w14:paraId="4D8835DA" w14:textId="77777777" w:rsidTr="009F6321">
        <w:trPr>
          <w:trHeight w:val="255"/>
        </w:trPr>
        <w:tc>
          <w:tcPr>
            <w:tcW w:w="5245" w:type="dxa"/>
            <w:tcBorders>
              <w:top w:val="nil"/>
              <w:left w:val="nil"/>
              <w:bottom w:val="nil"/>
              <w:right w:val="nil"/>
            </w:tcBorders>
            <w:shd w:val="clear" w:color="auto" w:fill="auto"/>
            <w:vAlign w:val="center"/>
            <w:hideMark/>
          </w:tcPr>
          <w:p w14:paraId="72A9FBA8"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от продажи финансовых активов государства</w:t>
            </w:r>
          </w:p>
        </w:tc>
        <w:tc>
          <w:tcPr>
            <w:tcW w:w="2126" w:type="dxa"/>
            <w:tcBorders>
              <w:top w:val="nil"/>
              <w:left w:val="nil"/>
              <w:bottom w:val="nil"/>
              <w:right w:val="nil"/>
            </w:tcBorders>
            <w:shd w:val="clear" w:color="auto" w:fill="auto"/>
            <w:noWrap/>
            <w:vAlign w:val="center"/>
            <w:hideMark/>
          </w:tcPr>
          <w:p w14:paraId="7E285D6E"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12 391 898,2</w:t>
            </w:r>
          </w:p>
        </w:tc>
        <w:tc>
          <w:tcPr>
            <w:tcW w:w="1418" w:type="dxa"/>
            <w:tcBorders>
              <w:top w:val="nil"/>
              <w:left w:val="nil"/>
              <w:bottom w:val="nil"/>
              <w:right w:val="nil"/>
            </w:tcBorders>
            <w:shd w:val="clear" w:color="auto" w:fill="auto"/>
            <w:noWrap/>
            <w:vAlign w:val="center"/>
            <w:hideMark/>
          </w:tcPr>
          <w:p w14:paraId="6D953979"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6 000 236,8</w:t>
            </w:r>
          </w:p>
        </w:tc>
        <w:tc>
          <w:tcPr>
            <w:tcW w:w="1134" w:type="dxa"/>
            <w:tcBorders>
              <w:top w:val="nil"/>
              <w:left w:val="nil"/>
              <w:bottom w:val="nil"/>
              <w:right w:val="nil"/>
            </w:tcBorders>
            <w:shd w:val="clear" w:color="auto" w:fill="auto"/>
            <w:noWrap/>
            <w:vAlign w:val="center"/>
            <w:hideMark/>
          </w:tcPr>
          <w:p w14:paraId="10CAC22F"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48,4</w:t>
            </w:r>
          </w:p>
        </w:tc>
      </w:tr>
      <w:tr w:rsidR="009F7FF6" w:rsidRPr="005C53F5" w14:paraId="2ABADCCD" w14:textId="77777777" w:rsidTr="009F6321">
        <w:trPr>
          <w:trHeight w:val="255"/>
        </w:trPr>
        <w:tc>
          <w:tcPr>
            <w:tcW w:w="5245" w:type="dxa"/>
            <w:tcBorders>
              <w:top w:val="nil"/>
              <w:left w:val="nil"/>
              <w:bottom w:val="nil"/>
              <w:right w:val="nil"/>
            </w:tcBorders>
            <w:shd w:val="clear" w:color="auto" w:fill="auto"/>
            <w:vAlign w:val="center"/>
            <w:hideMark/>
          </w:tcPr>
          <w:p w14:paraId="7D86CF8C" w14:textId="77777777" w:rsidR="009F7FF6" w:rsidRPr="005C53F5" w:rsidRDefault="009F7FF6" w:rsidP="00057BE5">
            <w:pPr>
              <w:spacing w:after="0" w:line="240" w:lineRule="auto"/>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V. ДЕФИЦИТ (ПРОФИЦИТ) БЮДЖЕТА</w:t>
            </w:r>
          </w:p>
        </w:tc>
        <w:tc>
          <w:tcPr>
            <w:tcW w:w="2126" w:type="dxa"/>
            <w:tcBorders>
              <w:top w:val="nil"/>
              <w:left w:val="nil"/>
              <w:bottom w:val="nil"/>
              <w:right w:val="nil"/>
            </w:tcBorders>
            <w:shd w:val="clear" w:color="auto" w:fill="auto"/>
            <w:noWrap/>
            <w:vAlign w:val="center"/>
            <w:hideMark/>
          </w:tcPr>
          <w:p w14:paraId="37D52885"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-2 551 478 736,1</w:t>
            </w:r>
          </w:p>
        </w:tc>
        <w:tc>
          <w:tcPr>
            <w:tcW w:w="1418" w:type="dxa"/>
            <w:tcBorders>
              <w:top w:val="nil"/>
              <w:left w:val="nil"/>
              <w:bottom w:val="nil"/>
              <w:right w:val="nil"/>
            </w:tcBorders>
            <w:shd w:val="clear" w:color="auto" w:fill="auto"/>
            <w:noWrap/>
            <w:vAlign w:val="center"/>
            <w:hideMark/>
          </w:tcPr>
          <w:p w14:paraId="07803722"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-2 626 452 852,6</w:t>
            </w:r>
          </w:p>
        </w:tc>
        <w:tc>
          <w:tcPr>
            <w:tcW w:w="1134" w:type="dxa"/>
            <w:tcBorders>
              <w:top w:val="nil"/>
              <w:left w:val="nil"/>
              <w:bottom w:val="nil"/>
              <w:right w:val="nil"/>
            </w:tcBorders>
            <w:shd w:val="clear" w:color="auto" w:fill="auto"/>
            <w:noWrap/>
            <w:vAlign w:val="center"/>
            <w:hideMark/>
          </w:tcPr>
          <w:p w14:paraId="5CCFCB66"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p>
        </w:tc>
      </w:tr>
      <w:tr w:rsidR="009F7FF6" w:rsidRPr="005C53F5" w14:paraId="1DBF7C5F" w14:textId="77777777" w:rsidTr="009F6321">
        <w:trPr>
          <w:trHeight w:val="480"/>
        </w:trPr>
        <w:tc>
          <w:tcPr>
            <w:tcW w:w="5245" w:type="dxa"/>
            <w:tcBorders>
              <w:top w:val="nil"/>
              <w:left w:val="nil"/>
              <w:bottom w:val="nil"/>
              <w:right w:val="nil"/>
            </w:tcBorders>
            <w:shd w:val="clear" w:color="auto" w:fill="auto"/>
            <w:vAlign w:val="center"/>
            <w:hideMark/>
          </w:tcPr>
          <w:p w14:paraId="5DB568A8" w14:textId="77777777" w:rsidR="009F7FF6" w:rsidRPr="005C53F5" w:rsidRDefault="009F7FF6" w:rsidP="00057BE5">
            <w:pPr>
              <w:spacing w:after="0" w:line="240" w:lineRule="auto"/>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VI. ФИНАНСИРОВАНИЕ ДЕФИЦИТА (ИСПОЛЬЗОВАНИЕ ПРОФИЦИТА) БЮДЖЕТА</w:t>
            </w:r>
          </w:p>
        </w:tc>
        <w:tc>
          <w:tcPr>
            <w:tcW w:w="2126" w:type="dxa"/>
            <w:tcBorders>
              <w:top w:val="nil"/>
              <w:left w:val="nil"/>
              <w:bottom w:val="nil"/>
              <w:right w:val="nil"/>
            </w:tcBorders>
            <w:shd w:val="clear" w:color="auto" w:fill="auto"/>
            <w:noWrap/>
            <w:vAlign w:val="center"/>
            <w:hideMark/>
          </w:tcPr>
          <w:p w14:paraId="137CDA1D"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2 551 478 736,1</w:t>
            </w:r>
          </w:p>
        </w:tc>
        <w:tc>
          <w:tcPr>
            <w:tcW w:w="1418" w:type="dxa"/>
            <w:tcBorders>
              <w:top w:val="nil"/>
              <w:left w:val="nil"/>
              <w:bottom w:val="nil"/>
              <w:right w:val="nil"/>
            </w:tcBorders>
            <w:shd w:val="clear" w:color="auto" w:fill="auto"/>
            <w:noWrap/>
            <w:vAlign w:val="center"/>
            <w:hideMark/>
          </w:tcPr>
          <w:p w14:paraId="37C83F49"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2 626 452 852,6</w:t>
            </w:r>
          </w:p>
        </w:tc>
        <w:tc>
          <w:tcPr>
            <w:tcW w:w="1134" w:type="dxa"/>
            <w:tcBorders>
              <w:top w:val="nil"/>
              <w:left w:val="nil"/>
              <w:bottom w:val="nil"/>
              <w:right w:val="nil"/>
            </w:tcBorders>
            <w:shd w:val="clear" w:color="auto" w:fill="auto"/>
            <w:noWrap/>
            <w:vAlign w:val="center"/>
            <w:hideMark/>
          </w:tcPr>
          <w:p w14:paraId="1830A891"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p>
        </w:tc>
      </w:tr>
      <w:tr w:rsidR="009F7FF6" w:rsidRPr="005C53F5" w14:paraId="310AAC59" w14:textId="77777777" w:rsidTr="009F6321">
        <w:trPr>
          <w:trHeight w:val="255"/>
        </w:trPr>
        <w:tc>
          <w:tcPr>
            <w:tcW w:w="5245" w:type="dxa"/>
            <w:tcBorders>
              <w:top w:val="nil"/>
              <w:left w:val="nil"/>
              <w:bottom w:val="nil"/>
              <w:right w:val="nil"/>
            </w:tcBorders>
            <w:shd w:val="clear" w:color="auto" w:fill="auto"/>
            <w:vAlign w:val="center"/>
            <w:hideMark/>
          </w:tcPr>
          <w:p w14:paraId="56131D1B"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ПОСТУПЛЕНИЕ ЗАЙМОВ</w:t>
            </w:r>
          </w:p>
        </w:tc>
        <w:tc>
          <w:tcPr>
            <w:tcW w:w="2126" w:type="dxa"/>
            <w:tcBorders>
              <w:top w:val="nil"/>
              <w:left w:val="nil"/>
              <w:bottom w:val="nil"/>
              <w:right w:val="nil"/>
            </w:tcBorders>
            <w:shd w:val="clear" w:color="auto" w:fill="auto"/>
            <w:noWrap/>
            <w:vAlign w:val="center"/>
            <w:hideMark/>
          </w:tcPr>
          <w:p w14:paraId="3650716C"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1 145 814 313,0</w:t>
            </w:r>
          </w:p>
        </w:tc>
        <w:tc>
          <w:tcPr>
            <w:tcW w:w="1418" w:type="dxa"/>
            <w:tcBorders>
              <w:top w:val="nil"/>
              <w:left w:val="nil"/>
              <w:bottom w:val="nil"/>
              <w:right w:val="nil"/>
            </w:tcBorders>
            <w:shd w:val="clear" w:color="auto" w:fill="auto"/>
            <w:noWrap/>
            <w:vAlign w:val="center"/>
            <w:hideMark/>
          </w:tcPr>
          <w:p w14:paraId="471C0331"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1 054 593 289,6</w:t>
            </w:r>
          </w:p>
        </w:tc>
        <w:tc>
          <w:tcPr>
            <w:tcW w:w="1134" w:type="dxa"/>
            <w:tcBorders>
              <w:top w:val="nil"/>
              <w:left w:val="nil"/>
              <w:bottom w:val="nil"/>
              <w:right w:val="nil"/>
            </w:tcBorders>
            <w:shd w:val="clear" w:color="auto" w:fill="auto"/>
            <w:noWrap/>
            <w:vAlign w:val="center"/>
            <w:hideMark/>
          </w:tcPr>
          <w:p w14:paraId="18B3492B" w14:textId="77777777" w:rsidR="009F7FF6" w:rsidRPr="005C53F5" w:rsidRDefault="009F7FF6" w:rsidP="00057BE5">
            <w:pPr>
              <w:spacing w:after="0" w:line="240" w:lineRule="auto"/>
              <w:jc w:val="center"/>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92,0</w:t>
            </w:r>
          </w:p>
        </w:tc>
      </w:tr>
      <w:tr w:rsidR="009F7FF6" w:rsidRPr="005C53F5" w14:paraId="0CD8DD88" w14:textId="77777777" w:rsidTr="009F6321">
        <w:trPr>
          <w:trHeight w:val="255"/>
        </w:trPr>
        <w:tc>
          <w:tcPr>
            <w:tcW w:w="5245" w:type="dxa"/>
            <w:tcBorders>
              <w:top w:val="nil"/>
              <w:left w:val="nil"/>
              <w:bottom w:val="nil"/>
              <w:right w:val="nil"/>
            </w:tcBorders>
            <w:shd w:val="clear" w:color="auto" w:fill="auto"/>
            <w:vAlign w:val="center"/>
            <w:hideMark/>
          </w:tcPr>
          <w:p w14:paraId="01828EE1"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займов</w:t>
            </w:r>
          </w:p>
        </w:tc>
        <w:tc>
          <w:tcPr>
            <w:tcW w:w="2126" w:type="dxa"/>
            <w:tcBorders>
              <w:top w:val="nil"/>
              <w:left w:val="nil"/>
              <w:bottom w:val="nil"/>
              <w:right w:val="nil"/>
            </w:tcBorders>
            <w:shd w:val="clear" w:color="auto" w:fill="auto"/>
            <w:noWrap/>
            <w:vAlign w:val="center"/>
            <w:hideMark/>
          </w:tcPr>
          <w:p w14:paraId="08AFF83A"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1 145 814 313,0</w:t>
            </w:r>
          </w:p>
        </w:tc>
        <w:tc>
          <w:tcPr>
            <w:tcW w:w="1418" w:type="dxa"/>
            <w:tcBorders>
              <w:top w:val="nil"/>
              <w:left w:val="nil"/>
              <w:bottom w:val="nil"/>
              <w:right w:val="nil"/>
            </w:tcBorders>
            <w:shd w:val="clear" w:color="auto" w:fill="auto"/>
            <w:noWrap/>
            <w:vAlign w:val="center"/>
            <w:hideMark/>
          </w:tcPr>
          <w:p w14:paraId="61D27C2C"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1 054 593 289,6</w:t>
            </w:r>
          </w:p>
        </w:tc>
        <w:tc>
          <w:tcPr>
            <w:tcW w:w="1134" w:type="dxa"/>
            <w:tcBorders>
              <w:top w:val="nil"/>
              <w:left w:val="nil"/>
              <w:bottom w:val="nil"/>
              <w:right w:val="nil"/>
            </w:tcBorders>
            <w:shd w:val="clear" w:color="auto" w:fill="auto"/>
            <w:noWrap/>
            <w:vAlign w:val="center"/>
            <w:hideMark/>
          </w:tcPr>
          <w:p w14:paraId="62F284AD"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92,0</w:t>
            </w:r>
          </w:p>
        </w:tc>
      </w:tr>
      <w:tr w:rsidR="009F7FF6" w:rsidRPr="005C53F5" w14:paraId="5D094516" w14:textId="77777777" w:rsidTr="009F6321">
        <w:trPr>
          <w:trHeight w:val="255"/>
        </w:trPr>
        <w:tc>
          <w:tcPr>
            <w:tcW w:w="5245" w:type="dxa"/>
            <w:tcBorders>
              <w:top w:val="nil"/>
              <w:left w:val="nil"/>
              <w:bottom w:val="nil"/>
              <w:right w:val="nil"/>
            </w:tcBorders>
            <w:shd w:val="clear" w:color="auto" w:fill="auto"/>
            <w:vAlign w:val="center"/>
            <w:hideMark/>
          </w:tcPr>
          <w:p w14:paraId="76B76778"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ПОГАШЕНИЕ ЗАЙМОВ</w:t>
            </w:r>
          </w:p>
        </w:tc>
        <w:tc>
          <w:tcPr>
            <w:tcW w:w="2126" w:type="dxa"/>
            <w:tcBorders>
              <w:top w:val="nil"/>
              <w:left w:val="nil"/>
              <w:bottom w:val="nil"/>
              <w:right w:val="nil"/>
            </w:tcBorders>
            <w:shd w:val="clear" w:color="auto" w:fill="auto"/>
            <w:noWrap/>
            <w:vAlign w:val="center"/>
            <w:hideMark/>
          </w:tcPr>
          <w:p w14:paraId="75096837"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384 156 023,0</w:t>
            </w:r>
          </w:p>
        </w:tc>
        <w:tc>
          <w:tcPr>
            <w:tcW w:w="1418" w:type="dxa"/>
            <w:tcBorders>
              <w:top w:val="nil"/>
              <w:left w:val="nil"/>
              <w:bottom w:val="nil"/>
              <w:right w:val="nil"/>
            </w:tcBorders>
            <w:shd w:val="clear" w:color="auto" w:fill="auto"/>
            <w:noWrap/>
            <w:vAlign w:val="center"/>
            <w:hideMark/>
          </w:tcPr>
          <w:p w14:paraId="04F00F7A"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381 176 000,2</w:t>
            </w:r>
          </w:p>
        </w:tc>
        <w:tc>
          <w:tcPr>
            <w:tcW w:w="1134" w:type="dxa"/>
            <w:tcBorders>
              <w:top w:val="nil"/>
              <w:left w:val="nil"/>
              <w:bottom w:val="nil"/>
              <w:right w:val="nil"/>
            </w:tcBorders>
            <w:shd w:val="clear" w:color="auto" w:fill="auto"/>
            <w:noWrap/>
            <w:vAlign w:val="center"/>
            <w:hideMark/>
          </w:tcPr>
          <w:p w14:paraId="088E7ACA" w14:textId="77777777" w:rsidR="009F7FF6" w:rsidRPr="005C53F5" w:rsidRDefault="009F7FF6" w:rsidP="00057BE5">
            <w:pPr>
              <w:spacing w:after="0" w:line="240" w:lineRule="auto"/>
              <w:jc w:val="center"/>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99,2</w:t>
            </w:r>
          </w:p>
        </w:tc>
      </w:tr>
      <w:tr w:rsidR="009F7FF6" w:rsidRPr="005C53F5" w14:paraId="48B5B308" w14:textId="77777777" w:rsidTr="009F6321">
        <w:trPr>
          <w:trHeight w:val="255"/>
        </w:trPr>
        <w:tc>
          <w:tcPr>
            <w:tcW w:w="5245" w:type="dxa"/>
            <w:tcBorders>
              <w:top w:val="nil"/>
              <w:left w:val="nil"/>
              <w:bottom w:val="nil"/>
              <w:right w:val="nil"/>
            </w:tcBorders>
            <w:shd w:val="clear" w:color="auto" w:fill="auto"/>
            <w:vAlign w:val="center"/>
            <w:hideMark/>
          </w:tcPr>
          <w:p w14:paraId="47AC558D"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Погашение займов</w:t>
            </w:r>
          </w:p>
        </w:tc>
        <w:tc>
          <w:tcPr>
            <w:tcW w:w="2126" w:type="dxa"/>
            <w:tcBorders>
              <w:top w:val="nil"/>
              <w:left w:val="nil"/>
              <w:bottom w:val="nil"/>
              <w:right w:val="nil"/>
            </w:tcBorders>
            <w:shd w:val="clear" w:color="auto" w:fill="auto"/>
            <w:noWrap/>
            <w:vAlign w:val="center"/>
            <w:hideMark/>
          </w:tcPr>
          <w:p w14:paraId="395AE607"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384 156 023,0</w:t>
            </w:r>
          </w:p>
        </w:tc>
        <w:tc>
          <w:tcPr>
            <w:tcW w:w="1418" w:type="dxa"/>
            <w:tcBorders>
              <w:top w:val="nil"/>
              <w:left w:val="nil"/>
              <w:bottom w:val="nil"/>
              <w:right w:val="nil"/>
            </w:tcBorders>
            <w:shd w:val="clear" w:color="auto" w:fill="auto"/>
            <w:noWrap/>
            <w:vAlign w:val="center"/>
            <w:hideMark/>
          </w:tcPr>
          <w:p w14:paraId="6F377248" w14:textId="77777777" w:rsidR="009F7FF6" w:rsidRPr="005C53F5" w:rsidRDefault="009F7FF6"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381 176 000,2</w:t>
            </w:r>
          </w:p>
        </w:tc>
        <w:tc>
          <w:tcPr>
            <w:tcW w:w="1134" w:type="dxa"/>
            <w:tcBorders>
              <w:top w:val="nil"/>
              <w:left w:val="nil"/>
              <w:bottom w:val="nil"/>
              <w:right w:val="nil"/>
            </w:tcBorders>
            <w:shd w:val="clear" w:color="auto" w:fill="auto"/>
            <w:noWrap/>
            <w:vAlign w:val="center"/>
            <w:hideMark/>
          </w:tcPr>
          <w:p w14:paraId="3D2828E5" w14:textId="77777777" w:rsidR="009F7FF6" w:rsidRPr="005C53F5" w:rsidRDefault="009F7FF6" w:rsidP="00057BE5">
            <w:pPr>
              <w:spacing w:after="0" w:line="240" w:lineRule="auto"/>
              <w:jc w:val="center"/>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99,2</w:t>
            </w:r>
          </w:p>
        </w:tc>
      </w:tr>
      <w:tr w:rsidR="009F7FF6" w:rsidRPr="005C53F5" w14:paraId="42C2FD4D" w14:textId="77777777" w:rsidTr="009F6321">
        <w:trPr>
          <w:trHeight w:val="255"/>
        </w:trPr>
        <w:tc>
          <w:tcPr>
            <w:tcW w:w="5245" w:type="dxa"/>
            <w:tcBorders>
              <w:top w:val="nil"/>
              <w:left w:val="nil"/>
              <w:bottom w:val="nil"/>
              <w:right w:val="nil"/>
            </w:tcBorders>
            <w:shd w:val="clear" w:color="auto" w:fill="auto"/>
            <w:vAlign w:val="center"/>
            <w:hideMark/>
          </w:tcPr>
          <w:p w14:paraId="7DA20B93"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ИСПОЛЬЗУЕМЫЕ ОСТАТКИ БЮДЖЕТНЫХ СРЕДСТВ</w:t>
            </w:r>
          </w:p>
        </w:tc>
        <w:tc>
          <w:tcPr>
            <w:tcW w:w="2126" w:type="dxa"/>
            <w:tcBorders>
              <w:top w:val="nil"/>
              <w:left w:val="nil"/>
              <w:bottom w:val="nil"/>
              <w:right w:val="nil"/>
            </w:tcBorders>
            <w:shd w:val="clear" w:color="auto" w:fill="auto"/>
            <w:noWrap/>
            <w:vAlign w:val="center"/>
            <w:hideMark/>
          </w:tcPr>
          <w:p w14:paraId="4CA30628"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1 789 820 446,1</w:t>
            </w:r>
          </w:p>
        </w:tc>
        <w:tc>
          <w:tcPr>
            <w:tcW w:w="1418" w:type="dxa"/>
            <w:tcBorders>
              <w:top w:val="nil"/>
              <w:left w:val="nil"/>
              <w:bottom w:val="nil"/>
              <w:right w:val="nil"/>
            </w:tcBorders>
            <w:shd w:val="clear" w:color="auto" w:fill="auto"/>
            <w:noWrap/>
            <w:vAlign w:val="center"/>
            <w:hideMark/>
          </w:tcPr>
          <w:p w14:paraId="252FFAD5"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r w:rsidRPr="005C53F5">
              <w:rPr>
                <w:rFonts w:ascii="Times New Roman" w:eastAsia="Times New Roman" w:hAnsi="Times New Roman" w:cs="Times New Roman"/>
                <w:b/>
                <w:bCs/>
                <w:sz w:val="18"/>
                <w:szCs w:val="18"/>
                <w:lang w:eastAsia="ru-RU"/>
              </w:rPr>
              <w:t>1 953 035 563,2</w:t>
            </w:r>
          </w:p>
        </w:tc>
        <w:tc>
          <w:tcPr>
            <w:tcW w:w="1134" w:type="dxa"/>
            <w:tcBorders>
              <w:top w:val="nil"/>
              <w:left w:val="nil"/>
              <w:bottom w:val="nil"/>
              <w:right w:val="nil"/>
            </w:tcBorders>
            <w:shd w:val="clear" w:color="auto" w:fill="auto"/>
            <w:noWrap/>
            <w:vAlign w:val="center"/>
            <w:hideMark/>
          </w:tcPr>
          <w:p w14:paraId="3CB6901A" w14:textId="77777777" w:rsidR="009F7FF6" w:rsidRPr="005C53F5" w:rsidRDefault="009F7FF6" w:rsidP="00057BE5">
            <w:pPr>
              <w:spacing w:after="0" w:line="240" w:lineRule="auto"/>
              <w:jc w:val="right"/>
              <w:rPr>
                <w:rFonts w:ascii="Times New Roman" w:eastAsia="Times New Roman" w:hAnsi="Times New Roman" w:cs="Times New Roman"/>
                <w:b/>
                <w:bCs/>
                <w:sz w:val="18"/>
                <w:szCs w:val="18"/>
                <w:lang w:eastAsia="ru-RU"/>
              </w:rPr>
            </w:pPr>
          </w:p>
        </w:tc>
      </w:tr>
    </w:tbl>
    <w:p w14:paraId="7C15F084" w14:textId="7A179396" w:rsidR="00365C66" w:rsidRPr="005C53F5" w:rsidRDefault="009F7FF6" w:rsidP="00057BE5">
      <w:pPr>
        <w:spacing w:after="0" w:line="240" w:lineRule="auto"/>
        <w:rPr>
          <w:rFonts w:ascii="Times New Roman" w:hAnsi="Times New Roman" w:cs="Times New Roman"/>
          <w:sz w:val="24"/>
          <w:szCs w:val="24"/>
        </w:rPr>
      </w:pPr>
      <w:r w:rsidRPr="005C53F5" w:rsidDel="00D17896">
        <w:rPr>
          <w:rFonts w:ascii="Times New Roman" w:hAnsi="Times New Roman" w:cs="Times New Roman"/>
          <w:sz w:val="24"/>
          <w:szCs w:val="24"/>
        </w:rPr>
        <w:t xml:space="preserve"> </w:t>
      </w:r>
      <w:bookmarkEnd w:id="573"/>
    </w:p>
    <w:p w14:paraId="22B94205" w14:textId="77777777" w:rsidR="00365C66" w:rsidRPr="005C53F5" w:rsidRDefault="00365C66" w:rsidP="00057BE5">
      <w:pPr>
        <w:spacing w:after="0" w:line="240" w:lineRule="auto"/>
        <w:rPr>
          <w:rFonts w:ascii="Times New Roman" w:eastAsia="Times New Roman" w:hAnsi="Times New Roman" w:cs="Times New Roman"/>
          <w:b/>
          <w:sz w:val="24"/>
          <w:szCs w:val="24"/>
          <w:lang w:eastAsia="ru-RU"/>
        </w:rPr>
      </w:pPr>
      <w:r w:rsidRPr="005C53F5">
        <w:rPr>
          <w:rFonts w:ascii="Times New Roman" w:hAnsi="Times New Roman" w:cs="Times New Roman"/>
          <w:b/>
          <w:sz w:val="24"/>
          <w:szCs w:val="24"/>
        </w:rPr>
        <w:br w:type="page"/>
      </w:r>
    </w:p>
    <w:p w14:paraId="62A623E4" w14:textId="021FA289" w:rsidR="00365C66" w:rsidRPr="005C53F5" w:rsidRDefault="00365C66" w:rsidP="00057BE5">
      <w:pPr>
        <w:pStyle w:val="ConsPlusNormal"/>
        <w:jc w:val="center"/>
        <w:outlineLvl w:val="0"/>
        <w:rPr>
          <w:rFonts w:ascii="Times New Roman" w:hAnsi="Times New Roman" w:cs="Times New Roman"/>
          <w:b/>
          <w:sz w:val="24"/>
          <w:szCs w:val="24"/>
        </w:rPr>
      </w:pPr>
      <w:bookmarkStart w:id="574" w:name="_Toc39616440"/>
      <w:bookmarkStart w:id="575" w:name="_Toc36145683"/>
      <w:r w:rsidRPr="005C53F5">
        <w:rPr>
          <w:rFonts w:ascii="Times New Roman" w:hAnsi="Times New Roman" w:cs="Times New Roman"/>
          <w:b/>
          <w:sz w:val="24"/>
          <w:szCs w:val="24"/>
        </w:rPr>
        <w:t>Приложение 2.</w:t>
      </w:r>
      <w:r w:rsidR="000428BA" w:rsidRPr="005C53F5">
        <w:rPr>
          <w:rFonts w:ascii="Times New Roman" w:hAnsi="Times New Roman" w:cs="Times New Roman"/>
          <w:b/>
          <w:sz w:val="24"/>
          <w:szCs w:val="24"/>
        </w:rPr>
        <w:t xml:space="preserve"> </w:t>
      </w:r>
      <w:r w:rsidR="00C0193C" w:rsidRPr="005C53F5">
        <w:rPr>
          <w:rFonts w:ascii="Times New Roman" w:hAnsi="Times New Roman" w:cs="Times New Roman"/>
          <w:b/>
          <w:sz w:val="24"/>
          <w:szCs w:val="24"/>
        </w:rPr>
        <w:t>Отчет об исполнении консолидированного бюджета Республики Казахстан за 201</w:t>
      </w:r>
      <w:r w:rsidR="00FA0800" w:rsidRPr="005C53F5">
        <w:rPr>
          <w:rFonts w:ascii="Times New Roman" w:hAnsi="Times New Roman" w:cs="Times New Roman"/>
          <w:b/>
          <w:sz w:val="24"/>
          <w:szCs w:val="24"/>
        </w:rPr>
        <w:t>7</w:t>
      </w:r>
      <w:r w:rsidR="00C0193C" w:rsidRPr="005C53F5">
        <w:rPr>
          <w:rFonts w:ascii="Times New Roman" w:hAnsi="Times New Roman" w:cs="Times New Roman"/>
          <w:b/>
          <w:sz w:val="24"/>
          <w:szCs w:val="24"/>
        </w:rPr>
        <w:t xml:space="preserve"> год</w:t>
      </w:r>
      <w:bookmarkEnd w:id="574"/>
      <w:bookmarkEnd w:id="575"/>
    </w:p>
    <w:tbl>
      <w:tblPr>
        <w:tblW w:w="9639" w:type="dxa"/>
        <w:tblLook w:val="04A0" w:firstRow="1" w:lastRow="0" w:firstColumn="1" w:lastColumn="0" w:noHBand="0" w:noVBand="1"/>
      </w:tblPr>
      <w:tblGrid>
        <w:gridCol w:w="5604"/>
        <w:gridCol w:w="1616"/>
        <w:gridCol w:w="1429"/>
        <w:gridCol w:w="1020"/>
      </w:tblGrid>
      <w:tr w:rsidR="00295058" w:rsidRPr="005C53F5" w14:paraId="0B13F02B" w14:textId="77777777" w:rsidTr="00A61372">
        <w:trPr>
          <w:trHeight w:val="315"/>
        </w:trPr>
        <w:tc>
          <w:tcPr>
            <w:tcW w:w="5604" w:type="dxa"/>
            <w:tcBorders>
              <w:top w:val="nil"/>
              <w:left w:val="nil"/>
              <w:bottom w:val="nil"/>
              <w:right w:val="nil"/>
            </w:tcBorders>
            <w:shd w:val="clear" w:color="auto" w:fill="auto"/>
            <w:noWrap/>
            <w:vAlign w:val="center"/>
            <w:hideMark/>
          </w:tcPr>
          <w:p w14:paraId="18A29AED" w14:textId="77777777" w:rsidR="00295058" w:rsidRPr="005C53F5" w:rsidRDefault="00295058" w:rsidP="00057BE5">
            <w:pPr>
              <w:spacing w:after="0" w:line="240" w:lineRule="auto"/>
              <w:rPr>
                <w:rFonts w:ascii="Times New Roman" w:eastAsia="Times New Roman" w:hAnsi="Times New Roman" w:cs="Times New Roman"/>
                <w:sz w:val="24"/>
                <w:szCs w:val="24"/>
                <w:lang w:eastAsia="ru-RU"/>
              </w:rPr>
            </w:pPr>
          </w:p>
        </w:tc>
        <w:tc>
          <w:tcPr>
            <w:tcW w:w="1597" w:type="dxa"/>
            <w:tcBorders>
              <w:top w:val="nil"/>
              <w:left w:val="nil"/>
              <w:bottom w:val="nil"/>
              <w:right w:val="nil"/>
            </w:tcBorders>
            <w:shd w:val="clear" w:color="auto" w:fill="auto"/>
            <w:noWrap/>
            <w:vAlign w:val="center"/>
            <w:hideMark/>
          </w:tcPr>
          <w:p w14:paraId="311E242E" w14:textId="77777777" w:rsidR="00295058" w:rsidRPr="005C53F5" w:rsidRDefault="00295058" w:rsidP="00057BE5">
            <w:pPr>
              <w:spacing w:after="0" w:line="240" w:lineRule="auto"/>
              <w:rPr>
                <w:rFonts w:ascii="Times New Roman" w:eastAsia="Times New Roman" w:hAnsi="Times New Roman" w:cs="Times New Roman"/>
                <w:sz w:val="20"/>
                <w:szCs w:val="20"/>
                <w:lang w:eastAsia="ru-RU"/>
              </w:rPr>
            </w:pPr>
          </w:p>
        </w:tc>
        <w:tc>
          <w:tcPr>
            <w:tcW w:w="2438" w:type="dxa"/>
            <w:gridSpan w:val="2"/>
            <w:tcBorders>
              <w:top w:val="nil"/>
              <w:left w:val="nil"/>
              <w:bottom w:val="single" w:sz="4" w:space="0" w:color="auto"/>
              <w:right w:val="nil"/>
            </w:tcBorders>
            <w:shd w:val="clear" w:color="auto" w:fill="auto"/>
            <w:noWrap/>
            <w:vAlign w:val="center"/>
            <w:hideMark/>
          </w:tcPr>
          <w:p w14:paraId="6C5EC762" w14:textId="77777777" w:rsidR="00295058" w:rsidRPr="005C53F5" w:rsidRDefault="00295058"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тыс.тенге</w:t>
            </w:r>
          </w:p>
        </w:tc>
      </w:tr>
      <w:tr w:rsidR="00295058" w:rsidRPr="005C53F5" w14:paraId="6EF6285E" w14:textId="77777777" w:rsidTr="00A61372">
        <w:trPr>
          <w:trHeight w:val="438"/>
        </w:trPr>
        <w:tc>
          <w:tcPr>
            <w:tcW w:w="560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6F154F3" w14:textId="77777777" w:rsidR="00295058" w:rsidRPr="005C53F5" w:rsidRDefault="00295058" w:rsidP="00057BE5">
            <w:pPr>
              <w:spacing w:after="0" w:line="240" w:lineRule="auto"/>
              <w:jc w:val="center"/>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Наименование</w:t>
            </w:r>
          </w:p>
        </w:tc>
        <w:tc>
          <w:tcPr>
            <w:tcW w:w="159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354B203" w14:textId="77777777" w:rsidR="00295058" w:rsidRPr="005C53F5" w:rsidRDefault="00295058" w:rsidP="00057BE5">
            <w:pPr>
              <w:spacing w:after="0" w:line="240" w:lineRule="auto"/>
              <w:jc w:val="center"/>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Скорректированный бюджет</w:t>
            </w:r>
          </w:p>
        </w:tc>
        <w:tc>
          <w:tcPr>
            <w:tcW w:w="142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3DFEB9" w14:textId="77777777" w:rsidR="00295058" w:rsidRPr="005C53F5" w:rsidRDefault="00295058" w:rsidP="00057BE5">
            <w:pPr>
              <w:spacing w:after="0" w:line="240" w:lineRule="auto"/>
              <w:jc w:val="center"/>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Исполнение</w:t>
            </w:r>
          </w:p>
        </w:tc>
        <w:tc>
          <w:tcPr>
            <w:tcW w:w="100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61CCAF" w14:textId="77777777" w:rsidR="00295058" w:rsidRPr="005C53F5" w:rsidRDefault="00295058" w:rsidP="00057BE5">
            <w:pPr>
              <w:spacing w:after="0" w:line="240" w:lineRule="auto"/>
              <w:jc w:val="center"/>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 исполнения</w:t>
            </w:r>
          </w:p>
        </w:tc>
      </w:tr>
      <w:tr w:rsidR="00295058" w:rsidRPr="005C53F5" w14:paraId="5EDD8AD2" w14:textId="77777777" w:rsidTr="00A61372">
        <w:trPr>
          <w:trHeight w:val="690"/>
        </w:trPr>
        <w:tc>
          <w:tcPr>
            <w:tcW w:w="5604" w:type="dxa"/>
            <w:vMerge/>
            <w:tcBorders>
              <w:top w:val="single" w:sz="4" w:space="0" w:color="auto"/>
              <w:left w:val="single" w:sz="4" w:space="0" w:color="auto"/>
              <w:bottom w:val="single" w:sz="4" w:space="0" w:color="000000"/>
              <w:right w:val="single" w:sz="4" w:space="0" w:color="auto"/>
            </w:tcBorders>
            <w:vAlign w:val="center"/>
            <w:hideMark/>
          </w:tcPr>
          <w:p w14:paraId="74779355" w14:textId="77777777" w:rsidR="00295058" w:rsidRPr="005C53F5" w:rsidRDefault="00295058" w:rsidP="00057BE5">
            <w:pPr>
              <w:spacing w:after="0" w:line="240" w:lineRule="auto"/>
              <w:rPr>
                <w:rFonts w:ascii="Times New Roman" w:eastAsia="Times New Roman" w:hAnsi="Times New Roman" w:cs="Times New Roman"/>
                <w:sz w:val="16"/>
                <w:szCs w:val="16"/>
                <w:lang w:eastAsia="ru-RU"/>
              </w:rPr>
            </w:pPr>
          </w:p>
        </w:tc>
        <w:tc>
          <w:tcPr>
            <w:tcW w:w="1597" w:type="dxa"/>
            <w:vMerge/>
            <w:tcBorders>
              <w:top w:val="single" w:sz="4" w:space="0" w:color="auto"/>
              <w:left w:val="single" w:sz="4" w:space="0" w:color="auto"/>
              <w:bottom w:val="single" w:sz="4" w:space="0" w:color="000000"/>
              <w:right w:val="single" w:sz="4" w:space="0" w:color="auto"/>
            </w:tcBorders>
            <w:vAlign w:val="center"/>
            <w:hideMark/>
          </w:tcPr>
          <w:p w14:paraId="2A5C2761" w14:textId="77777777" w:rsidR="00295058" w:rsidRPr="005C53F5" w:rsidRDefault="00295058" w:rsidP="00057BE5">
            <w:pPr>
              <w:spacing w:after="0" w:line="240" w:lineRule="auto"/>
              <w:rPr>
                <w:rFonts w:ascii="Times New Roman" w:eastAsia="Times New Roman" w:hAnsi="Times New Roman" w:cs="Times New Roman"/>
                <w:sz w:val="16"/>
                <w:szCs w:val="16"/>
                <w:lang w:eastAsia="ru-RU"/>
              </w:rPr>
            </w:pPr>
          </w:p>
        </w:tc>
        <w:tc>
          <w:tcPr>
            <w:tcW w:w="1429" w:type="dxa"/>
            <w:vMerge/>
            <w:tcBorders>
              <w:top w:val="nil"/>
              <w:left w:val="single" w:sz="4" w:space="0" w:color="auto"/>
              <w:bottom w:val="single" w:sz="4" w:space="0" w:color="000000"/>
              <w:right w:val="single" w:sz="4" w:space="0" w:color="auto"/>
            </w:tcBorders>
            <w:vAlign w:val="center"/>
            <w:hideMark/>
          </w:tcPr>
          <w:p w14:paraId="2C5F85B0" w14:textId="77777777" w:rsidR="00295058" w:rsidRPr="005C53F5" w:rsidRDefault="00295058" w:rsidP="00057BE5">
            <w:pPr>
              <w:spacing w:after="0" w:line="240" w:lineRule="auto"/>
              <w:rPr>
                <w:rFonts w:ascii="Times New Roman" w:eastAsia="Times New Roman" w:hAnsi="Times New Roman" w:cs="Times New Roman"/>
                <w:sz w:val="16"/>
                <w:szCs w:val="16"/>
                <w:lang w:eastAsia="ru-RU"/>
              </w:rPr>
            </w:pPr>
          </w:p>
        </w:tc>
        <w:tc>
          <w:tcPr>
            <w:tcW w:w="1009" w:type="dxa"/>
            <w:vMerge/>
            <w:tcBorders>
              <w:top w:val="nil"/>
              <w:left w:val="single" w:sz="4" w:space="0" w:color="auto"/>
              <w:bottom w:val="single" w:sz="4" w:space="0" w:color="000000"/>
              <w:right w:val="single" w:sz="4" w:space="0" w:color="auto"/>
            </w:tcBorders>
            <w:vAlign w:val="center"/>
            <w:hideMark/>
          </w:tcPr>
          <w:p w14:paraId="6798756B" w14:textId="77777777" w:rsidR="00295058" w:rsidRPr="005C53F5" w:rsidRDefault="00295058" w:rsidP="00057BE5">
            <w:pPr>
              <w:spacing w:after="0" w:line="240" w:lineRule="auto"/>
              <w:rPr>
                <w:rFonts w:ascii="Times New Roman" w:eastAsia="Times New Roman" w:hAnsi="Times New Roman" w:cs="Times New Roman"/>
                <w:sz w:val="16"/>
                <w:szCs w:val="16"/>
                <w:lang w:eastAsia="ru-RU"/>
              </w:rPr>
            </w:pPr>
          </w:p>
        </w:tc>
      </w:tr>
      <w:tr w:rsidR="00295058" w:rsidRPr="005C53F5" w14:paraId="72EA1C9C" w14:textId="77777777" w:rsidTr="00A61372">
        <w:trPr>
          <w:trHeight w:val="210"/>
        </w:trPr>
        <w:tc>
          <w:tcPr>
            <w:tcW w:w="5604" w:type="dxa"/>
            <w:tcBorders>
              <w:top w:val="nil"/>
              <w:left w:val="nil"/>
              <w:bottom w:val="nil"/>
              <w:right w:val="nil"/>
            </w:tcBorders>
            <w:shd w:val="clear" w:color="auto" w:fill="auto"/>
            <w:vAlign w:val="center"/>
            <w:hideMark/>
          </w:tcPr>
          <w:p w14:paraId="219FC5DA"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I. ДОХОДЫ</w:t>
            </w:r>
          </w:p>
        </w:tc>
        <w:tc>
          <w:tcPr>
            <w:tcW w:w="1597" w:type="dxa"/>
            <w:tcBorders>
              <w:top w:val="nil"/>
              <w:left w:val="nil"/>
              <w:bottom w:val="nil"/>
              <w:right w:val="nil"/>
            </w:tcBorders>
            <w:shd w:val="clear" w:color="auto" w:fill="auto"/>
            <w:noWrap/>
            <w:vAlign w:val="center"/>
            <w:hideMark/>
          </w:tcPr>
          <w:p w14:paraId="0975F691"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8 957 276 138,8</w:t>
            </w:r>
          </w:p>
        </w:tc>
        <w:tc>
          <w:tcPr>
            <w:tcW w:w="1429" w:type="dxa"/>
            <w:tcBorders>
              <w:top w:val="nil"/>
              <w:left w:val="nil"/>
              <w:bottom w:val="nil"/>
              <w:right w:val="nil"/>
            </w:tcBorders>
            <w:shd w:val="clear" w:color="auto" w:fill="auto"/>
            <w:noWrap/>
            <w:vAlign w:val="center"/>
            <w:hideMark/>
          </w:tcPr>
          <w:p w14:paraId="0D80DF43"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10 625 759 204,5</w:t>
            </w:r>
          </w:p>
        </w:tc>
        <w:tc>
          <w:tcPr>
            <w:tcW w:w="1009" w:type="dxa"/>
            <w:tcBorders>
              <w:top w:val="nil"/>
              <w:left w:val="nil"/>
              <w:bottom w:val="nil"/>
              <w:right w:val="nil"/>
            </w:tcBorders>
            <w:shd w:val="clear" w:color="auto" w:fill="auto"/>
            <w:noWrap/>
            <w:vAlign w:val="center"/>
            <w:hideMark/>
          </w:tcPr>
          <w:p w14:paraId="2401C4DD"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118,6</w:t>
            </w:r>
          </w:p>
        </w:tc>
      </w:tr>
      <w:tr w:rsidR="00295058" w:rsidRPr="005C53F5" w14:paraId="4EEA8533" w14:textId="77777777" w:rsidTr="00A61372">
        <w:trPr>
          <w:trHeight w:val="210"/>
        </w:trPr>
        <w:tc>
          <w:tcPr>
            <w:tcW w:w="5604" w:type="dxa"/>
            <w:tcBorders>
              <w:top w:val="nil"/>
              <w:left w:val="nil"/>
              <w:bottom w:val="nil"/>
              <w:right w:val="nil"/>
            </w:tcBorders>
            <w:shd w:val="clear" w:color="auto" w:fill="auto"/>
            <w:vAlign w:val="center"/>
            <w:hideMark/>
          </w:tcPr>
          <w:p w14:paraId="1A589412"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НАЛОГОВЫЕ ПОСТУПЛЕНИЯ</w:t>
            </w:r>
          </w:p>
        </w:tc>
        <w:tc>
          <w:tcPr>
            <w:tcW w:w="1597" w:type="dxa"/>
            <w:tcBorders>
              <w:top w:val="nil"/>
              <w:left w:val="nil"/>
              <w:bottom w:val="nil"/>
              <w:right w:val="nil"/>
            </w:tcBorders>
            <w:shd w:val="clear" w:color="auto" w:fill="auto"/>
            <w:noWrap/>
            <w:vAlign w:val="center"/>
            <w:hideMark/>
          </w:tcPr>
          <w:p w14:paraId="533532B5"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8 452 752 998,2</w:t>
            </w:r>
          </w:p>
        </w:tc>
        <w:tc>
          <w:tcPr>
            <w:tcW w:w="1429" w:type="dxa"/>
            <w:tcBorders>
              <w:top w:val="nil"/>
              <w:left w:val="nil"/>
              <w:bottom w:val="nil"/>
              <w:right w:val="nil"/>
            </w:tcBorders>
            <w:shd w:val="clear" w:color="auto" w:fill="auto"/>
            <w:noWrap/>
            <w:vAlign w:val="center"/>
            <w:hideMark/>
          </w:tcPr>
          <w:p w14:paraId="3AE71E20"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8 811 987 240,5</w:t>
            </w:r>
          </w:p>
        </w:tc>
        <w:tc>
          <w:tcPr>
            <w:tcW w:w="1009" w:type="dxa"/>
            <w:tcBorders>
              <w:top w:val="nil"/>
              <w:left w:val="nil"/>
              <w:bottom w:val="nil"/>
              <w:right w:val="nil"/>
            </w:tcBorders>
            <w:shd w:val="clear" w:color="auto" w:fill="auto"/>
            <w:noWrap/>
            <w:vAlign w:val="center"/>
            <w:hideMark/>
          </w:tcPr>
          <w:p w14:paraId="4F7B7955"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104,2</w:t>
            </w:r>
          </w:p>
        </w:tc>
      </w:tr>
      <w:tr w:rsidR="00295058" w:rsidRPr="005C53F5" w14:paraId="3F69B17D" w14:textId="77777777" w:rsidTr="00A61372">
        <w:trPr>
          <w:trHeight w:val="225"/>
        </w:trPr>
        <w:tc>
          <w:tcPr>
            <w:tcW w:w="5604" w:type="dxa"/>
            <w:tcBorders>
              <w:top w:val="nil"/>
              <w:left w:val="nil"/>
              <w:bottom w:val="nil"/>
              <w:right w:val="nil"/>
            </w:tcBorders>
            <w:shd w:val="clear" w:color="auto" w:fill="auto"/>
            <w:vAlign w:val="center"/>
            <w:hideMark/>
          </w:tcPr>
          <w:p w14:paraId="1604CEC5"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Налоговые поступления</w:t>
            </w:r>
          </w:p>
        </w:tc>
        <w:tc>
          <w:tcPr>
            <w:tcW w:w="1597" w:type="dxa"/>
            <w:tcBorders>
              <w:top w:val="nil"/>
              <w:left w:val="nil"/>
              <w:bottom w:val="nil"/>
              <w:right w:val="nil"/>
            </w:tcBorders>
            <w:shd w:val="clear" w:color="auto" w:fill="auto"/>
            <w:noWrap/>
            <w:vAlign w:val="center"/>
            <w:hideMark/>
          </w:tcPr>
          <w:p w14:paraId="517D1BDB"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8 452 752 998,2</w:t>
            </w:r>
          </w:p>
        </w:tc>
        <w:tc>
          <w:tcPr>
            <w:tcW w:w="1429" w:type="dxa"/>
            <w:tcBorders>
              <w:top w:val="nil"/>
              <w:left w:val="nil"/>
              <w:bottom w:val="nil"/>
              <w:right w:val="nil"/>
            </w:tcBorders>
            <w:shd w:val="clear" w:color="auto" w:fill="auto"/>
            <w:noWrap/>
            <w:vAlign w:val="center"/>
            <w:hideMark/>
          </w:tcPr>
          <w:p w14:paraId="47A2748E"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8 811 987 240,5</w:t>
            </w:r>
          </w:p>
        </w:tc>
        <w:tc>
          <w:tcPr>
            <w:tcW w:w="1009" w:type="dxa"/>
            <w:tcBorders>
              <w:top w:val="nil"/>
              <w:left w:val="nil"/>
              <w:bottom w:val="nil"/>
              <w:right w:val="nil"/>
            </w:tcBorders>
            <w:shd w:val="clear" w:color="auto" w:fill="auto"/>
            <w:noWrap/>
            <w:vAlign w:val="center"/>
            <w:hideMark/>
          </w:tcPr>
          <w:p w14:paraId="3E5E36D0"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104,2</w:t>
            </w:r>
          </w:p>
        </w:tc>
      </w:tr>
      <w:tr w:rsidR="00295058" w:rsidRPr="005C53F5" w14:paraId="084301C6" w14:textId="77777777" w:rsidTr="00A61372">
        <w:trPr>
          <w:trHeight w:val="210"/>
        </w:trPr>
        <w:tc>
          <w:tcPr>
            <w:tcW w:w="5604" w:type="dxa"/>
            <w:tcBorders>
              <w:top w:val="nil"/>
              <w:left w:val="nil"/>
              <w:bottom w:val="nil"/>
              <w:right w:val="nil"/>
            </w:tcBorders>
            <w:shd w:val="clear" w:color="auto" w:fill="auto"/>
            <w:vAlign w:val="center"/>
            <w:hideMark/>
          </w:tcPr>
          <w:p w14:paraId="54CADFC7"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НЕНАЛОГОВЫЕ ПОСТУПЛЕНИЯ</w:t>
            </w:r>
          </w:p>
        </w:tc>
        <w:tc>
          <w:tcPr>
            <w:tcW w:w="1597" w:type="dxa"/>
            <w:tcBorders>
              <w:top w:val="nil"/>
              <w:left w:val="nil"/>
              <w:bottom w:val="nil"/>
              <w:right w:val="nil"/>
            </w:tcBorders>
            <w:shd w:val="clear" w:color="auto" w:fill="auto"/>
            <w:noWrap/>
            <w:vAlign w:val="center"/>
            <w:hideMark/>
          </w:tcPr>
          <w:p w14:paraId="05F7A732"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255 602 800,0</w:t>
            </w:r>
          </w:p>
        </w:tc>
        <w:tc>
          <w:tcPr>
            <w:tcW w:w="1429" w:type="dxa"/>
            <w:tcBorders>
              <w:top w:val="nil"/>
              <w:left w:val="nil"/>
              <w:bottom w:val="nil"/>
              <w:right w:val="nil"/>
            </w:tcBorders>
            <w:shd w:val="clear" w:color="auto" w:fill="auto"/>
            <w:noWrap/>
            <w:vAlign w:val="center"/>
            <w:hideMark/>
          </w:tcPr>
          <w:p w14:paraId="08D5CABC"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306 241 339,8</w:t>
            </w:r>
          </w:p>
        </w:tc>
        <w:tc>
          <w:tcPr>
            <w:tcW w:w="1009" w:type="dxa"/>
            <w:tcBorders>
              <w:top w:val="nil"/>
              <w:left w:val="nil"/>
              <w:bottom w:val="nil"/>
              <w:right w:val="nil"/>
            </w:tcBorders>
            <w:shd w:val="clear" w:color="auto" w:fill="auto"/>
            <w:noWrap/>
            <w:vAlign w:val="center"/>
            <w:hideMark/>
          </w:tcPr>
          <w:p w14:paraId="0CCF502A"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119,8</w:t>
            </w:r>
          </w:p>
        </w:tc>
      </w:tr>
      <w:tr w:rsidR="00295058" w:rsidRPr="005C53F5" w14:paraId="14F2521C" w14:textId="77777777" w:rsidTr="00A61372">
        <w:trPr>
          <w:trHeight w:val="225"/>
        </w:trPr>
        <w:tc>
          <w:tcPr>
            <w:tcW w:w="5604" w:type="dxa"/>
            <w:tcBorders>
              <w:top w:val="nil"/>
              <w:left w:val="nil"/>
              <w:bottom w:val="nil"/>
              <w:right w:val="nil"/>
            </w:tcBorders>
            <w:shd w:val="clear" w:color="auto" w:fill="auto"/>
            <w:vAlign w:val="center"/>
            <w:hideMark/>
          </w:tcPr>
          <w:p w14:paraId="0DA7CA58"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Неналоговые поступления</w:t>
            </w:r>
          </w:p>
        </w:tc>
        <w:tc>
          <w:tcPr>
            <w:tcW w:w="1597" w:type="dxa"/>
            <w:tcBorders>
              <w:top w:val="nil"/>
              <w:left w:val="nil"/>
              <w:bottom w:val="nil"/>
              <w:right w:val="nil"/>
            </w:tcBorders>
            <w:shd w:val="clear" w:color="auto" w:fill="auto"/>
            <w:noWrap/>
            <w:vAlign w:val="center"/>
            <w:hideMark/>
          </w:tcPr>
          <w:p w14:paraId="790A5B65"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255 602 800,0</w:t>
            </w:r>
          </w:p>
        </w:tc>
        <w:tc>
          <w:tcPr>
            <w:tcW w:w="1429" w:type="dxa"/>
            <w:tcBorders>
              <w:top w:val="nil"/>
              <w:left w:val="nil"/>
              <w:bottom w:val="nil"/>
              <w:right w:val="nil"/>
            </w:tcBorders>
            <w:shd w:val="clear" w:color="auto" w:fill="auto"/>
            <w:noWrap/>
            <w:vAlign w:val="center"/>
            <w:hideMark/>
          </w:tcPr>
          <w:p w14:paraId="1D613232"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306 241 339,8</w:t>
            </w:r>
          </w:p>
        </w:tc>
        <w:tc>
          <w:tcPr>
            <w:tcW w:w="1009" w:type="dxa"/>
            <w:tcBorders>
              <w:top w:val="nil"/>
              <w:left w:val="nil"/>
              <w:bottom w:val="nil"/>
              <w:right w:val="nil"/>
            </w:tcBorders>
            <w:shd w:val="clear" w:color="auto" w:fill="auto"/>
            <w:noWrap/>
            <w:vAlign w:val="center"/>
            <w:hideMark/>
          </w:tcPr>
          <w:p w14:paraId="34CF6F6C"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119,8</w:t>
            </w:r>
          </w:p>
        </w:tc>
      </w:tr>
      <w:tr w:rsidR="00295058" w:rsidRPr="005C53F5" w14:paraId="082543EA" w14:textId="77777777" w:rsidTr="00A61372">
        <w:trPr>
          <w:trHeight w:val="210"/>
        </w:trPr>
        <w:tc>
          <w:tcPr>
            <w:tcW w:w="5604" w:type="dxa"/>
            <w:tcBorders>
              <w:top w:val="nil"/>
              <w:left w:val="nil"/>
              <w:bottom w:val="nil"/>
              <w:right w:val="nil"/>
            </w:tcBorders>
            <w:shd w:val="clear" w:color="auto" w:fill="auto"/>
            <w:vAlign w:val="center"/>
            <w:hideMark/>
          </w:tcPr>
          <w:p w14:paraId="2F44C7C7"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ПОСТУПЛЕНИЯ ОТ ПРОДАЖИ ОСНОВНОГО КАПИТАЛА</w:t>
            </w:r>
          </w:p>
        </w:tc>
        <w:tc>
          <w:tcPr>
            <w:tcW w:w="1597" w:type="dxa"/>
            <w:tcBorders>
              <w:top w:val="nil"/>
              <w:left w:val="nil"/>
              <w:bottom w:val="nil"/>
              <w:right w:val="nil"/>
            </w:tcBorders>
            <w:shd w:val="clear" w:color="auto" w:fill="auto"/>
            <w:noWrap/>
            <w:vAlign w:val="center"/>
            <w:hideMark/>
          </w:tcPr>
          <w:p w14:paraId="7CB0DB55"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52 900 340,6</w:t>
            </w:r>
          </w:p>
        </w:tc>
        <w:tc>
          <w:tcPr>
            <w:tcW w:w="1429" w:type="dxa"/>
            <w:tcBorders>
              <w:top w:val="nil"/>
              <w:left w:val="nil"/>
              <w:bottom w:val="nil"/>
              <w:right w:val="nil"/>
            </w:tcBorders>
            <w:shd w:val="clear" w:color="auto" w:fill="auto"/>
            <w:noWrap/>
            <w:vAlign w:val="center"/>
            <w:hideMark/>
          </w:tcPr>
          <w:p w14:paraId="27DB3501"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69 094 652,2</w:t>
            </w:r>
          </w:p>
        </w:tc>
        <w:tc>
          <w:tcPr>
            <w:tcW w:w="1009" w:type="dxa"/>
            <w:tcBorders>
              <w:top w:val="nil"/>
              <w:left w:val="nil"/>
              <w:bottom w:val="nil"/>
              <w:right w:val="nil"/>
            </w:tcBorders>
            <w:shd w:val="clear" w:color="auto" w:fill="auto"/>
            <w:noWrap/>
            <w:vAlign w:val="center"/>
            <w:hideMark/>
          </w:tcPr>
          <w:p w14:paraId="1F8D3B36"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130,6</w:t>
            </w:r>
          </w:p>
        </w:tc>
      </w:tr>
      <w:tr w:rsidR="00295058" w:rsidRPr="005C53F5" w14:paraId="5F2379D6" w14:textId="77777777" w:rsidTr="00A61372">
        <w:trPr>
          <w:trHeight w:val="225"/>
        </w:trPr>
        <w:tc>
          <w:tcPr>
            <w:tcW w:w="5604" w:type="dxa"/>
            <w:tcBorders>
              <w:top w:val="nil"/>
              <w:left w:val="nil"/>
              <w:bottom w:val="nil"/>
              <w:right w:val="nil"/>
            </w:tcBorders>
            <w:shd w:val="clear" w:color="auto" w:fill="auto"/>
            <w:vAlign w:val="center"/>
            <w:hideMark/>
          </w:tcPr>
          <w:p w14:paraId="18AB0B74"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от продажи основного капитала</w:t>
            </w:r>
          </w:p>
        </w:tc>
        <w:tc>
          <w:tcPr>
            <w:tcW w:w="1597" w:type="dxa"/>
            <w:tcBorders>
              <w:top w:val="nil"/>
              <w:left w:val="nil"/>
              <w:bottom w:val="nil"/>
              <w:right w:val="nil"/>
            </w:tcBorders>
            <w:shd w:val="clear" w:color="auto" w:fill="auto"/>
            <w:noWrap/>
            <w:vAlign w:val="center"/>
            <w:hideMark/>
          </w:tcPr>
          <w:p w14:paraId="74E31164"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52 900 340,6</w:t>
            </w:r>
          </w:p>
        </w:tc>
        <w:tc>
          <w:tcPr>
            <w:tcW w:w="1429" w:type="dxa"/>
            <w:tcBorders>
              <w:top w:val="nil"/>
              <w:left w:val="nil"/>
              <w:bottom w:val="nil"/>
              <w:right w:val="nil"/>
            </w:tcBorders>
            <w:shd w:val="clear" w:color="auto" w:fill="auto"/>
            <w:noWrap/>
            <w:vAlign w:val="center"/>
            <w:hideMark/>
          </w:tcPr>
          <w:p w14:paraId="461F28A2"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69 094 652,2</w:t>
            </w:r>
          </w:p>
        </w:tc>
        <w:tc>
          <w:tcPr>
            <w:tcW w:w="1009" w:type="dxa"/>
            <w:tcBorders>
              <w:top w:val="nil"/>
              <w:left w:val="nil"/>
              <w:bottom w:val="nil"/>
              <w:right w:val="nil"/>
            </w:tcBorders>
            <w:shd w:val="clear" w:color="auto" w:fill="auto"/>
            <w:noWrap/>
            <w:vAlign w:val="center"/>
            <w:hideMark/>
          </w:tcPr>
          <w:p w14:paraId="346699B5"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130,6</w:t>
            </w:r>
          </w:p>
        </w:tc>
      </w:tr>
      <w:tr w:rsidR="00295058" w:rsidRPr="005C53F5" w14:paraId="3AA832A4" w14:textId="77777777" w:rsidTr="00A61372">
        <w:trPr>
          <w:trHeight w:val="210"/>
        </w:trPr>
        <w:tc>
          <w:tcPr>
            <w:tcW w:w="5604" w:type="dxa"/>
            <w:tcBorders>
              <w:top w:val="nil"/>
              <w:left w:val="nil"/>
              <w:bottom w:val="nil"/>
              <w:right w:val="nil"/>
            </w:tcBorders>
            <w:shd w:val="clear" w:color="auto" w:fill="auto"/>
            <w:vAlign w:val="center"/>
            <w:hideMark/>
          </w:tcPr>
          <w:p w14:paraId="6F05F2B6"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ПОСТУПЛЕНИЯ ТРАНСФЕРТОВ</w:t>
            </w:r>
          </w:p>
        </w:tc>
        <w:tc>
          <w:tcPr>
            <w:tcW w:w="1597" w:type="dxa"/>
            <w:tcBorders>
              <w:top w:val="nil"/>
              <w:left w:val="nil"/>
              <w:bottom w:val="nil"/>
              <w:right w:val="nil"/>
            </w:tcBorders>
            <w:shd w:val="clear" w:color="auto" w:fill="auto"/>
            <w:noWrap/>
            <w:vAlign w:val="center"/>
            <w:hideMark/>
          </w:tcPr>
          <w:p w14:paraId="523D2681"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0,0</w:t>
            </w:r>
          </w:p>
        </w:tc>
        <w:tc>
          <w:tcPr>
            <w:tcW w:w="1429" w:type="dxa"/>
            <w:tcBorders>
              <w:top w:val="nil"/>
              <w:left w:val="nil"/>
              <w:bottom w:val="nil"/>
              <w:right w:val="nil"/>
            </w:tcBorders>
            <w:shd w:val="clear" w:color="auto" w:fill="auto"/>
            <w:noWrap/>
            <w:vAlign w:val="center"/>
            <w:hideMark/>
          </w:tcPr>
          <w:p w14:paraId="0EFAFC68"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9 435 805,0</w:t>
            </w:r>
          </w:p>
        </w:tc>
        <w:tc>
          <w:tcPr>
            <w:tcW w:w="1009" w:type="dxa"/>
            <w:tcBorders>
              <w:top w:val="nil"/>
              <w:left w:val="nil"/>
              <w:bottom w:val="nil"/>
              <w:right w:val="nil"/>
            </w:tcBorders>
            <w:shd w:val="clear" w:color="auto" w:fill="auto"/>
            <w:noWrap/>
            <w:vAlign w:val="center"/>
            <w:hideMark/>
          </w:tcPr>
          <w:p w14:paraId="4DB1D794"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0,0</w:t>
            </w:r>
          </w:p>
        </w:tc>
      </w:tr>
      <w:tr w:rsidR="00295058" w:rsidRPr="005C53F5" w14:paraId="0A43C07C" w14:textId="77777777" w:rsidTr="00A61372">
        <w:trPr>
          <w:trHeight w:val="225"/>
        </w:trPr>
        <w:tc>
          <w:tcPr>
            <w:tcW w:w="5604" w:type="dxa"/>
            <w:tcBorders>
              <w:top w:val="nil"/>
              <w:left w:val="nil"/>
              <w:bottom w:val="nil"/>
              <w:right w:val="nil"/>
            </w:tcBorders>
            <w:shd w:val="clear" w:color="auto" w:fill="auto"/>
            <w:vAlign w:val="center"/>
            <w:hideMark/>
          </w:tcPr>
          <w:p w14:paraId="61AB8A4E"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трансфертов</w:t>
            </w:r>
          </w:p>
        </w:tc>
        <w:tc>
          <w:tcPr>
            <w:tcW w:w="1597" w:type="dxa"/>
            <w:tcBorders>
              <w:top w:val="nil"/>
              <w:left w:val="nil"/>
              <w:bottom w:val="nil"/>
              <w:right w:val="nil"/>
            </w:tcBorders>
            <w:shd w:val="clear" w:color="auto" w:fill="auto"/>
            <w:noWrap/>
            <w:vAlign w:val="center"/>
            <w:hideMark/>
          </w:tcPr>
          <w:p w14:paraId="0CE5AC2E"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0,0</w:t>
            </w:r>
          </w:p>
        </w:tc>
        <w:tc>
          <w:tcPr>
            <w:tcW w:w="1429" w:type="dxa"/>
            <w:tcBorders>
              <w:top w:val="nil"/>
              <w:left w:val="nil"/>
              <w:bottom w:val="nil"/>
              <w:right w:val="nil"/>
            </w:tcBorders>
            <w:shd w:val="clear" w:color="auto" w:fill="auto"/>
            <w:noWrap/>
            <w:vAlign w:val="center"/>
            <w:hideMark/>
          </w:tcPr>
          <w:p w14:paraId="620B0C05"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9 435 805,0</w:t>
            </w:r>
          </w:p>
        </w:tc>
        <w:tc>
          <w:tcPr>
            <w:tcW w:w="1009" w:type="dxa"/>
            <w:tcBorders>
              <w:top w:val="nil"/>
              <w:left w:val="nil"/>
              <w:bottom w:val="nil"/>
              <w:right w:val="nil"/>
            </w:tcBorders>
            <w:shd w:val="clear" w:color="auto" w:fill="auto"/>
            <w:noWrap/>
            <w:vAlign w:val="center"/>
            <w:hideMark/>
          </w:tcPr>
          <w:p w14:paraId="5CD8F534" w14:textId="77777777" w:rsidR="00295058" w:rsidRPr="005C53F5" w:rsidRDefault="00295058" w:rsidP="00057BE5">
            <w:pPr>
              <w:spacing w:after="0" w:line="240" w:lineRule="auto"/>
              <w:jc w:val="right"/>
              <w:rPr>
                <w:rFonts w:ascii="Times New Roman" w:eastAsia="Times New Roman" w:hAnsi="Times New Roman" w:cs="Times New Roman"/>
                <w:b/>
                <w:bCs/>
                <w:i/>
                <w:iCs/>
                <w:sz w:val="16"/>
                <w:szCs w:val="16"/>
                <w:lang w:eastAsia="ru-RU"/>
              </w:rPr>
            </w:pPr>
            <w:r w:rsidRPr="005C53F5">
              <w:rPr>
                <w:rFonts w:ascii="Times New Roman" w:eastAsia="Times New Roman" w:hAnsi="Times New Roman" w:cs="Times New Roman"/>
                <w:b/>
                <w:bCs/>
                <w:i/>
                <w:iCs/>
                <w:sz w:val="16"/>
                <w:szCs w:val="16"/>
                <w:lang w:eastAsia="ru-RU"/>
              </w:rPr>
              <w:t>0,0</w:t>
            </w:r>
          </w:p>
        </w:tc>
      </w:tr>
      <w:tr w:rsidR="00295058" w:rsidRPr="005C53F5" w14:paraId="2269E499" w14:textId="77777777" w:rsidTr="00A61372">
        <w:trPr>
          <w:trHeight w:val="225"/>
        </w:trPr>
        <w:tc>
          <w:tcPr>
            <w:tcW w:w="5604" w:type="dxa"/>
            <w:tcBorders>
              <w:top w:val="nil"/>
              <w:left w:val="nil"/>
              <w:bottom w:val="nil"/>
              <w:right w:val="nil"/>
            </w:tcBorders>
            <w:shd w:val="clear" w:color="000000" w:fill="FFFFFF"/>
            <w:vAlign w:val="center"/>
            <w:hideMark/>
          </w:tcPr>
          <w:p w14:paraId="643BFA6F"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 xml:space="preserve">Инвестиционные доходы от управления Национальным фондом </w:t>
            </w:r>
          </w:p>
        </w:tc>
        <w:tc>
          <w:tcPr>
            <w:tcW w:w="1597" w:type="dxa"/>
            <w:tcBorders>
              <w:top w:val="nil"/>
              <w:left w:val="nil"/>
              <w:bottom w:val="nil"/>
              <w:right w:val="nil"/>
            </w:tcBorders>
            <w:shd w:val="clear" w:color="auto" w:fill="auto"/>
            <w:noWrap/>
            <w:vAlign w:val="center"/>
            <w:hideMark/>
          </w:tcPr>
          <w:p w14:paraId="6C0366AA"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196 020 000,0</w:t>
            </w:r>
          </w:p>
        </w:tc>
        <w:tc>
          <w:tcPr>
            <w:tcW w:w="1429" w:type="dxa"/>
            <w:tcBorders>
              <w:top w:val="nil"/>
              <w:left w:val="nil"/>
              <w:bottom w:val="nil"/>
              <w:right w:val="nil"/>
            </w:tcBorders>
            <w:shd w:val="clear" w:color="auto" w:fill="auto"/>
            <w:noWrap/>
            <w:vAlign w:val="center"/>
            <w:hideMark/>
          </w:tcPr>
          <w:p w14:paraId="598668A4"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1 429 000 167,0</w:t>
            </w:r>
          </w:p>
        </w:tc>
        <w:tc>
          <w:tcPr>
            <w:tcW w:w="1009" w:type="dxa"/>
            <w:tcBorders>
              <w:top w:val="nil"/>
              <w:left w:val="nil"/>
              <w:bottom w:val="nil"/>
              <w:right w:val="nil"/>
            </w:tcBorders>
            <w:shd w:val="clear" w:color="auto" w:fill="auto"/>
            <w:noWrap/>
            <w:vAlign w:val="center"/>
            <w:hideMark/>
          </w:tcPr>
          <w:p w14:paraId="1469302D"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729,0</w:t>
            </w:r>
          </w:p>
        </w:tc>
      </w:tr>
      <w:tr w:rsidR="00295058" w:rsidRPr="005C53F5" w14:paraId="026AA4E3" w14:textId="77777777" w:rsidTr="00A61372">
        <w:trPr>
          <w:trHeight w:val="210"/>
        </w:trPr>
        <w:tc>
          <w:tcPr>
            <w:tcW w:w="5604" w:type="dxa"/>
            <w:tcBorders>
              <w:top w:val="nil"/>
              <w:left w:val="nil"/>
              <w:bottom w:val="nil"/>
              <w:right w:val="nil"/>
            </w:tcBorders>
            <w:shd w:val="clear" w:color="auto" w:fill="auto"/>
            <w:vAlign w:val="center"/>
            <w:hideMark/>
          </w:tcPr>
          <w:p w14:paraId="5373888A"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II. ЗАТРАТЫ</w:t>
            </w:r>
          </w:p>
        </w:tc>
        <w:tc>
          <w:tcPr>
            <w:tcW w:w="1597" w:type="dxa"/>
            <w:tcBorders>
              <w:top w:val="nil"/>
              <w:left w:val="nil"/>
              <w:bottom w:val="nil"/>
              <w:right w:val="nil"/>
            </w:tcBorders>
            <w:shd w:val="clear" w:color="auto" w:fill="auto"/>
            <w:noWrap/>
            <w:vAlign w:val="center"/>
            <w:hideMark/>
          </w:tcPr>
          <w:p w14:paraId="1249F080"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12 545 415 548,0</w:t>
            </w:r>
          </w:p>
        </w:tc>
        <w:tc>
          <w:tcPr>
            <w:tcW w:w="1429" w:type="dxa"/>
            <w:tcBorders>
              <w:top w:val="nil"/>
              <w:left w:val="nil"/>
              <w:bottom w:val="nil"/>
              <w:right w:val="nil"/>
            </w:tcBorders>
            <w:shd w:val="clear" w:color="auto" w:fill="auto"/>
            <w:noWrap/>
            <w:vAlign w:val="center"/>
            <w:hideMark/>
          </w:tcPr>
          <w:p w14:paraId="399C1439"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12 491 972 186,0</w:t>
            </w:r>
          </w:p>
        </w:tc>
        <w:tc>
          <w:tcPr>
            <w:tcW w:w="1009" w:type="dxa"/>
            <w:tcBorders>
              <w:top w:val="nil"/>
              <w:left w:val="nil"/>
              <w:bottom w:val="nil"/>
              <w:right w:val="nil"/>
            </w:tcBorders>
            <w:shd w:val="clear" w:color="auto" w:fill="auto"/>
            <w:noWrap/>
            <w:vAlign w:val="center"/>
            <w:hideMark/>
          </w:tcPr>
          <w:p w14:paraId="33C0B19D"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99,6</w:t>
            </w:r>
          </w:p>
        </w:tc>
      </w:tr>
      <w:tr w:rsidR="00295058" w:rsidRPr="005C53F5" w14:paraId="4E910D31" w14:textId="77777777" w:rsidTr="00A61372">
        <w:trPr>
          <w:trHeight w:val="225"/>
        </w:trPr>
        <w:tc>
          <w:tcPr>
            <w:tcW w:w="5604" w:type="dxa"/>
            <w:tcBorders>
              <w:top w:val="nil"/>
              <w:left w:val="nil"/>
              <w:bottom w:val="nil"/>
              <w:right w:val="nil"/>
            </w:tcBorders>
            <w:shd w:val="clear" w:color="auto" w:fill="auto"/>
            <w:vAlign w:val="center"/>
            <w:hideMark/>
          </w:tcPr>
          <w:p w14:paraId="50444B91"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Государственные услуги общего характера</w:t>
            </w:r>
          </w:p>
        </w:tc>
        <w:tc>
          <w:tcPr>
            <w:tcW w:w="1597" w:type="dxa"/>
            <w:tcBorders>
              <w:top w:val="nil"/>
              <w:left w:val="nil"/>
              <w:bottom w:val="nil"/>
              <w:right w:val="nil"/>
            </w:tcBorders>
            <w:shd w:val="clear" w:color="auto" w:fill="auto"/>
            <w:noWrap/>
            <w:vAlign w:val="center"/>
            <w:hideMark/>
          </w:tcPr>
          <w:p w14:paraId="6713CEDF"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655 248 582,2</w:t>
            </w:r>
          </w:p>
        </w:tc>
        <w:tc>
          <w:tcPr>
            <w:tcW w:w="1429" w:type="dxa"/>
            <w:tcBorders>
              <w:top w:val="nil"/>
              <w:left w:val="nil"/>
              <w:bottom w:val="nil"/>
              <w:right w:val="nil"/>
            </w:tcBorders>
            <w:shd w:val="clear" w:color="auto" w:fill="auto"/>
            <w:noWrap/>
            <w:vAlign w:val="center"/>
            <w:hideMark/>
          </w:tcPr>
          <w:p w14:paraId="7DF41FA5"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652 254 154,2</w:t>
            </w:r>
          </w:p>
        </w:tc>
        <w:tc>
          <w:tcPr>
            <w:tcW w:w="1009" w:type="dxa"/>
            <w:tcBorders>
              <w:top w:val="nil"/>
              <w:left w:val="nil"/>
              <w:bottom w:val="nil"/>
              <w:right w:val="nil"/>
            </w:tcBorders>
            <w:shd w:val="clear" w:color="auto" w:fill="auto"/>
            <w:noWrap/>
            <w:vAlign w:val="center"/>
            <w:hideMark/>
          </w:tcPr>
          <w:p w14:paraId="196EE698"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99,5</w:t>
            </w:r>
          </w:p>
        </w:tc>
      </w:tr>
      <w:tr w:rsidR="00295058" w:rsidRPr="005C53F5" w14:paraId="2EF76842" w14:textId="77777777" w:rsidTr="00A61372">
        <w:trPr>
          <w:trHeight w:val="225"/>
        </w:trPr>
        <w:tc>
          <w:tcPr>
            <w:tcW w:w="5604" w:type="dxa"/>
            <w:tcBorders>
              <w:top w:val="nil"/>
              <w:left w:val="nil"/>
              <w:bottom w:val="nil"/>
              <w:right w:val="nil"/>
            </w:tcBorders>
            <w:shd w:val="clear" w:color="auto" w:fill="auto"/>
            <w:vAlign w:val="center"/>
            <w:hideMark/>
          </w:tcPr>
          <w:p w14:paraId="2DB3DE94"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Оборона</w:t>
            </w:r>
          </w:p>
        </w:tc>
        <w:tc>
          <w:tcPr>
            <w:tcW w:w="1597" w:type="dxa"/>
            <w:tcBorders>
              <w:top w:val="nil"/>
              <w:left w:val="nil"/>
              <w:bottom w:val="nil"/>
              <w:right w:val="nil"/>
            </w:tcBorders>
            <w:shd w:val="clear" w:color="auto" w:fill="auto"/>
            <w:noWrap/>
            <w:vAlign w:val="center"/>
            <w:hideMark/>
          </w:tcPr>
          <w:p w14:paraId="686E9C12"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452 750 684,9</w:t>
            </w:r>
          </w:p>
        </w:tc>
        <w:tc>
          <w:tcPr>
            <w:tcW w:w="1429" w:type="dxa"/>
            <w:tcBorders>
              <w:top w:val="nil"/>
              <w:left w:val="nil"/>
              <w:bottom w:val="nil"/>
              <w:right w:val="nil"/>
            </w:tcBorders>
            <w:shd w:val="clear" w:color="auto" w:fill="auto"/>
            <w:noWrap/>
            <w:vAlign w:val="center"/>
            <w:hideMark/>
          </w:tcPr>
          <w:p w14:paraId="7666433D"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452 375 213,8</w:t>
            </w:r>
          </w:p>
        </w:tc>
        <w:tc>
          <w:tcPr>
            <w:tcW w:w="1009" w:type="dxa"/>
            <w:tcBorders>
              <w:top w:val="nil"/>
              <w:left w:val="nil"/>
              <w:bottom w:val="nil"/>
              <w:right w:val="nil"/>
            </w:tcBorders>
            <w:shd w:val="clear" w:color="auto" w:fill="auto"/>
            <w:noWrap/>
            <w:vAlign w:val="center"/>
            <w:hideMark/>
          </w:tcPr>
          <w:p w14:paraId="4C2E8028"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99,9</w:t>
            </w:r>
          </w:p>
        </w:tc>
      </w:tr>
      <w:tr w:rsidR="00295058" w:rsidRPr="005C53F5" w14:paraId="217FF11F" w14:textId="77777777" w:rsidTr="00A61372">
        <w:trPr>
          <w:trHeight w:val="450"/>
        </w:trPr>
        <w:tc>
          <w:tcPr>
            <w:tcW w:w="5604" w:type="dxa"/>
            <w:tcBorders>
              <w:top w:val="nil"/>
              <w:left w:val="nil"/>
              <w:bottom w:val="nil"/>
              <w:right w:val="nil"/>
            </w:tcBorders>
            <w:shd w:val="clear" w:color="auto" w:fill="auto"/>
            <w:vAlign w:val="center"/>
            <w:hideMark/>
          </w:tcPr>
          <w:p w14:paraId="64676AC4"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Общественный порядок, безопасность, правовая, судебная, уголовно-исполнительная деятельность</w:t>
            </w:r>
          </w:p>
        </w:tc>
        <w:tc>
          <w:tcPr>
            <w:tcW w:w="1597" w:type="dxa"/>
            <w:tcBorders>
              <w:top w:val="nil"/>
              <w:left w:val="nil"/>
              <w:bottom w:val="nil"/>
              <w:right w:val="nil"/>
            </w:tcBorders>
            <w:shd w:val="clear" w:color="auto" w:fill="auto"/>
            <w:noWrap/>
            <w:vAlign w:val="center"/>
            <w:hideMark/>
          </w:tcPr>
          <w:p w14:paraId="6E77C348"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712 237 123,4</w:t>
            </w:r>
          </w:p>
        </w:tc>
        <w:tc>
          <w:tcPr>
            <w:tcW w:w="1429" w:type="dxa"/>
            <w:tcBorders>
              <w:top w:val="nil"/>
              <w:left w:val="nil"/>
              <w:bottom w:val="nil"/>
              <w:right w:val="nil"/>
            </w:tcBorders>
            <w:shd w:val="clear" w:color="auto" w:fill="auto"/>
            <w:noWrap/>
            <w:vAlign w:val="center"/>
            <w:hideMark/>
          </w:tcPr>
          <w:p w14:paraId="038B9872"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709 711 584,4</w:t>
            </w:r>
          </w:p>
        </w:tc>
        <w:tc>
          <w:tcPr>
            <w:tcW w:w="1009" w:type="dxa"/>
            <w:tcBorders>
              <w:top w:val="nil"/>
              <w:left w:val="nil"/>
              <w:bottom w:val="nil"/>
              <w:right w:val="nil"/>
            </w:tcBorders>
            <w:shd w:val="clear" w:color="auto" w:fill="auto"/>
            <w:noWrap/>
            <w:vAlign w:val="center"/>
            <w:hideMark/>
          </w:tcPr>
          <w:p w14:paraId="1D64077C"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99,6</w:t>
            </w:r>
          </w:p>
        </w:tc>
      </w:tr>
      <w:tr w:rsidR="00295058" w:rsidRPr="005C53F5" w14:paraId="40E66C1B" w14:textId="77777777" w:rsidTr="00A61372">
        <w:trPr>
          <w:trHeight w:val="225"/>
        </w:trPr>
        <w:tc>
          <w:tcPr>
            <w:tcW w:w="5604" w:type="dxa"/>
            <w:tcBorders>
              <w:top w:val="nil"/>
              <w:left w:val="nil"/>
              <w:bottom w:val="nil"/>
              <w:right w:val="nil"/>
            </w:tcBorders>
            <w:shd w:val="clear" w:color="auto" w:fill="auto"/>
            <w:vAlign w:val="center"/>
            <w:hideMark/>
          </w:tcPr>
          <w:p w14:paraId="4451FA45"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Образование</w:t>
            </w:r>
          </w:p>
        </w:tc>
        <w:tc>
          <w:tcPr>
            <w:tcW w:w="1597" w:type="dxa"/>
            <w:tcBorders>
              <w:top w:val="nil"/>
              <w:left w:val="nil"/>
              <w:bottom w:val="nil"/>
              <w:right w:val="nil"/>
            </w:tcBorders>
            <w:shd w:val="clear" w:color="auto" w:fill="auto"/>
            <w:noWrap/>
            <w:vAlign w:val="center"/>
            <w:hideMark/>
          </w:tcPr>
          <w:p w14:paraId="17FAF1E6"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1 849 637 161,7</w:t>
            </w:r>
          </w:p>
        </w:tc>
        <w:tc>
          <w:tcPr>
            <w:tcW w:w="1429" w:type="dxa"/>
            <w:tcBorders>
              <w:top w:val="nil"/>
              <w:left w:val="nil"/>
              <w:bottom w:val="nil"/>
              <w:right w:val="nil"/>
            </w:tcBorders>
            <w:shd w:val="clear" w:color="auto" w:fill="auto"/>
            <w:noWrap/>
            <w:vAlign w:val="center"/>
            <w:hideMark/>
          </w:tcPr>
          <w:p w14:paraId="111ECD50"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1 843 242 536,7</w:t>
            </w:r>
          </w:p>
        </w:tc>
        <w:tc>
          <w:tcPr>
            <w:tcW w:w="1009" w:type="dxa"/>
            <w:tcBorders>
              <w:top w:val="nil"/>
              <w:left w:val="nil"/>
              <w:bottom w:val="nil"/>
              <w:right w:val="nil"/>
            </w:tcBorders>
            <w:shd w:val="clear" w:color="auto" w:fill="auto"/>
            <w:noWrap/>
            <w:vAlign w:val="center"/>
            <w:hideMark/>
          </w:tcPr>
          <w:p w14:paraId="65B737D9"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99,7</w:t>
            </w:r>
          </w:p>
        </w:tc>
      </w:tr>
      <w:tr w:rsidR="00295058" w:rsidRPr="005C53F5" w14:paraId="4DA39439" w14:textId="77777777" w:rsidTr="00A61372">
        <w:trPr>
          <w:trHeight w:val="225"/>
        </w:trPr>
        <w:tc>
          <w:tcPr>
            <w:tcW w:w="5604" w:type="dxa"/>
            <w:tcBorders>
              <w:top w:val="nil"/>
              <w:left w:val="nil"/>
              <w:bottom w:val="nil"/>
              <w:right w:val="nil"/>
            </w:tcBorders>
            <w:shd w:val="clear" w:color="auto" w:fill="auto"/>
            <w:vAlign w:val="center"/>
            <w:hideMark/>
          </w:tcPr>
          <w:p w14:paraId="62CE0D57"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Здравоохранение</w:t>
            </w:r>
          </w:p>
        </w:tc>
        <w:tc>
          <w:tcPr>
            <w:tcW w:w="1597" w:type="dxa"/>
            <w:tcBorders>
              <w:top w:val="nil"/>
              <w:left w:val="nil"/>
              <w:bottom w:val="nil"/>
              <w:right w:val="nil"/>
            </w:tcBorders>
            <w:shd w:val="clear" w:color="auto" w:fill="auto"/>
            <w:noWrap/>
            <w:vAlign w:val="center"/>
            <w:hideMark/>
          </w:tcPr>
          <w:p w14:paraId="15E2B207"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1 134 406 853,5</w:t>
            </w:r>
          </w:p>
        </w:tc>
        <w:tc>
          <w:tcPr>
            <w:tcW w:w="1429" w:type="dxa"/>
            <w:tcBorders>
              <w:top w:val="nil"/>
              <w:left w:val="nil"/>
              <w:bottom w:val="nil"/>
              <w:right w:val="nil"/>
            </w:tcBorders>
            <w:shd w:val="clear" w:color="auto" w:fill="auto"/>
            <w:noWrap/>
            <w:vAlign w:val="center"/>
            <w:hideMark/>
          </w:tcPr>
          <w:p w14:paraId="34D46DD7"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1 128 316 065,2</w:t>
            </w:r>
          </w:p>
        </w:tc>
        <w:tc>
          <w:tcPr>
            <w:tcW w:w="1009" w:type="dxa"/>
            <w:tcBorders>
              <w:top w:val="nil"/>
              <w:left w:val="nil"/>
              <w:bottom w:val="nil"/>
              <w:right w:val="nil"/>
            </w:tcBorders>
            <w:shd w:val="clear" w:color="auto" w:fill="auto"/>
            <w:noWrap/>
            <w:vAlign w:val="center"/>
            <w:hideMark/>
          </w:tcPr>
          <w:p w14:paraId="5486ACE4"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99,5</w:t>
            </w:r>
          </w:p>
        </w:tc>
      </w:tr>
      <w:tr w:rsidR="00295058" w:rsidRPr="005C53F5" w14:paraId="7FB3DDE4" w14:textId="77777777" w:rsidTr="00A61372">
        <w:trPr>
          <w:trHeight w:val="225"/>
        </w:trPr>
        <w:tc>
          <w:tcPr>
            <w:tcW w:w="5604" w:type="dxa"/>
            <w:tcBorders>
              <w:top w:val="nil"/>
              <w:left w:val="nil"/>
              <w:bottom w:val="nil"/>
              <w:right w:val="nil"/>
            </w:tcBorders>
            <w:shd w:val="clear" w:color="auto" w:fill="auto"/>
            <w:vAlign w:val="center"/>
            <w:hideMark/>
          </w:tcPr>
          <w:p w14:paraId="177A300B"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Социальная помощь и социальное обеспечение</w:t>
            </w:r>
          </w:p>
        </w:tc>
        <w:tc>
          <w:tcPr>
            <w:tcW w:w="1597" w:type="dxa"/>
            <w:tcBorders>
              <w:top w:val="nil"/>
              <w:left w:val="nil"/>
              <w:bottom w:val="nil"/>
              <w:right w:val="nil"/>
            </w:tcBorders>
            <w:shd w:val="clear" w:color="auto" w:fill="auto"/>
            <w:noWrap/>
            <w:vAlign w:val="center"/>
            <w:hideMark/>
          </w:tcPr>
          <w:p w14:paraId="4591C799"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2 303 568 735,5</w:t>
            </w:r>
          </w:p>
        </w:tc>
        <w:tc>
          <w:tcPr>
            <w:tcW w:w="1429" w:type="dxa"/>
            <w:tcBorders>
              <w:top w:val="nil"/>
              <w:left w:val="nil"/>
              <w:bottom w:val="nil"/>
              <w:right w:val="nil"/>
            </w:tcBorders>
            <w:shd w:val="clear" w:color="auto" w:fill="auto"/>
            <w:noWrap/>
            <w:vAlign w:val="center"/>
            <w:hideMark/>
          </w:tcPr>
          <w:p w14:paraId="04A31BDE"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2 302 330 453,9</w:t>
            </w:r>
          </w:p>
        </w:tc>
        <w:tc>
          <w:tcPr>
            <w:tcW w:w="1009" w:type="dxa"/>
            <w:tcBorders>
              <w:top w:val="nil"/>
              <w:left w:val="nil"/>
              <w:bottom w:val="nil"/>
              <w:right w:val="nil"/>
            </w:tcBorders>
            <w:shd w:val="clear" w:color="auto" w:fill="auto"/>
            <w:noWrap/>
            <w:vAlign w:val="center"/>
            <w:hideMark/>
          </w:tcPr>
          <w:p w14:paraId="0070BA9E"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99,9</w:t>
            </w:r>
          </w:p>
        </w:tc>
      </w:tr>
      <w:tr w:rsidR="00295058" w:rsidRPr="005C53F5" w14:paraId="7DA51F9D" w14:textId="77777777" w:rsidTr="00A61372">
        <w:trPr>
          <w:trHeight w:val="225"/>
        </w:trPr>
        <w:tc>
          <w:tcPr>
            <w:tcW w:w="5604" w:type="dxa"/>
            <w:tcBorders>
              <w:top w:val="nil"/>
              <w:left w:val="nil"/>
              <w:bottom w:val="nil"/>
              <w:right w:val="nil"/>
            </w:tcBorders>
            <w:shd w:val="clear" w:color="auto" w:fill="auto"/>
            <w:vAlign w:val="center"/>
            <w:hideMark/>
          </w:tcPr>
          <w:p w14:paraId="32547143"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Жилищно-коммунальное хозяйство</w:t>
            </w:r>
          </w:p>
        </w:tc>
        <w:tc>
          <w:tcPr>
            <w:tcW w:w="1597" w:type="dxa"/>
            <w:tcBorders>
              <w:top w:val="nil"/>
              <w:left w:val="nil"/>
              <w:bottom w:val="nil"/>
              <w:right w:val="nil"/>
            </w:tcBorders>
            <w:shd w:val="clear" w:color="auto" w:fill="auto"/>
            <w:noWrap/>
            <w:vAlign w:val="center"/>
            <w:hideMark/>
          </w:tcPr>
          <w:p w14:paraId="6C89D8E6"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695 110 769,2</w:t>
            </w:r>
          </w:p>
        </w:tc>
        <w:tc>
          <w:tcPr>
            <w:tcW w:w="1429" w:type="dxa"/>
            <w:tcBorders>
              <w:top w:val="nil"/>
              <w:left w:val="nil"/>
              <w:bottom w:val="nil"/>
              <w:right w:val="nil"/>
            </w:tcBorders>
            <w:shd w:val="clear" w:color="auto" w:fill="auto"/>
            <w:noWrap/>
            <w:vAlign w:val="center"/>
            <w:hideMark/>
          </w:tcPr>
          <w:p w14:paraId="7F52ED48"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688 373 532,6</w:t>
            </w:r>
          </w:p>
        </w:tc>
        <w:tc>
          <w:tcPr>
            <w:tcW w:w="1009" w:type="dxa"/>
            <w:tcBorders>
              <w:top w:val="nil"/>
              <w:left w:val="nil"/>
              <w:bottom w:val="nil"/>
              <w:right w:val="nil"/>
            </w:tcBorders>
            <w:shd w:val="clear" w:color="auto" w:fill="auto"/>
            <w:noWrap/>
            <w:vAlign w:val="center"/>
            <w:hideMark/>
          </w:tcPr>
          <w:p w14:paraId="2B65DB91"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99,0</w:t>
            </w:r>
          </w:p>
        </w:tc>
      </w:tr>
      <w:tr w:rsidR="00295058" w:rsidRPr="005C53F5" w14:paraId="6EDDCF7A" w14:textId="77777777" w:rsidTr="00A61372">
        <w:trPr>
          <w:trHeight w:val="225"/>
        </w:trPr>
        <w:tc>
          <w:tcPr>
            <w:tcW w:w="5604" w:type="dxa"/>
            <w:tcBorders>
              <w:top w:val="nil"/>
              <w:left w:val="nil"/>
              <w:bottom w:val="nil"/>
              <w:right w:val="nil"/>
            </w:tcBorders>
            <w:shd w:val="clear" w:color="auto" w:fill="auto"/>
            <w:vAlign w:val="center"/>
            <w:hideMark/>
          </w:tcPr>
          <w:p w14:paraId="42BAD75A"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Культура, спорт, туризм и информационное пространство</w:t>
            </w:r>
          </w:p>
        </w:tc>
        <w:tc>
          <w:tcPr>
            <w:tcW w:w="1597" w:type="dxa"/>
            <w:tcBorders>
              <w:top w:val="nil"/>
              <w:left w:val="nil"/>
              <w:bottom w:val="nil"/>
              <w:right w:val="nil"/>
            </w:tcBorders>
            <w:shd w:val="clear" w:color="auto" w:fill="auto"/>
            <w:noWrap/>
            <w:vAlign w:val="center"/>
            <w:hideMark/>
          </w:tcPr>
          <w:p w14:paraId="14E4615A"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399 554 251,2</w:t>
            </w:r>
          </w:p>
        </w:tc>
        <w:tc>
          <w:tcPr>
            <w:tcW w:w="1429" w:type="dxa"/>
            <w:tcBorders>
              <w:top w:val="nil"/>
              <w:left w:val="nil"/>
              <w:bottom w:val="nil"/>
              <w:right w:val="nil"/>
            </w:tcBorders>
            <w:shd w:val="clear" w:color="auto" w:fill="auto"/>
            <w:noWrap/>
            <w:vAlign w:val="center"/>
            <w:hideMark/>
          </w:tcPr>
          <w:p w14:paraId="18778261"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398 540 352,2</w:t>
            </w:r>
          </w:p>
        </w:tc>
        <w:tc>
          <w:tcPr>
            <w:tcW w:w="1009" w:type="dxa"/>
            <w:tcBorders>
              <w:top w:val="nil"/>
              <w:left w:val="nil"/>
              <w:bottom w:val="nil"/>
              <w:right w:val="nil"/>
            </w:tcBorders>
            <w:shd w:val="clear" w:color="auto" w:fill="auto"/>
            <w:noWrap/>
            <w:vAlign w:val="center"/>
            <w:hideMark/>
          </w:tcPr>
          <w:p w14:paraId="3BD17E0F"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99,7</w:t>
            </w:r>
          </w:p>
        </w:tc>
      </w:tr>
      <w:tr w:rsidR="00295058" w:rsidRPr="005C53F5" w14:paraId="560D2F75" w14:textId="77777777" w:rsidTr="00A61372">
        <w:trPr>
          <w:trHeight w:val="225"/>
        </w:trPr>
        <w:tc>
          <w:tcPr>
            <w:tcW w:w="5604" w:type="dxa"/>
            <w:tcBorders>
              <w:top w:val="nil"/>
              <w:left w:val="nil"/>
              <w:bottom w:val="nil"/>
              <w:right w:val="nil"/>
            </w:tcBorders>
            <w:shd w:val="clear" w:color="auto" w:fill="auto"/>
            <w:vAlign w:val="center"/>
            <w:hideMark/>
          </w:tcPr>
          <w:p w14:paraId="4E6D66D8"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Топливно-энергетический комплекс и недропользование</w:t>
            </w:r>
          </w:p>
        </w:tc>
        <w:tc>
          <w:tcPr>
            <w:tcW w:w="1597" w:type="dxa"/>
            <w:tcBorders>
              <w:top w:val="nil"/>
              <w:left w:val="nil"/>
              <w:bottom w:val="nil"/>
              <w:right w:val="nil"/>
            </w:tcBorders>
            <w:shd w:val="clear" w:color="auto" w:fill="auto"/>
            <w:noWrap/>
            <w:vAlign w:val="center"/>
            <w:hideMark/>
          </w:tcPr>
          <w:p w14:paraId="560F391F"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138 479 286,5</w:t>
            </w:r>
          </w:p>
        </w:tc>
        <w:tc>
          <w:tcPr>
            <w:tcW w:w="1429" w:type="dxa"/>
            <w:tcBorders>
              <w:top w:val="nil"/>
              <w:left w:val="nil"/>
              <w:bottom w:val="nil"/>
              <w:right w:val="nil"/>
            </w:tcBorders>
            <w:shd w:val="clear" w:color="auto" w:fill="auto"/>
            <w:noWrap/>
            <w:vAlign w:val="center"/>
            <w:hideMark/>
          </w:tcPr>
          <w:p w14:paraId="210F2D22"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137 939 434,7</w:t>
            </w:r>
          </w:p>
        </w:tc>
        <w:tc>
          <w:tcPr>
            <w:tcW w:w="1009" w:type="dxa"/>
            <w:tcBorders>
              <w:top w:val="nil"/>
              <w:left w:val="nil"/>
              <w:bottom w:val="nil"/>
              <w:right w:val="nil"/>
            </w:tcBorders>
            <w:shd w:val="clear" w:color="auto" w:fill="auto"/>
            <w:noWrap/>
            <w:vAlign w:val="center"/>
            <w:hideMark/>
          </w:tcPr>
          <w:p w14:paraId="5E434725"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99,6</w:t>
            </w:r>
          </w:p>
        </w:tc>
      </w:tr>
      <w:tr w:rsidR="00295058" w:rsidRPr="005C53F5" w14:paraId="3391A7B1" w14:textId="77777777" w:rsidTr="00A61372">
        <w:trPr>
          <w:trHeight w:val="675"/>
        </w:trPr>
        <w:tc>
          <w:tcPr>
            <w:tcW w:w="5604" w:type="dxa"/>
            <w:tcBorders>
              <w:top w:val="nil"/>
              <w:left w:val="nil"/>
              <w:bottom w:val="nil"/>
              <w:right w:val="nil"/>
            </w:tcBorders>
            <w:shd w:val="clear" w:color="auto" w:fill="auto"/>
            <w:vAlign w:val="center"/>
            <w:hideMark/>
          </w:tcPr>
          <w:p w14:paraId="52E26D40"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597" w:type="dxa"/>
            <w:tcBorders>
              <w:top w:val="nil"/>
              <w:left w:val="nil"/>
              <w:bottom w:val="nil"/>
              <w:right w:val="nil"/>
            </w:tcBorders>
            <w:shd w:val="clear" w:color="auto" w:fill="auto"/>
            <w:noWrap/>
            <w:vAlign w:val="center"/>
            <w:hideMark/>
          </w:tcPr>
          <w:p w14:paraId="5386109B"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476 657 042,1</w:t>
            </w:r>
          </w:p>
        </w:tc>
        <w:tc>
          <w:tcPr>
            <w:tcW w:w="1429" w:type="dxa"/>
            <w:tcBorders>
              <w:top w:val="nil"/>
              <w:left w:val="nil"/>
              <w:bottom w:val="nil"/>
              <w:right w:val="nil"/>
            </w:tcBorders>
            <w:shd w:val="clear" w:color="auto" w:fill="auto"/>
            <w:noWrap/>
            <w:vAlign w:val="center"/>
            <w:hideMark/>
          </w:tcPr>
          <w:p w14:paraId="5937FAC6"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474 307 164,7</w:t>
            </w:r>
          </w:p>
        </w:tc>
        <w:tc>
          <w:tcPr>
            <w:tcW w:w="1009" w:type="dxa"/>
            <w:tcBorders>
              <w:top w:val="nil"/>
              <w:left w:val="nil"/>
              <w:bottom w:val="nil"/>
              <w:right w:val="nil"/>
            </w:tcBorders>
            <w:shd w:val="clear" w:color="auto" w:fill="auto"/>
            <w:noWrap/>
            <w:vAlign w:val="center"/>
            <w:hideMark/>
          </w:tcPr>
          <w:p w14:paraId="539C706B"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99,5</w:t>
            </w:r>
          </w:p>
        </w:tc>
      </w:tr>
      <w:tr w:rsidR="00295058" w:rsidRPr="005C53F5" w14:paraId="0EB4E711" w14:textId="77777777" w:rsidTr="00A61372">
        <w:trPr>
          <w:trHeight w:val="450"/>
        </w:trPr>
        <w:tc>
          <w:tcPr>
            <w:tcW w:w="5604" w:type="dxa"/>
            <w:tcBorders>
              <w:top w:val="nil"/>
              <w:left w:val="nil"/>
              <w:bottom w:val="nil"/>
              <w:right w:val="nil"/>
            </w:tcBorders>
            <w:shd w:val="clear" w:color="auto" w:fill="auto"/>
            <w:vAlign w:val="center"/>
            <w:hideMark/>
          </w:tcPr>
          <w:p w14:paraId="75DAFD93"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Промышленность, архитектурная, градостроительная и строительная деятельность</w:t>
            </w:r>
          </w:p>
        </w:tc>
        <w:tc>
          <w:tcPr>
            <w:tcW w:w="1597" w:type="dxa"/>
            <w:tcBorders>
              <w:top w:val="nil"/>
              <w:left w:val="nil"/>
              <w:bottom w:val="nil"/>
              <w:right w:val="nil"/>
            </w:tcBorders>
            <w:shd w:val="clear" w:color="auto" w:fill="auto"/>
            <w:noWrap/>
            <w:vAlign w:val="center"/>
            <w:hideMark/>
          </w:tcPr>
          <w:p w14:paraId="6D3EED28"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29 871 947,6</w:t>
            </w:r>
          </w:p>
        </w:tc>
        <w:tc>
          <w:tcPr>
            <w:tcW w:w="1429" w:type="dxa"/>
            <w:tcBorders>
              <w:top w:val="nil"/>
              <w:left w:val="nil"/>
              <w:bottom w:val="nil"/>
              <w:right w:val="nil"/>
            </w:tcBorders>
            <w:shd w:val="clear" w:color="auto" w:fill="auto"/>
            <w:noWrap/>
            <w:vAlign w:val="center"/>
            <w:hideMark/>
          </w:tcPr>
          <w:p w14:paraId="221D0202"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29 790 938,9</w:t>
            </w:r>
          </w:p>
        </w:tc>
        <w:tc>
          <w:tcPr>
            <w:tcW w:w="1009" w:type="dxa"/>
            <w:tcBorders>
              <w:top w:val="nil"/>
              <w:left w:val="nil"/>
              <w:bottom w:val="nil"/>
              <w:right w:val="nil"/>
            </w:tcBorders>
            <w:shd w:val="clear" w:color="auto" w:fill="auto"/>
            <w:noWrap/>
            <w:vAlign w:val="center"/>
            <w:hideMark/>
          </w:tcPr>
          <w:p w14:paraId="4DE2BE8C"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99,7</w:t>
            </w:r>
          </w:p>
        </w:tc>
      </w:tr>
      <w:tr w:rsidR="00295058" w:rsidRPr="005C53F5" w14:paraId="0DF90049" w14:textId="77777777" w:rsidTr="00A61372">
        <w:trPr>
          <w:trHeight w:val="225"/>
        </w:trPr>
        <w:tc>
          <w:tcPr>
            <w:tcW w:w="5604" w:type="dxa"/>
            <w:tcBorders>
              <w:top w:val="nil"/>
              <w:left w:val="nil"/>
              <w:bottom w:val="nil"/>
              <w:right w:val="nil"/>
            </w:tcBorders>
            <w:shd w:val="clear" w:color="auto" w:fill="auto"/>
            <w:vAlign w:val="center"/>
            <w:hideMark/>
          </w:tcPr>
          <w:p w14:paraId="4D11215C"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Транспорт и коммуникации</w:t>
            </w:r>
          </w:p>
        </w:tc>
        <w:tc>
          <w:tcPr>
            <w:tcW w:w="1597" w:type="dxa"/>
            <w:tcBorders>
              <w:top w:val="nil"/>
              <w:left w:val="nil"/>
              <w:bottom w:val="nil"/>
              <w:right w:val="nil"/>
            </w:tcBorders>
            <w:shd w:val="clear" w:color="auto" w:fill="auto"/>
            <w:noWrap/>
            <w:vAlign w:val="center"/>
            <w:hideMark/>
          </w:tcPr>
          <w:p w14:paraId="2539AA61"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852 507 446,3</w:t>
            </w:r>
          </w:p>
        </w:tc>
        <w:tc>
          <w:tcPr>
            <w:tcW w:w="1429" w:type="dxa"/>
            <w:tcBorders>
              <w:top w:val="nil"/>
              <w:left w:val="nil"/>
              <w:bottom w:val="nil"/>
              <w:right w:val="nil"/>
            </w:tcBorders>
            <w:shd w:val="clear" w:color="auto" w:fill="auto"/>
            <w:noWrap/>
            <w:vAlign w:val="center"/>
            <w:hideMark/>
          </w:tcPr>
          <w:p w14:paraId="304A0A8E"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850 434 444,5</w:t>
            </w:r>
          </w:p>
        </w:tc>
        <w:tc>
          <w:tcPr>
            <w:tcW w:w="1009" w:type="dxa"/>
            <w:tcBorders>
              <w:top w:val="nil"/>
              <w:left w:val="nil"/>
              <w:bottom w:val="nil"/>
              <w:right w:val="nil"/>
            </w:tcBorders>
            <w:shd w:val="clear" w:color="auto" w:fill="auto"/>
            <w:noWrap/>
            <w:vAlign w:val="center"/>
            <w:hideMark/>
          </w:tcPr>
          <w:p w14:paraId="2383AFB9"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99,8</w:t>
            </w:r>
          </w:p>
        </w:tc>
      </w:tr>
      <w:tr w:rsidR="00295058" w:rsidRPr="005C53F5" w14:paraId="23C94545" w14:textId="77777777" w:rsidTr="00A61372">
        <w:trPr>
          <w:trHeight w:val="225"/>
        </w:trPr>
        <w:tc>
          <w:tcPr>
            <w:tcW w:w="5604" w:type="dxa"/>
            <w:tcBorders>
              <w:top w:val="nil"/>
              <w:left w:val="nil"/>
              <w:bottom w:val="nil"/>
              <w:right w:val="nil"/>
            </w:tcBorders>
            <w:shd w:val="clear" w:color="auto" w:fill="auto"/>
            <w:vAlign w:val="center"/>
            <w:hideMark/>
          </w:tcPr>
          <w:p w14:paraId="248CAD37"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Прочие</w:t>
            </w:r>
          </w:p>
        </w:tc>
        <w:tc>
          <w:tcPr>
            <w:tcW w:w="1597" w:type="dxa"/>
            <w:tcBorders>
              <w:top w:val="nil"/>
              <w:left w:val="nil"/>
              <w:bottom w:val="nil"/>
              <w:right w:val="nil"/>
            </w:tcBorders>
            <w:shd w:val="clear" w:color="auto" w:fill="auto"/>
            <w:noWrap/>
            <w:vAlign w:val="center"/>
            <w:hideMark/>
          </w:tcPr>
          <w:p w14:paraId="43DDCF67"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2 343 034 033,5</w:t>
            </w:r>
          </w:p>
        </w:tc>
        <w:tc>
          <w:tcPr>
            <w:tcW w:w="1429" w:type="dxa"/>
            <w:tcBorders>
              <w:top w:val="nil"/>
              <w:left w:val="nil"/>
              <w:bottom w:val="nil"/>
              <w:right w:val="nil"/>
            </w:tcBorders>
            <w:shd w:val="clear" w:color="auto" w:fill="auto"/>
            <w:noWrap/>
            <w:vAlign w:val="center"/>
            <w:hideMark/>
          </w:tcPr>
          <w:p w14:paraId="2F6A73A4"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2 334 294 580,6</w:t>
            </w:r>
          </w:p>
        </w:tc>
        <w:tc>
          <w:tcPr>
            <w:tcW w:w="1009" w:type="dxa"/>
            <w:tcBorders>
              <w:top w:val="nil"/>
              <w:left w:val="nil"/>
              <w:bottom w:val="nil"/>
              <w:right w:val="nil"/>
            </w:tcBorders>
            <w:shd w:val="clear" w:color="auto" w:fill="auto"/>
            <w:noWrap/>
            <w:vAlign w:val="center"/>
            <w:hideMark/>
          </w:tcPr>
          <w:p w14:paraId="21E33086"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99,6</w:t>
            </w:r>
          </w:p>
        </w:tc>
      </w:tr>
      <w:tr w:rsidR="00295058" w:rsidRPr="005C53F5" w14:paraId="14FA0EAA" w14:textId="77777777" w:rsidTr="00A61372">
        <w:trPr>
          <w:trHeight w:val="225"/>
        </w:trPr>
        <w:tc>
          <w:tcPr>
            <w:tcW w:w="5604" w:type="dxa"/>
            <w:tcBorders>
              <w:top w:val="nil"/>
              <w:left w:val="nil"/>
              <w:bottom w:val="nil"/>
              <w:right w:val="nil"/>
            </w:tcBorders>
            <w:shd w:val="clear" w:color="auto" w:fill="auto"/>
            <w:vAlign w:val="center"/>
            <w:hideMark/>
          </w:tcPr>
          <w:p w14:paraId="7B733191"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Обслуживание долга</w:t>
            </w:r>
          </w:p>
        </w:tc>
        <w:tc>
          <w:tcPr>
            <w:tcW w:w="1597" w:type="dxa"/>
            <w:tcBorders>
              <w:top w:val="nil"/>
              <w:left w:val="nil"/>
              <w:bottom w:val="nil"/>
              <w:right w:val="nil"/>
            </w:tcBorders>
            <w:shd w:val="clear" w:color="auto" w:fill="auto"/>
            <w:noWrap/>
            <w:vAlign w:val="center"/>
            <w:hideMark/>
          </w:tcPr>
          <w:p w14:paraId="0D418F26"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458 946 634,5</w:t>
            </w:r>
          </w:p>
        </w:tc>
        <w:tc>
          <w:tcPr>
            <w:tcW w:w="1429" w:type="dxa"/>
            <w:tcBorders>
              <w:top w:val="nil"/>
              <w:left w:val="nil"/>
              <w:bottom w:val="nil"/>
              <w:right w:val="nil"/>
            </w:tcBorders>
            <w:shd w:val="clear" w:color="auto" w:fill="auto"/>
            <w:noWrap/>
            <w:vAlign w:val="center"/>
            <w:hideMark/>
          </w:tcPr>
          <w:p w14:paraId="271D67DE"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458 873 538,7</w:t>
            </w:r>
          </w:p>
        </w:tc>
        <w:tc>
          <w:tcPr>
            <w:tcW w:w="1009" w:type="dxa"/>
            <w:tcBorders>
              <w:top w:val="nil"/>
              <w:left w:val="nil"/>
              <w:bottom w:val="nil"/>
              <w:right w:val="nil"/>
            </w:tcBorders>
            <w:shd w:val="clear" w:color="auto" w:fill="auto"/>
            <w:noWrap/>
            <w:vAlign w:val="center"/>
            <w:hideMark/>
          </w:tcPr>
          <w:p w14:paraId="2E2678EE"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46532351" w14:textId="77777777" w:rsidTr="00A61372">
        <w:trPr>
          <w:trHeight w:val="225"/>
        </w:trPr>
        <w:tc>
          <w:tcPr>
            <w:tcW w:w="5604" w:type="dxa"/>
            <w:tcBorders>
              <w:top w:val="nil"/>
              <w:left w:val="nil"/>
              <w:bottom w:val="nil"/>
              <w:right w:val="nil"/>
            </w:tcBorders>
            <w:shd w:val="clear" w:color="auto" w:fill="auto"/>
            <w:vAlign w:val="center"/>
            <w:hideMark/>
          </w:tcPr>
          <w:p w14:paraId="58115F2E"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Трансферты</w:t>
            </w:r>
          </w:p>
        </w:tc>
        <w:tc>
          <w:tcPr>
            <w:tcW w:w="1597" w:type="dxa"/>
            <w:tcBorders>
              <w:top w:val="nil"/>
              <w:left w:val="nil"/>
              <w:bottom w:val="nil"/>
              <w:right w:val="nil"/>
            </w:tcBorders>
            <w:shd w:val="clear" w:color="auto" w:fill="auto"/>
            <w:noWrap/>
            <w:vAlign w:val="center"/>
            <w:hideMark/>
          </w:tcPr>
          <w:p w14:paraId="2D7D563B"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24 596 341,9</w:t>
            </w:r>
          </w:p>
        </w:tc>
        <w:tc>
          <w:tcPr>
            <w:tcW w:w="1429" w:type="dxa"/>
            <w:tcBorders>
              <w:top w:val="nil"/>
              <w:left w:val="nil"/>
              <w:bottom w:val="nil"/>
              <w:right w:val="nil"/>
            </w:tcBorders>
            <w:shd w:val="clear" w:color="auto" w:fill="auto"/>
            <w:noWrap/>
            <w:vAlign w:val="center"/>
            <w:hideMark/>
          </w:tcPr>
          <w:p w14:paraId="3C61EC33"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24 594 104,9</w:t>
            </w:r>
          </w:p>
        </w:tc>
        <w:tc>
          <w:tcPr>
            <w:tcW w:w="1009" w:type="dxa"/>
            <w:tcBorders>
              <w:top w:val="nil"/>
              <w:left w:val="nil"/>
              <w:bottom w:val="nil"/>
              <w:right w:val="nil"/>
            </w:tcBorders>
            <w:shd w:val="clear" w:color="auto" w:fill="auto"/>
            <w:noWrap/>
            <w:vAlign w:val="center"/>
            <w:hideMark/>
          </w:tcPr>
          <w:p w14:paraId="13AF4768"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36D98A3C" w14:textId="77777777" w:rsidTr="00A61372">
        <w:trPr>
          <w:trHeight w:val="420"/>
        </w:trPr>
        <w:tc>
          <w:tcPr>
            <w:tcW w:w="5604" w:type="dxa"/>
            <w:tcBorders>
              <w:top w:val="nil"/>
              <w:left w:val="nil"/>
              <w:bottom w:val="nil"/>
              <w:right w:val="nil"/>
            </w:tcBorders>
            <w:shd w:val="clear" w:color="auto" w:fill="auto"/>
            <w:vAlign w:val="center"/>
            <w:hideMark/>
          </w:tcPr>
          <w:p w14:paraId="7E7EBFA7"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Покрытие расходов, связанных с управлением Нацфондом и проведением ежегодного внешнего аудита</w:t>
            </w:r>
          </w:p>
        </w:tc>
        <w:tc>
          <w:tcPr>
            <w:tcW w:w="1597" w:type="dxa"/>
            <w:tcBorders>
              <w:top w:val="nil"/>
              <w:left w:val="nil"/>
              <w:bottom w:val="nil"/>
              <w:right w:val="nil"/>
            </w:tcBorders>
            <w:shd w:val="clear" w:color="auto" w:fill="auto"/>
            <w:noWrap/>
            <w:vAlign w:val="center"/>
            <w:hideMark/>
          </w:tcPr>
          <w:p w14:paraId="5F8B52B7"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18 808 654,0</w:t>
            </w:r>
          </w:p>
        </w:tc>
        <w:tc>
          <w:tcPr>
            <w:tcW w:w="1429" w:type="dxa"/>
            <w:tcBorders>
              <w:top w:val="nil"/>
              <w:left w:val="nil"/>
              <w:bottom w:val="nil"/>
              <w:right w:val="nil"/>
            </w:tcBorders>
            <w:shd w:val="clear" w:color="auto" w:fill="auto"/>
            <w:noWrap/>
            <w:vAlign w:val="center"/>
            <w:hideMark/>
          </w:tcPr>
          <w:p w14:paraId="7EF129CB"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6 594 086,0</w:t>
            </w:r>
          </w:p>
        </w:tc>
        <w:tc>
          <w:tcPr>
            <w:tcW w:w="1009" w:type="dxa"/>
            <w:tcBorders>
              <w:top w:val="nil"/>
              <w:left w:val="nil"/>
              <w:bottom w:val="nil"/>
              <w:right w:val="nil"/>
            </w:tcBorders>
            <w:shd w:val="clear" w:color="auto" w:fill="auto"/>
            <w:noWrap/>
            <w:vAlign w:val="center"/>
            <w:hideMark/>
          </w:tcPr>
          <w:p w14:paraId="04DD3F7E"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35,1</w:t>
            </w:r>
          </w:p>
        </w:tc>
      </w:tr>
      <w:tr w:rsidR="00295058" w:rsidRPr="005C53F5" w14:paraId="345E01CE" w14:textId="77777777" w:rsidTr="00A61372">
        <w:trPr>
          <w:trHeight w:val="210"/>
        </w:trPr>
        <w:tc>
          <w:tcPr>
            <w:tcW w:w="5604" w:type="dxa"/>
            <w:tcBorders>
              <w:top w:val="nil"/>
              <w:left w:val="nil"/>
              <w:bottom w:val="nil"/>
              <w:right w:val="nil"/>
            </w:tcBorders>
            <w:shd w:val="clear" w:color="auto" w:fill="auto"/>
            <w:vAlign w:val="center"/>
            <w:hideMark/>
          </w:tcPr>
          <w:p w14:paraId="5298E1E2"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III. ЧИСТОЕ БЮДЖЕТНОЕ КРЕДИТОВАНИЕ</w:t>
            </w:r>
          </w:p>
        </w:tc>
        <w:tc>
          <w:tcPr>
            <w:tcW w:w="1597" w:type="dxa"/>
            <w:tcBorders>
              <w:top w:val="nil"/>
              <w:left w:val="nil"/>
              <w:bottom w:val="nil"/>
              <w:right w:val="nil"/>
            </w:tcBorders>
            <w:shd w:val="clear" w:color="auto" w:fill="auto"/>
            <w:noWrap/>
            <w:vAlign w:val="center"/>
            <w:hideMark/>
          </w:tcPr>
          <w:p w14:paraId="4E1E7CE2"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202 564 917,8</w:t>
            </w:r>
          </w:p>
        </w:tc>
        <w:tc>
          <w:tcPr>
            <w:tcW w:w="1429" w:type="dxa"/>
            <w:tcBorders>
              <w:top w:val="nil"/>
              <w:left w:val="nil"/>
              <w:bottom w:val="nil"/>
              <w:right w:val="nil"/>
            </w:tcBorders>
            <w:shd w:val="clear" w:color="auto" w:fill="auto"/>
            <w:noWrap/>
            <w:vAlign w:val="center"/>
            <w:hideMark/>
          </w:tcPr>
          <w:p w14:paraId="02A9C585"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201 451 321,6</w:t>
            </w:r>
          </w:p>
        </w:tc>
        <w:tc>
          <w:tcPr>
            <w:tcW w:w="1009" w:type="dxa"/>
            <w:tcBorders>
              <w:top w:val="nil"/>
              <w:left w:val="nil"/>
              <w:bottom w:val="nil"/>
              <w:right w:val="nil"/>
            </w:tcBorders>
            <w:shd w:val="clear" w:color="auto" w:fill="auto"/>
            <w:noWrap/>
            <w:vAlign w:val="center"/>
            <w:hideMark/>
          </w:tcPr>
          <w:p w14:paraId="460B2382"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p>
        </w:tc>
      </w:tr>
      <w:tr w:rsidR="00295058" w:rsidRPr="005C53F5" w14:paraId="220014D8" w14:textId="77777777" w:rsidTr="00A61372">
        <w:trPr>
          <w:trHeight w:val="210"/>
        </w:trPr>
        <w:tc>
          <w:tcPr>
            <w:tcW w:w="5604" w:type="dxa"/>
            <w:tcBorders>
              <w:top w:val="nil"/>
              <w:left w:val="nil"/>
              <w:bottom w:val="nil"/>
              <w:right w:val="nil"/>
            </w:tcBorders>
            <w:shd w:val="clear" w:color="auto" w:fill="auto"/>
            <w:vAlign w:val="center"/>
            <w:hideMark/>
          </w:tcPr>
          <w:p w14:paraId="15780292"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БЮДЖЕТНЫЕ КРЕДИТЫ</w:t>
            </w:r>
          </w:p>
        </w:tc>
        <w:tc>
          <w:tcPr>
            <w:tcW w:w="1597" w:type="dxa"/>
            <w:tcBorders>
              <w:top w:val="nil"/>
              <w:left w:val="nil"/>
              <w:bottom w:val="nil"/>
              <w:right w:val="nil"/>
            </w:tcBorders>
            <w:shd w:val="clear" w:color="auto" w:fill="auto"/>
            <w:noWrap/>
            <w:vAlign w:val="center"/>
            <w:hideMark/>
          </w:tcPr>
          <w:p w14:paraId="38076080"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304 179 059,2</w:t>
            </w:r>
          </w:p>
        </w:tc>
        <w:tc>
          <w:tcPr>
            <w:tcW w:w="1429" w:type="dxa"/>
            <w:tcBorders>
              <w:top w:val="nil"/>
              <w:left w:val="nil"/>
              <w:bottom w:val="nil"/>
              <w:right w:val="nil"/>
            </w:tcBorders>
            <w:shd w:val="clear" w:color="auto" w:fill="auto"/>
            <w:noWrap/>
            <w:vAlign w:val="center"/>
            <w:hideMark/>
          </w:tcPr>
          <w:p w14:paraId="0E0DD097"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304 168 717,8</w:t>
            </w:r>
          </w:p>
        </w:tc>
        <w:tc>
          <w:tcPr>
            <w:tcW w:w="1009" w:type="dxa"/>
            <w:tcBorders>
              <w:top w:val="nil"/>
              <w:left w:val="nil"/>
              <w:bottom w:val="nil"/>
              <w:right w:val="nil"/>
            </w:tcBorders>
            <w:shd w:val="clear" w:color="auto" w:fill="auto"/>
            <w:noWrap/>
            <w:vAlign w:val="center"/>
            <w:hideMark/>
          </w:tcPr>
          <w:p w14:paraId="4307EC46"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100,0</w:t>
            </w:r>
          </w:p>
        </w:tc>
      </w:tr>
      <w:tr w:rsidR="00295058" w:rsidRPr="005C53F5" w14:paraId="506AC8D9" w14:textId="77777777" w:rsidTr="00A61372">
        <w:trPr>
          <w:trHeight w:val="225"/>
        </w:trPr>
        <w:tc>
          <w:tcPr>
            <w:tcW w:w="5604" w:type="dxa"/>
            <w:tcBorders>
              <w:top w:val="nil"/>
              <w:left w:val="nil"/>
              <w:bottom w:val="nil"/>
              <w:right w:val="nil"/>
            </w:tcBorders>
            <w:shd w:val="clear" w:color="auto" w:fill="auto"/>
            <w:vAlign w:val="center"/>
            <w:hideMark/>
          </w:tcPr>
          <w:p w14:paraId="782C6D05"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Социальная помощь и социальное обеспечение</w:t>
            </w:r>
          </w:p>
        </w:tc>
        <w:tc>
          <w:tcPr>
            <w:tcW w:w="1597" w:type="dxa"/>
            <w:tcBorders>
              <w:top w:val="nil"/>
              <w:left w:val="nil"/>
              <w:bottom w:val="nil"/>
              <w:right w:val="nil"/>
            </w:tcBorders>
            <w:shd w:val="clear" w:color="auto" w:fill="auto"/>
            <w:noWrap/>
            <w:vAlign w:val="center"/>
            <w:hideMark/>
          </w:tcPr>
          <w:p w14:paraId="5B5F4EC1"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7 220 607,0</w:t>
            </w:r>
          </w:p>
        </w:tc>
        <w:tc>
          <w:tcPr>
            <w:tcW w:w="1429" w:type="dxa"/>
            <w:tcBorders>
              <w:top w:val="nil"/>
              <w:left w:val="nil"/>
              <w:bottom w:val="nil"/>
              <w:right w:val="nil"/>
            </w:tcBorders>
            <w:shd w:val="clear" w:color="auto" w:fill="auto"/>
            <w:noWrap/>
            <w:vAlign w:val="center"/>
            <w:hideMark/>
          </w:tcPr>
          <w:p w14:paraId="725D185A"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7 220 607,0</w:t>
            </w:r>
          </w:p>
        </w:tc>
        <w:tc>
          <w:tcPr>
            <w:tcW w:w="1009" w:type="dxa"/>
            <w:tcBorders>
              <w:top w:val="nil"/>
              <w:left w:val="nil"/>
              <w:bottom w:val="nil"/>
              <w:right w:val="nil"/>
            </w:tcBorders>
            <w:shd w:val="clear" w:color="auto" w:fill="auto"/>
            <w:noWrap/>
            <w:vAlign w:val="center"/>
            <w:hideMark/>
          </w:tcPr>
          <w:p w14:paraId="787C3784"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09B3953E" w14:textId="77777777" w:rsidTr="00A61372">
        <w:trPr>
          <w:trHeight w:val="225"/>
        </w:trPr>
        <w:tc>
          <w:tcPr>
            <w:tcW w:w="5604" w:type="dxa"/>
            <w:tcBorders>
              <w:top w:val="nil"/>
              <w:left w:val="nil"/>
              <w:bottom w:val="nil"/>
              <w:right w:val="nil"/>
            </w:tcBorders>
            <w:shd w:val="clear" w:color="auto" w:fill="auto"/>
            <w:vAlign w:val="center"/>
            <w:hideMark/>
          </w:tcPr>
          <w:p w14:paraId="2BA81D73"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Жилищно-коммунальное хозяйство</w:t>
            </w:r>
          </w:p>
        </w:tc>
        <w:tc>
          <w:tcPr>
            <w:tcW w:w="1597" w:type="dxa"/>
            <w:tcBorders>
              <w:top w:val="nil"/>
              <w:left w:val="nil"/>
              <w:bottom w:val="nil"/>
              <w:right w:val="nil"/>
            </w:tcBorders>
            <w:shd w:val="clear" w:color="auto" w:fill="auto"/>
            <w:noWrap/>
            <w:vAlign w:val="center"/>
            <w:hideMark/>
          </w:tcPr>
          <w:p w14:paraId="6B7E9ED7"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48 068 664,7</w:t>
            </w:r>
          </w:p>
        </w:tc>
        <w:tc>
          <w:tcPr>
            <w:tcW w:w="1429" w:type="dxa"/>
            <w:tcBorders>
              <w:top w:val="nil"/>
              <w:left w:val="nil"/>
              <w:bottom w:val="nil"/>
              <w:right w:val="nil"/>
            </w:tcBorders>
            <w:shd w:val="clear" w:color="auto" w:fill="auto"/>
            <w:noWrap/>
            <w:vAlign w:val="center"/>
            <w:hideMark/>
          </w:tcPr>
          <w:p w14:paraId="73A084AE"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48 068 662,9</w:t>
            </w:r>
          </w:p>
        </w:tc>
        <w:tc>
          <w:tcPr>
            <w:tcW w:w="1009" w:type="dxa"/>
            <w:tcBorders>
              <w:top w:val="nil"/>
              <w:left w:val="nil"/>
              <w:bottom w:val="nil"/>
              <w:right w:val="nil"/>
            </w:tcBorders>
            <w:shd w:val="clear" w:color="auto" w:fill="auto"/>
            <w:noWrap/>
            <w:vAlign w:val="center"/>
            <w:hideMark/>
          </w:tcPr>
          <w:p w14:paraId="700EFAAC"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38A2619E" w14:textId="77777777" w:rsidTr="00A61372">
        <w:trPr>
          <w:trHeight w:val="675"/>
        </w:trPr>
        <w:tc>
          <w:tcPr>
            <w:tcW w:w="5604" w:type="dxa"/>
            <w:tcBorders>
              <w:top w:val="nil"/>
              <w:left w:val="nil"/>
              <w:bottom w:val="nil"/>
              <w:right w:val="nil"/>
            </w:tcBorders>
            <w:shd w:val="clear" w:color="auto" w:fill="auto"/>
            <w:vAlign w:val="center"/>
            <w:hideMark/>
          </w:tcPr>
          <w:p w14:paraId="49712FA2"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597" w:type="dxa"/>
            <w:tcBorders>
              <w:top w:val="nil"/>
              <w:left w:val="nil"/>
              <w:bottom w:val="nil"/>
              <w:right w:val="nil"/>
            </w:tcBorders>
            <w:shd w:val="clear" w:color="auto" w:fill="auto"/>
            <w:noWrap/>
            <w:vAlign w:val="center"/>
            <w:hideMark/>
          </w:tcPr>
          <w:p w14:paraId="163D37F7"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100 874 867,5</w:t>
            </w:r>
          </w:p>
        </w:tc>
        <w:tc>
          <w:tcPr>
            <w:tcW w:w="1429" w:type="dxa"/>
            <w:tcBorders>
              <w:top w:val="nil"/>
              <w:left w:val="nil"/>
              <w:bottom w:val="nil"/>
              <w:right w:val="nil"/>
            </w:tcBorders>
            <w:shd w:val="clear" w:color="auto" w:fill="auto"/>
            <w:noWrap/>
            <w:vAlign w:val="center"/>
            <w:hideMark/>
          </w:tcPr>
          <w:p w14:paraId="4598B79A"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100 864 528,2</w:t>
            </w:r>
          </w:p>
        </w:tc>
        <w:tc>
          <w:tcPr>
            <w:tcW w:w="1009" w:type="dxa"/>
            <w:tcBorders>
              <w:top w:val="nil"/>
              <w:left w:val="nil"/>
              <w:bottom w:val="nil"/>
              <w:right w:val="nil"/>
            </w:tcBorders>
            <w:shd w:val="clear" w:color="auto" w:fill="auto"/>
            <w:noWrap/>
            <w:vAlign w:val="center"/>
            <w:hideMark/>
          </w:tcPr>
          <w:p w14:paraId="0EC8639E"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625DC937" w14:textId="77777777" w:rsidTr="00A61372">
        <w:trPr>
          <w:trHeight w:val="450"/>
        </w:trPr>
        <w:tc>
          <w:tcPr>
            <w:tcW w:w="5604" w:type="dxa"/>
            <w:tcBorders>
              <w:top w:val="nil"/>
              <w:left w:val="nil"/>
              <w:bottom w:val="nil"/>
              <w:right w:val="nil"/>
            </w:tcBorders>
            <w:shd w:val="clear" w:color="auto" w:fill="auto"/>
            <w:vAlign w:val="center"/>
            <w:hideMark/>
          </w:tcPr>
          <w:p w14:paraId="4887AD3C"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Промышленность, архитектурная, градостроительная и строительная деятельность</w:t>
            </w:r>
          </w:p>
        </w:tc>
        <w:tc>
          <w:tcPr>
            <w:tcW w:w="1597" w:type="dxa"/>
            <w:tcBorders>
              <w:top w:val="nil"/>
              <w:left w:val="nil"/>
              <w:bottom w:val="nil"/>
              <w:right w:val="nil"/>
            </w:tcBorders>
            <w:shd w:val="clear" w:color="auto" w:fill="auto"/>
            <w:noWrap/>
            <w:vAlign w:val="center"/>
            <w:hideMark/>
          </w:tcPr>
          <w:p w14:paraId="180DB18A"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10 000 000,0</w:t>
            </w:r>
          </w:p>
        </w:tc>
        <w:tc>
          <w:tcPr>
            <w:tcW w:w="1429" w:type="dxa"/>
            <w:tcBorders>
              <w:top w:val="nil"/>
              <w:left w:val="nil"/>
              <w:bottom w:val="nil"/>
              <w:right w:val="nil"/>
            </w:tcBorders>
            <w:shd w:val="clear" w:color="auto" w:fill="auto"/>
            <w:noWrap/>
            <w:vAlign w:val="center"/>
            <w:hideMark/>
          </w:tcPr>
          <w:p w14:paraId="6060AD55"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10 000 000,0</w:t>
            </w:r>
          </w:p>
        </w:tc>
        <w:tc>
          <w:tcPr>
            <w:tcW w:w="1009" w:type="dxa"/>
            <w:tcBorders>
              <w:top w:val="nil"/>
              <w:left w:val="nil"/>
              <w:bottom w:val="nil"/>
              <w:right w:val="nil"/>
            </w:tcBorders>
            <w:shd w:val="clear" w:color="auto" w:fill="auto"/>
            <w:noWrap/>
            <w:vAlign w:val="center"/>
            <w:hideMark/>
          </w:tcPr>
          <w:p w14:paraId="77E68A8A"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65B62882" w14:textId="77777777" w:rsidTr="00A61372">
        <w:trPr>
          <w:trHeight w:val="225"/>
        </w:trPr>
        <w:tc>
          <w:tcPr>
            <w:tcW w:w="5604" w:type="dxa"/>
            <w:tcBorders>
              <w:top w:val="nil"/>
              <w:left w:val="nil"/>
              <w:bottom w:val="nil"/>
              <w:right w:val="nil"/>
            </w:tcBorders>
            <w:shd w:val="clear" w:color="auto" w:fill="auto"/>
            <w:vAlign w:val="center"/>
            <w:hideMark/>
          </w:tcPr>
          <w:p w14:paraId="42FD3133"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Транспорт и коммуникации</w:t>
            </w:r>
          </w:p>
        </w:tc>
        <w:tc>
          <w:tcPr>
            <w:tcW w:w="1597" w:type="dxa"/>
            <w:tcBorders>
              <w:top w:val="nil"/>
              <w:left w:val="nil"/>
              <w:bottom w:val="nil"/>
              <w:right w:val="nil"/>
            </w:tcBorders>
            <w:shd w:val="clear" w:color="auto" w:fill="auto"/>
            <w:noWrap/>
            <w:vAlign w:val="center"/>
            <w:hideMark/>
          </w:tcPr>
          <w:p w14:paraId="065552CA"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18 600 000,0</w:t>
            </w:r>
          </w:p>
        </w:tc>
        <w:tc>
          <w:tcPr>
            <w:tcW w:w="1429" w:type="dxa"/>
            <w:tcBorders>
              <w:top w:val="nil"/>
              <w:left w:val="nil"/>
              <w:bottom w:val="nil"/>
              <w:right w:val="nil"/>
            </w:tcBorders>
            <w:shd w:val="clear" w:color="auto" w:fill="auto"/>
            <w:noWrap/>
            <w:vAlign w:val="center"/>
            <w:hideMark/>
          </w:tcPr>
          <w:p w14:paraId="1255BA05"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18 600 000,0</w:t>
            </w:r>
          </w:p>
        </w:tc>
        <w:tc>
          <w:tcPr>
            <w:tcW w:w="1009" w:type="dxa"/>
            <w:tcBorders>
              <w:top w:val="nil"/>
              <w:left w:val="nil"/>
              <w:bottom w:val="nil"/>
              <w:right w:val="nil"/>
            </w:tcBorders>
            <w:shd w:val="clear" w:color="auto" w:fill="auto"/>
            <w:noWrap/>
            <w:vAlign w:val="center"/>
            <w:hideMark/>
          </w:tcPr>
          <w:p w14:paraId="7DCE12DA"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69850FC4" w14:textId="77777777" w:rsidTr="00A61372">
        <w:trPr>
          <w:trHeight w:val="225"/>
        </w:trPr>
        <w:tc>
          <w:tcPr>
            <w:tcW w:w="5604" w:type="dxa"/>
            <w:tcBorders>
              <w:top w:val="nil"/>
              <w:left w:val="nil"/>
              <w:bottom w:val="nil"/>
              <w:right w:val="nil"/>
            </w:tcBorders>
            <w:shd w:val="clear" w:color="auto" w:fill="auto"/>
            <w:vAlign w:val="center"/>
            <w:hideMark/>
          </w:tcPr>
          <w:p w14:paraId="183CF20C"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Прочие</w:t>
            </w:r>
          </w:p>
        </w:tc>
        <w:tc>
          <w:tcPr>
            <w:tcW w:w="1597" w:type="dxa"/>
            <w:tcBorders>
              <w:top w:val="nil"/>
              <w:left w:val="nil"/>
              <w:bottom w:val="nil"/>
              <w:right w:val="nil"/>
            </w:tcBorders>
            <w:shd w:val="clear" w:color="auto" w:fill="auto"/>
            <w:noWrap/>
            <w:vAlign w:val="center"/>
            <w:hideMark/>
          </w:tcPr>
          <w:p w14:paraId="751E82A2"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119 414 920,0</w:t>
            </w:r>
          </w:p>
        </w:tc>
        <w:tc>
          <w:tcPr>
            <w:tcW w:w="1429" w:type="dxa"/>
            <w:tcBorders>
              <w:top w:val="nil"/>
              <w:left w:val="nil"/>
              <w:bottom w:val="nil"/>
              <w:right w:val="nil"/>
            </w:tcBorders>
            <w:shd w:val="clear" w:color="auto" w:fill="auto"/>
            <w:noWrap/>
            <w:vAlign w:val="center"/>
            <w:hideMark/>
          </w:tcPr>
          <w:p w14:paraId="2E867D9C"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119 414 919,7</w:t>
            </w:r>
          </w:p>
        </w:tc>
        <w:tc>
          <w:tcPr>
            <w:tcW w:w="1009" w:type="dxa"/>
            <w:tcBorders>
              <w:top w:val="nil"/>
              <w:left w:val="nil"/>
              <w:bottom w:val="nil"/>
              <w:right w:val="nil"/>
            </w:tcBorders>
            <w:shd w:val="clear" w:color="auto" w:fill="auto"/>
            <w:noWrap/>
            <w:vAlign w:val="center"/>
            <w:hideMark/>
          </w:tcPr>
          <w:p w14:paraId="788D8DC7"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700FC33F" w14:textId="77777777" w:rsidTr="00A61372">
        <w:trPr>
          <w:trHeight w:val="210"/>
        </w:trPr>
        <w:tc>
          <w:tcPr>
            <w:tcW w:w="5604" w:type="dxa"/>
            <w:tcBorders>
              <w:top w:val="nil"/>
              <w:left w:val="nil"/>
              <w:bottom w:val="nil"/>
              <w:right w:val="nil"/>
            </w:tcBorders>
            <w:shd w:val="clear" w:color="auto" w:fill="auto"/>
            <w:vAlign w:val="center"/>
            <w:hideMark/>
          </w:tcPr>
          <w:p w14:paraId="30BAB170"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ПОГАШЕНИЕ БЮДЖЕТНЫХ КРЕДИТОВ</w:t>
            </w:r>
          </w:p>
        </w:tc>
        <w:tc>
          <w:tcPr>
            <w:tcW w:w="1597" w:type="dxa"/>
            <w:tcBorders>
              <w:top w:val="nil"/>
              <w:left w:val="nil"/>
              <w:bottom w:val="nil"/>
              <w:right w:val="nil"/>
            </w:tcBorders>
            <w:shd w:val="clear" w:color="auto" w:fill="auto"/>
            <w:noWrap/>
            <w:vAlign w:val="center"/>
            <w:hideMark/>
          </w:tcPr>
          <w:p w14:paraId="0535EA5C"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101 614 141,4</w:t>
            </w:r>
          </w:p>
        </w:tc>
        <w:tc>
          <w:tcPr>
            <w:tcW w:w="1429" w:type="dxa"/>
            <w:tcBorders>
              <w:top w:val="nil"/>
              <w:left w:val="nil"/>
              <w:bottom w:val="nil"/>
              <w:right w:val="nil"/>
            </w:tcBorders>
            <w:shd w:val="clear" w:color="auto" w:fill="auto"/>
            <w:noWrap/>
            <w:vAlign w:val="center"/>
            <w:hideMark/>
          </w:tcPr>
          <w:p w14:paraId="006C88A4"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102 717 396,2</w:t>
            </w:r>
          </w:p>
        </w:tc>
        <w:tc>
          <w:tcPr>
            <w:tcW w:w="1009" w:type="dxa"/>
            <w:tcBorders>
              <w:top w:val="nil"/>
              <w:left w:val="nil"/>
              <w:bottom w:val="nil"/>
              <w:right w:val="nil"/>
            </w:tcBorders>
            <w:shd w:val="clear" w:color="auto" w:fill="auto"/>
            <w:noWrap/>
            <w:vAlign w:val="center"/>
            <w:hideMark/>
          </w:tcPr>
          <w:p w14:paraId="5EC2BE6A"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101,1</w:t>
            </w:r>
          </w:p>
        </w:tc>
      </w:tr>
      <w:tr w:rsidR="00295058" w:rsidRPr="005C53F5" w14:paraId="3E6267F0" w14:textId="77777777" w:rsidTr="00A61372">
        <w:trPr>
          <w:trHeight w:val="225"/>
        </w:trPr>
        <w:tc>
          <w:tcPr>
            <w:tcW w:w="5604" w:type="dxa"/>
            <w:tcBorders>
              <w:top w:val="nil"/>
              <w:left w:val="nil"/>
              <w:bottom w:val="nil"/>
              <w:right w:val="nil"/>
            </w:tcBorders>
            <w:shd w:val="clear" w:color="auto" w:fill="auto"/>
            <w:vAlign w:val="center"/>
            <w:hideMark/>
          </w:tcPr>
          <w:p w14:paraId="27C22BEB"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Погашение бюджетных кредитов</w:t>
            </w:r>
          </w:p>
        </w:tc>
        <w:tc>
          <w:tcPr>
            <w:tcW w:w="1597" w:type="dxa"/>
            <w:tcBorders>
              <w:top w:val="nil"/>
              <w:left w:val="nil"/>
              <w:bottom w:val="nil"/>
              <w:right w:val="nil"/>
            </w:tcBorders>
            <w:shd w:val="clear" w:color="auto" w:fill="auto"/>
            <w:noWrap/>
            <w:vAlign w:val="center"/>
            <w:hideMark/>
          </w:tcPr>
          <w:p w14:paraId="5F1B9CBA"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101 614 141,4</w:t>
            </w:r>
          </w:p>
        </w:tc>
        <w:tc>
          <w:tcPr>
            <w:tcW w:w="1429" w:type="dxa"/>
            <w:tcBorders>
              <w:top w:val="nil"/>
              <w:left w:val="nil"/>
              <w:bottom w:val="nil"/>
              <w:right w:val="nil"/>
            </w:tcBorders>
            <w:shd w:val="clear" w:color="auto" w:fill="auto"/>
            <w:noWrap/>
            <w:vAlign w:val="center"/>
            <w:hideMark/>
          </w:tcPr>
          <w:p w14:paraId="41587AEA"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102 717 396,2</w:t>
            </w:r>
          </w:p>
        </w:tc>
        <w:tc>
          <w:tcPr>
            <w:tcW w:w="1009" w:type="dxa"/>
            <w:tcBorders>
              <w:top w:val="nil"/>
              <w:left w:val="nil"/>
              <w:bottom w:val="nil"/>
              <w:right w:val="nil"/>
            </w:tcBorders>
            <w:shd w:val="clear" w:color="auto" w:fill="auto"/>
            <w:noWrap/>
            <w:vAlign w:val="center"/>
            <w:hideMark/>
          </w:tcPr>
          <w:p w14:paraId="7A7039B2"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101,1</w:t>
            </w:r>
          </w:p>
        </w:tc>
      </w:tr>
      <w:tr w:rsidR="00295058" w:rsidRPr="005C53F5" w14:paraId="298EC2F4" w14:textId="77777777" w:rsidTr="00A61372">
        <w:trPr>
          <w:trHeight w:val="210"/>
        </w:trPr>
        <w:tc>
          <w:tcPr>
            <w:tcW w:w="5604" w:type="dxa"/>
            <w:tcBorders>
              <w:top w:val="nil"/>
              <w:left w:val="nil"/>
              <w:bottom w:val="nil"/>
              <w:right w:val="nil"/>
            </w:tcBorders>
            <w:shd w:val="clear" w:color="auto" w:fill="auto"/>
            <w:vAlign w:val="center"/>
            <w:hideMark/>
          </w:tcPr>
          <w:p w14:paraId="603A28D8"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IV. САЛЬДО ПО ОПЕРАЦИЯМ С ФИНАНСОВЫМИ АКТИВАМИ</w:t>
            </w:r>
          </w:p>
        </w:tc>
        <w:tc>
          <w:tcPr>
            <w:tcW w:w="1597" w:type="dxa"/>
            <w:tcBorders>
              <w:top w:val="nil"/>
              <w:left w:val="nil"/>
              <w:bottom w:val="nil"/>
              <w:right w:val="nil"/>
            </w:tcBorders>
            <w:shd w:val="clear" w:color="auto" w:fill="auto"/>
            <w:noWrap/>
            <w:vAlign w:val="center"/>
            <w:hideMark/>
          </w:tcPr>
          <w:p w14:paraId="323DCB53"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330 604 335,9</w:t>
            </w:r>
          </w:p>
        </w:tc>
        <w:tc>
          <w:tcPr>
            <w:tcW w:w="1429" w:type="dxa"/>
            <w:tcBorders>
              <w:top w:val="nil"/>
              <w:left w:val="nil"/>
              <w:bottom w:val="nil"/>
              <w:right w:val="nil"/>
            </w:tcBorders>
            <w:shd w:val="clear" w:color="auto" w:fill="auto"/>
            <w:noWrap/>
            <w:vAlign w:val="center"/>
            <w:hideMark/>
          </w:tcPr>
          <w:p w14:paraId="07ADF55D"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328 754 504,8</w:t>
            </w:r>
          </w:p>
        </w:tc>
        <w:tc>
          <w:tcPr>
            <w:tcW w:w="1009" w:type="dxa"/>
            <w:tcBorders>
              <w:top w:val="nil"/>
              <w:left w:val="nil"/>
              <w:bottom w:val="nil"/>
              <w:right w:val="nil"/>
            </w:tcBorders>
            <w:shd w:val="clear" w:color="auto" w:fill="auto"/>
            <w:noWrap/>
            <w:vAlign w:val="center"/>
            <w:hideMark/>
          </w:tcPr>
          <w:p w14:paraId="37AAABD4"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p>
        </w:tc>
      </w:tr>
      <w:tr w:rsidR="00295058" w:rsidRPr="005C53F5" w14:paraId="0AF25264" w14:textId="77777777" w:rsidTr="00A61372">
        <w:trPr>
          <w:trHeight w:val="210"/>
        </w:trPr>
        <w:tc>
          <w:tcPr>
            <w:tcW w:w="5604" w:type="dxa"/>
            <w:tcBorders>
              <w:top w:val="nil"/>
              <w:left w:val="nil"/>
              <w:bottom w:val="nil"/>
              <w:right w:val="nil"/>
            </w:tcBorders>
            <w:shd w:val="clear" w:color="auto" w:fill="auto"/>
            <w:vAlign w:val="center"/>
            <w:hideMark/>
          </w:tcPr>
          <w:p w14:paraId="64D9C36F"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ПРИОБРЕТЕНИЕ ФИНАНСОВЫХ АКТИВОВ</w:t>
            </w:r>
          </w:p>
        </w:tc>
        <w:tc>
          <w:tcPr>
            <w:tcW w:w="1597" w:type="dxa"/>
            <w:tcBorders>
              <w:top w:val="nil"/>
              <w:left w:val="nil"/>
              <w:bottom w:val="nil"/>
              <w:right w:val="nil"/>
            </w:tcBorders>
            <w:shd w:val="clear" w:color="auto" w:fill="auto"/>
            <w:noWrap/>
            <w:vAlign w:val="center"/>
            <w:hideMark/>
          </w:tcPr>
          <w:p w14:paraId="112B6D64"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340 081 549,2</w:t>
            </w:r>
          </w:p>
        </w:tc>
        <w:tc>
          <w:tcPr>
            <w:tcW w:w="1429" w:type="dxa"/>
            <w:tcBorders>
              <w:top w:val="nil"/>
              <w:left w:val="nil"/>
              <w:bottom w:val="nil"/>
              <w:right w:val="nil"/>
            </w:tcBorders>
            <w:shd w:val="clear" w:color="auto" w:fill="auto"/>
            <w:noWrap/>
            <w:vAlign w:val="center"/>
            <w:hideMark/>
          </w:tcPr>
          <w:p w14:paraId="4A1056AA"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339 932 059,6</w:t>
            </w:r>
          </w:p>
        </w:tc>
        <w:tc>
          <w:tcPr>
            <w:tcW w:w="1009" w:type="dxa"/>
            <w:tcBorders>
              <w:top w:val="nil"/>
              <w:left w:val="nil"/>
              <w:bottom w:val="nil"/>
              <w:right w:val="nil"/>
            </w:tcBorders>
            <w:shd w:val="clear" w:color="auto" w:fill="auto"/>
            <w:noWrap/>
            <w:vAlign w:val="center"/>
            <w:hideMark/>
          </w:tcPr>
          <w:p w14:paraId="6FD9A094"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100,0</w:t>
            </w:r>
          </w:p>
        </w:tc>
      </w:tr>
      <w:tr w:rsidR="00295058" w:rsidRPr="005C53F5" w14:paraId="24535DD2" w14:textId="77777777" w:rsidTr="00A61372">
        <w:trPr>
          <w:trHeight w:val="225"/>
        </w:trPr>
        <w:tc>
          <w:tcPr>
            <w:tcW w:w="5604" w:type="dxa"/>
            <w:tcBorders>
              <w:top w:val="nil"/>
              <w:left w:val="nil"/>
              <w:bottom w:val="nil"/>
              <w:right w:val="nil"/>
            </w:tcBorders>
            <w:shd w:val="clear" w:color="auto" w:fill="auto"/>
            <w:vAlign w:val="center"/>
            <w:hideMark/>
          </w:tcPr>
          <w:p w14:paraId="0D4F8D4A"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Государственные услуги общего характера</w:t>
            </w:r>
          </w:p>
        </w:tc>
        <w:tc>
          <w:tcPr>
            <w:tcW w:w="1597" w:type="dxa"/>
            <w:tcBorders>
              <w:top w:val="nil"/>
              <w:left w:val="nil"/>
              <w:bottom w:val="nil"/>
              <w:right w:val="nil"/>
            </w:tcBorders>
            <w:shd w:val="clear" w:color="auto" w:fill="auto"/>
            <w:noWrap/>
            <w:vAlign w:val="center"/>
            <w:hideMark/>
          </w:tcPr>
          <w:p w14:paraId="3FEC03E2"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11 750 444,0</w:t>
            </w:r>
          </w:p>
        </w:tc>
        <w:tc>
          <w:tcPr>
            <w:tcW w:w="1429" w:type="dxa"/>
            <w:tcBorders>
              <w:top w:val="nil"/>
              <w:left w:val="nil"/>
              <w:bottom w:val="nil"/>
              <w:right w:val="nil"/>
            </w:tcBorders>
            <w:shd w:val="clear" w:color="auto" w:fill="auto"/>
            <w:noWrap/>
            <w:vAlign w:val="center"/>
            <w:hideMark/>
          </w:tcPr>
          <w:p w14:paraId="5C5DD130"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11 750 443,0</w:t>
            </w:r>
          </w:p>
        </w:tc>
        <w:tc>
          <w:tcPr>
            <w:tcW w:w="1009" w:type="dxa"/>
            <w:tcBorders>
              <w:top w:val="nil"/>
              <w:left w:val="nil"/>
              <w:bottom w:val="nil"/>
              <w:right w:val="nil"/>
            </w:tcBorders>
            <w:shd w:val="clear" w:color="auto" w:fill="auto"/>
            <w:noWrap/>
            <w:vAlign w:val="center"/>
            <w:hideMark/>
          </w:tcPr>
          <w:p w14:paraId="162F0159"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3DD4C9DE" w14:textId="77777777" w:rsidTr="00A61372">
        <w:trPr>
          <w:trHeight w:val="225"/>
        </w:trPr>
        <w:tc>
          <w:tcPr>
            <w:tcW w:w="5604" w:type="dxa"/>
            <w:tcBorders>
              <w:top w:val="nil"/>
              <w:left w:val="nil"/>
              <w:bottom w:val="nil"/>
              <w:right w:val="nil"/>
            </w:tcBorders>
            <w:shd w:val="clear" w:color="auto" w:fill="auto"/>
            <w:vAlign w:val="center"/>
            <w:hideMark/>
          </w:tcPr>
          <w:p w14:paraId="2D42F464"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Оборона</w:t>
            </w:r>
          </w:p>
        </w:tc>
        <w:tc>
          <w:tcPr>
            <w:tcW w:w="1597" w:type="dxa"/>
            <w:tcBorders>
              <w:top w:val="nil"/>
              <w:left w:val="nil"/>
              <w:bottom w:val="nil"/>
              <w:right w:val="nil"/>
            </w:tcBorders>
            <w:shd w:val="clear" w:color="auto" w:fill="auto"/>
            <w:noWrap/>
            <w:vAlign w:val="center"/>
            <w:hideMark/>
          </w:tcPr>
          <w:p w14:paraId="7CA67585"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10 178 220,0</w:t>
            </w:r>
          </w:p>
        </w:tc>
        <w:tc>
          <w:tcPr>
            <w:tcW w:w="1429" w:type="dxa"/>
            <w:tcBorders>
              <w:top w:val="nil"/>
              <w:left w:val="nil"/>
              <w:bottom w:val="nil"/>
              <w:right w:val="nil"/>
            </w:tcBorders>
            <w:shd w:val="clear" w:color="auto" w:fill="auto"/>
            <w:noWrap/>
            <w:vAlign w:val="center"/>
            <w:hideMark/>
          </w:tcPr>
          <w:p w14:paraId="18F75D50"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10 178 220,0</w:t>
            </w:r>
          </w:p>
        </w:tc>
        <w:tc>
          <w:tcPr>
            <w:tcW w:w="1009" w:type="dxa"/>
            <w:tcBorders>
              <w:top w:val="nil"/>
              <w:left w:val="nil"/>
              <w:bottom w:val="nil"/>
              <w:right w:val="nil"/>
            </w:tcBorders>
            <w:shd w:val="clear" w:color="auto" w:fill="auto"/>
            <w:noWrap/>
            <w:vAlign w:val="center"/>
            <w:hideMark/>
          </w:tcPr>
          <w:p w14:paraId="64C3926A"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114819E0" w14:textId="77777777" w:rsidTr="00A61372">
        <w:trPr>
          <w:trHeight w:val="225"/>
        </w:trPr>
        <w:tc>
          <w:tcPr>
            <w:tcW w:w="5604" w:type="dxa"/>
            <w:tcBorders>
              <w:top w:val="nil"/>
              <w:left w:val="nil"/>
              <w:bottom w:val="nil"/>
              <w:right w:val="nil"/>
            </w:tcBorders>
            <w:shd w:val="clear" w:color="auto" w:fill="auto"/>
            <w:vAlign w:val="center"/>
            <w:hideMark/>
          </w:tcPr>
          <w:p w14:paraId="27512FED"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Образование</w:t>
            </w:r>
          </w:p>
        </w:tc>
        <w:tc>
          <w:tcPr>
            <w:tcW w:w="1597" w:type="dxa"/>
            <w:tcBorders>
              <w:top w:val="nil"/>
              <w:left w:val="nil"/>
              <w:bottom w:val="nil"/>
              <w:right w:val="nil"/>
            </w:tcBorders>
            <w:shd w:val="clear" w:color="auto" w:fill="auto"/>
            <w:noWrap/>
            <w:vAlign w:val="center"/>
            <w:hideMark/>
          </w:tcPr>
          <w:p w14:paraId="70A86E9C"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790 957,0</w:t>
            </w:r>
          </w:p>
        </w:tc>
        <w:tc>
          <w:tcPr>
            <w:tcW w:w="1429" w:type="dxa"/>
            <w:tcBorders>
              <w:top w:val="nil"/>
              <w:left w:val="nil"/>
              <w:bottom w:val="nil"/>
              <w:right w:val="nil"/>
            </w:tcBorders>
            <w:shd w:val="clear" w:color="auto" w:fill="auto"/>
            <w:noWrap/>
            <w:vAlign w:val="center"/>
            <w:hideMark/>
          </w:tcPr>
          <w:p w14:paraId="08A85CDF"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790 956,6</w:t>
            </w:r>
          </w:p>
        </w:tc>
        <w:tc>
          <w:tcPr>
            <w:tcW w:w="1009" w:type="dxa"/>
            <w:tcBorders>
              <w:top w:val="nil"/>
              <w:left w:val="nil"/>
              <w:bottom w:val="nil"/>
              <w:right w:val="nil"/>
            </w:tcBorders>
            <w:shd w:val="clear" w:color="auto" w:fill="auto"/>
            <w:noWrap/>
            <w:vAlign w:val="center"/>
            <w:hideMark/>
          </w:tcPr>
          <w:p w14:paraId="3DFF96C7"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428937C9" w14:textId="77777777" w:rsidTr="00A61372">
        <w:trPr>
          <w:trHeight w:val="225"/>
        </w:trPr>
        <w:tc>
          <w:tcPr>
            <w:tcW w:w="5604" w:type="dxa"/>
            <w:tcBorders>
              <w:top w:val="nil"/>
              <w:left w:val="nil"/>
              <w:bottom w:val="nil"/>
              <w:right w:val="nil"/>
            </w:tcBorders>
            <w:shd w:val="clear" w:color="auto" w:fill="auto"/>
            <w:vAlign w:val="center"/>
            <w:hideMark/>
          </w:tcPr>
          <w:p w14:paraId="16156817"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Жилищно-коммунальное хозяйство</w:t>
            </w:r>
          </w:p>
        </w:tc>
        <w:tc>
          <w:tcPr>
            <w:tcW w:w="1597" w:type="dxa"/>
            <w:tcBorders>
              <w:top w:val="nil"/>
              <w:left w:val="nil"/>
              <w:bottom w:val="nil"/>
              <w:right w:val="nil"/>
            </w:tcBorders>
            <w:shd w:val="clear" w:color="auto" w:fill="auto"/>
            <w:noWrap/>
            <w:vAlign w:val="center"/>
            <w:hideMark/>
          </w:tcPr>
          <w:p w14:paraId="4E46F94B"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16 099 483,0</w:t>
            </w:r>
          </w:p>
        </w:tc>
        <w:tc>
          <w:tcPr>
            <w:tcW w:w="1429" w:type="dxa"/>
            <w:tcBorders>
              <w:top w:val="nil"/>
              <w:left w:val="nil"/>
              <w:bottom w:val="nil"/>
              <w:right w:val="nil"/>
            </w:tcBorders>
            <w:shd w:val="clear" w:color="auto" w:fill="auto"/>
            <w:noWrap/>
            <w:vAlign w:val="center"/>
            <w:hideMark/>
          </w:tcPr>
          <w:p w14:paraId="13D6A244"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16 099 413,4</w:t>
            </w:r>
          </w:p>
        </w:tc>
        <w:tc>
          <w:tcPr>
            <w:tcW w:w="1009" w:type="dxa"/>
            <w:tcBorders>
              <w:top w:val="nil"/>
              <w:left w:val="nil"/>
              <w:bottom w:val="nil"/>
              <w:right w:val="nil"/>
            </w:tcBorders>
            <w:shd w:val="clear" w:color="auto" w:fill="auto"/>
            <w:noWrap/>
            <w:vAlign w:val="center"/>
            <w:hideMark/>
          </w:tcPr>
          <w:p w14:paraId="2C1BD363"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0AEA2632" w14:textId="77777777" w:rsidTr="00A61372">
        <w:trPr>
          <w:trHeight w:val="675"/>
        </w:trPr>
        <w:tc>
          <w:tcPr>
            <w:tcW w:w="5604" w:type="dxa"/>
            <w:tcBorders>
              <w:top w:val="nil"/>
              <w:left w:val="nil"/>
              <w:bottom w:val="nil"/>
              <w:right w:val="nil"/>
            </w:tcBorders>
            <w:shd w:val="clear" w:color="auto" w:fill="auto"/>
            <w:vAlign w:val="center"/>
            <w:hideMark/>
          </w:tcPr>
          <w:p w14:paraId="252DE40D"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597" w:type="dxa"/>
            <w:tcBorders>
              <w:top w:val="nil"/>
              <w:left w:val="nil"/>
              <w:bottom w:val="nil"/>
              <w:right w:val="nil"/>
            </w:tcBorders>
            <w:shd w:val="clear" w:color="auto" w:fill="auto"/>
            <w:noWrap/>
            <w:vAlign w:val="center"/>
            <w:hideMark/>
          </w:tcPr>
          <w:p w14:paraId="6C928BE1"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23 210 750,0</w:t>
            </w:r>
          </w:p>
        </w:tc>
        <w:tc>
          <w:tcPr>
            <w:tcW w:w="1429" w:type="dxa"/>
            <w:tcBorders>
              <w:top w:val="nil"/>
              <w:left w:val="nil"/>
              <w:bottom w:val="nil"/>
              <w:right w:val="nil"/>
            </w:tcBorders>
            <w:shd w:val="clear" w:color="auto" w:fill="auto"/>
            <w:noWrap/>
            <w:vAlign w:val="center"/>
            <w:hideMark/>
          </w:tcPr>
          <w:p w14:paraId="4D0D29AE"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23 210 750,0</w:t>
            </w:r>
          </w:p>
        </w:tc>
        <w:tc>
          <w:tcPr>
            <w:tcW w:w="1009" w:type="dxa"/>
            <w:tcBorders>
              <w:top w:val="nil"/>
              <w:left w:val="nil"/>
              <w:bottom w:val="nil"/>
              <w:right w:val="nil"/>
            </w:tcBorders>
            <w:shd w:val="clear" w:color="auto" w:fill="auto"/>
            <w:noWrap/>
            <w:vAlign w:val="center"/>
            <w:hideMark/>
          </w:tcPr>
          <w:p w14:paraId="0D04C444"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61CCFF3E" w14:textId="77777777" w:rsidTr="00A61372">
        <w:trPr>
          <w:trHeight w:val="450"/>
        </w:trPr>
        <w:tc>
          <w:tcPr>
            <w:tcW w:w="5604" w:type="dxa"/>
            <w:tcBorders>
              <w:top w:val="nil"/>
              <w:left w:val="nil"/>
              <w:bottom w:val="nil"/>
              <w:right w:val="nil"/>
            </w:tcBorders>
            <w:shd w:val="clear" w:color="auto" w:fill="auto"/>
            <w:vAlign w:val="center"/>
            <w:hideMark/>
          </w:tcPr>
          <w:p w14:paraId="53C7F633"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Промышленность, архитектурная, градостроительная и строительная деятельность</w:t>
            </w:r>
          </w:p>
        </w:tc>
        <w:tc>
          <w:tcPr>
            <w:tcW w:w="1597" w:type="dxa"/>
            <w:tcBorders>
              <w:top w:val="nil"/>
              <w:left w:val="nil"/>
              <w:bottom w:val="nil"/>
              <w:right w:val="nil"/>
            </w:tcBorders>
            <w:shd w:val="clear" w:color="auto" w:fill="auto"/>
            <w:noWrap/>
            <w:vAlign w:val="center"/>
            <w:hideMark/>
          </w:tcPr>
          <w:p w14:paraId="393CD88C"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20 000 000,0</w:t>
            </w:r>
          </w:p>
        </w:tc>
        <w:tc>
          <w:tcPr>
            <w:tcW w:w="1429" w:type="dxa"/>
            <w:tcBorders>
              <w:top w:val="nil"/>
              <w:left w:val="nil"/>
              <w:bottom w:val="nil"/>
              <w:right w:val="nil"/>
            </w:tcBorders>
            <w:shd w:val="clear" w:color="auto" w:fill="auto"/>
            <w:noWrap/>
            <w:vAlign w:val="center"/>
            <w:hideMark/>
          </w:tcPr>
          <w:p w14:paraId="6E4C3A6A"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20 000 000,0</w:t>
            </w:r>
          </w:p>
        </w:tc>
        <w:tc>
          <w:tcPr>
            <w:tcW w:w="1009" w:type="dxa"/>
            <w:tcBorders>
              <w:top w:val="nil"/>
              <w:left w:val="nil"/>
              <w:bottom w:val="nil"/>
              <w:right w:val="nil"/>
            </w:tcBorders>
            <w:shd w:val="clear" w:color="auto" w:fill="auto"/>
            <w:noWrap/>
            <w:vAlign w:val="center"/>
            <w:hideMark/>
          </w:tcPr>
          <w:p w14:paraId="7D69E040"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02DA410A" w14:textId="77777777" w:rsidTr="00A61372">
        <w:trPr>
          <w:trHeight w:val="225"/>
        </w:trPr>
        <w:tc>
          <w:tcPr>
            <w:tcW w:w="5604" w:type="dxa"/>
            <w:tcBorders>
              <w:top w:val="nil"/>
              <w:left w:val="nil"/>
              <w:bottom w:val="nil"/>
              <w:right w:val="nil"/>
            </w:tcBorders>
            <w:shd w:val="clear" w:color="auto" w:fill="auto"/>
            <w:vAlign w:val="center"/>
            <w:hideMark/>
          </w:tcPr>
          <w:p w14:paraId="1068E171"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Транспорт и коммуникации</w:t>
            </w:r>
          </w:p>
        </w:tc>
        <w:tc>
          <w:tcPr>
            <w:tcW w:w="1597" w:type="dxa"/>
            <w:tcBorders>
              <w:top w:val="nil"/>
              <w:left w:val="nil"/>
              <w:bottom w:val="nil"/>
              <w:right w:val="nil"/>
            </w:tcBorders>
            <w:shd w:val="clear" w:color="auto" w:fill="auto"/>
            <w:noWrap/>
            <w:vAlign w:val="center"/>
            <w:hideMark/>
          </w:tcPr>
          <w:p w14:paraId="229D5F74"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111 451 081,0</w:t>
            </w:r>
          </w:p>
        </w:tc>
        <w:tc>
          <w:tcPr>
            <w:tcW w:w="1429" w:type="dxa"/>
            <w:tcBorders>
              <w:top w:val="nil"/>
              <w:left w:val="nil"/>
              <w:bottom w:val="nil"/>
              <w:right w:val="nil"/>
            </w:tcBorders>
            <w:shd w:val="clear" w:color="auto" w:fill="auto"/>
            <w:noWrap/>
            <w:vAlign w:val="center"/>
            <w:hideMark/>
          </w:tcPr>
          <w:p w14:paraId="0A63AFD9"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111 451 080,0</w:t>
            </w:r>
          </w:p>
        </w:tc>
        <w:tc>
          <w:tcPr>
            <w:tcW w:w="1009" w:type="dxa"/>
            <w:tcBorders>
              <w:top w:val="nil"/>
              <w:left w:val="nil"/>
              <w:bottom w:val="nil"/>
              <w:right w:val="nil"/>
            </w:tcBorders>
            <w:shd w:val="clear" w:color="auto" w:fill="auto"/>
            <w:noWrap/>
            <w:vAlign w:val="center"/>
            <w:hideMark/>
          </w:tcPr>
          <w:p w14:paraId="2D5DCEFB"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100,0</w:t>
            </w:r>
          </w:p>
        </w:tc>
      </w:tr>
      <w:tr w:rsidR="00295058" w:rsidRPr="005C53F5" w14:paraId="22D6F5C7" w14:textId="77777777" w:rsidTr="00A61372">
        <w:trPr>
          <w:trHeight w:val="225"/>
        </w:trPr>
        <w:tc>
          <w:tcPr>
            <w:tcW w:w="5604" w:type="dxa"/>
            <w:tcBorders>
              <w:top w:val="nil"/>
              <w:left w:val="nil"/>
              <w:bottom w:val="nil"/>
              <w:right w:val="nil"/>
            </w:tcBorders>
            <w:shd w:val="clear" w:color="auto" w:fill="auto"/>
            <w:vAlign w:val="center"/>
            <w:hideMark/>
          </w:tcPr>
          <w:p w14:paraId="09FDC58C"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Прочие</w:t>
            </w:r>
          </w:p>
        </w:tc>
        <w:tc>
          <w:tcPr>
            <w:tcW w:w="1597" w:type="dxa"/>
            <w:tcBorders>
              <w:top w:val="nil"/>
              <w:left w:val="nil"/>
              <w:bottom w:val="nil"/>
              <w:right w:val="nil"/>
            </w:tcBorders>
            <w:shd w:val="clear" w:color="auto" w:fill="auto"/>
            <w:noWrap/>
            <w:vAlign w:val="center"/>
            <w:hideMark/>
          </w:tcPr>
          <w:p w14:paraId="67904614"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146 600 614,2</w:t>
            </w:r>
          </w:p>
        </w:tc>
        <w:tc>
          <w:tcPr>
            <w:tcW w:w="1429" w:type="dxa"/>
            <w:tcBorders>
              <w:top w:val="nil"/>
              <w:left w:val="nil"/>
              <w:bottom w:val="nil"/>
              <w:right w:val="nil"/>
            </w:tcBorders>
            <w:shd w:val="clear" w:color="auto" w:fill="auto"/>
            <w:noWrap/>
            <w:vAlign w:val="center"/>
            <w:hideMark/>
          </w:tcPr>
          <w:p w14:paraId="24DD6345"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146 451 196,7</w:t>
            </w:r>
          </w:p>
        </w:tc>
        <w:tc>
          <w:tcPr>
            <w:tcW w:w="1009" w:type="dxa"/>
            <w:tcBorders>
              <w:top w:val="nil"/>
              <w:left w:val="nil"/>
              <w:bottom w:val="nil"/>
              <w:right w:val="nil"/>
            </w:tcBorders>
            <w:shd w:val="clear" w:color="auto" w:fill="auto"/>
            <w:noWrap/>
            <w:vAlign w:val="center"/>
            <w:hideMark/>
          </w:tcPr>
          <w:p w14:paraId="5C361BD7"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99,9</w:t>
            </w:r>
          </w:p>
        </w:tc>
      </w:tr>
      <w:tr w:rsidR="00295058" w:rsidRPr="005C53F5" w14:paraId="61049508" w14:textId="77777777" w:rsidTr="00A61372">
        <w:trPr>
          <w:trHeight w:val="420"/>
        </w:trPr>
        <w:tc>
          <w:tcPr>
            <w:tcW w:w="5604" w:type="dxa"/>
            <w:tcBorders>
              <w:top w:val="nil"/>
              <w:left w:val="nil"/>
              <w:bottom w:val="nil"/>
              <w:right w:val="nil"/>
            </w:tcBorders>
            <w:shd w:val="clear" w:color="auto" w:fill="auto"/>
            <w:vAlign w:val="center"/>
            <w:hideMark/>
          </w:tcPr>
          <w:p w14:paraId="2B9F91A3"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ПОСТУПЛЕНИЯ ОТ ПРОДАЖИ ФИНАНСОВЫХ АКТИВОВ ГОСУДАРСТВА</w:t>
            </w:r>
          </w:p>
        </w:tc>
        <w:tc>
          <w:tcPr>
            <w:tcW w:w="1597" w:type="dxa"/>
            <w:tcBorders>
              <w:top w:val="nil"/>
              <w:left w:val="nil"/>
              <w:bottom w:val="nil"/>
              <w:right w:val="nil"/>
            </w:tcBorders>
            <w:shd w:val="clear" w:color="auto" w:fill="auto"/>
            <w:noWrap/>
            <w:vAlign w:val="center"/>
            <w:hideMark/>
          </w:tcPr>
          <w:p w14:paraId="23A2D27D"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9 477 213,3</w:t>
            </w:r>
          </w:p>
        </w:tc>
        <w:tc>
          <w:tcPr>
            <w:tcW w:w="1429" w:type="dxa"/>
            <w:tcBorders>
              <w:top w:val="nil"/>
              <w:left w:val="nil"/>
              <w:bottom w:val="nil"/>
              <w:right w:val="nil"/>
            </w:tcBorders>
            <w:shd w:val="clear" w:color="auto" w:fill="auto"/>
            <w:noWrap/>
            <w:vAlign w:val="center"/>
            <w:hideMark/>
          </w:tcPr>
          <w:p w14:paraId="3871C8B2"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11 177 554,9</w:t>
            </w:r>
          </w:p>
        </w:tc>
        <w:tc>
          <w:tcPr>
            <w:tcW w:w="1009" w:type="dxa"/>
            <w:tcBorders>
              <w:top w:val="nil"/>
              <w:left w:val="nil"/>
              <w:bottom w:val="nil"/>
              <w:right w:val="nil"/>
            </w:tcBorders>
            <w:shd w:val="clear" w:color="auto" w:fill="auto"/>
            <w:noWrap/>
            <w:vAlign w:val="center"/>
            <w:hideMark/>
          </w:tcPr>
          <w:p w14:paraId="002D32DA"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117,9</w:t>
            </w:r>
          </w:p>
        </w:tc>
      </w:tr>
      <w:tr w:rsidR="00295058" w:rsidRPr="005C53F5" w14:paraId="36FA12BC" w14:textId="77777777" w:rsidTr="00A61372">
        <w:trPr>
          <w:trHeight w:val="225"/>
        </w:trPr>
        <w:tc>
          <w:tcPr>
            <w:tcW w:w="5604" w:type="dxa"/>
            <w:tcBorders>
              <w:top w:val="nil"/>
              <w:left w:val="nil"/>
              <w:bottom w:val="nil"/>
              <w:right w:val="nil"/>
            </w:tcBorders>
            <w:shd w:val="clear" w:color="auto" w:fill="auto"/>
            <w:vAlign w:val="center"/>
            <w:hideMark/>
          </w:tcPr>
          <w:p w14:paraId="07D64AD3"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от продажи финансовых активов государства</w:t>
            </w:r>
          </w:p>
        </w:tc>
        <w:tc>
          <w:tcPr>
            <w:tcW w:w="1597" w:type="dxa"/>
            <w:tcBorders>
              <w:top w:val="nil"/>
              <w:left w:val="nil"/>
              <w:bottom w:val="nil"/>
              <w:right w:val="nil"/>
            </w:tcBorders>
            <w:shd w:val="clear" w:color="auto" w:fill="auto"/>
            <w:noWrap/>
            <w:vAlign w:val="center"/>
            <w:hideMark/>
          </w:tcPr>
          <w:p w14:paraId="43012644"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9 477 213,3</w:t>
            </w:r>
          </w:p>
        </w:tc>
        <w:tc>
          <w:tcPr>
            <w:tcW w:w="1429" w:type="dxa"/>
            <w:tcBorders>
              <w:top w:val="nil"/>
              <w:left w:val="nil"/>
              <w:bottom w:val="nil"/>
              <w:right w:val="nil"/>
            </w:tcBorders>
            <w:shd w:val="clear" w:color="auto" w:fill="auto"/>
            <w:noWrap/>
            <w:vAlign w:val="center"/>
            <w:hideMark/>
          </w:tcPr>
          <w:p w14:paraId="1E25DF96"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11 177 554,9</w:t>
            </w:r>
          </w:p>
        </w:tc>
        <w:tc>
          <w:tcPr>
            <w:tcW w:w="1009" w:type="dxa"/>
            <w:tcBorders>
              <w:top w:val="nil"/>
              <w:left w:val="nil"/>
              <w:bottom w:val="nil"/>
              <w:right w:val="nil"/>
            </w:tcBorders>
            <w:shd w:val="clear" w:color="auto" w:fill="auto"/>
            <w:noWrap/>
            <w:vAlign w:val="center"/>
            <w:hideMark/>
          </w:tcPr>
          <w:p w14:paraId="2DFF5203"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117,9</w:t>
            </w:r>
          </w:p>
        </w:tc>
      </w:tr>
      <w:tr w:rsidR="00295058" w:rsidRPr="005C53F5" w14:paraId="191F5495" w14:textId="77777777" w:rsidTr="00A61372">
        <w:trPr>
          <w:trHeight w:val="210"/>
        </w:trPr>
        <w:tc>
          <w:tcPr>
            <w:tcW w:w="5604" w:type="dxa"/>
            <w:tcBorders>
              <w:top w:val="nil"/>
              <w:left w:val="nil"/>
              <w:bottom w:val="nil"/>
              <w:right w:val="nil"/>
            </w:tcBorders>
            <w:shd w:val="clear" w:color="auto" w:fill="auto"/>
            <w:vAlign w:val="center"/>
            <w:hideMark/>
          </w:tcPr>
          <w:p w14:paraId="32AD8160"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V. ДЕФИЦИТ (ПРОФИЦИТ) БЮДЖЕТА</w:t>
            </w:r>
          </w:p>
        </w:tc>
        <w:tc>
          <w:tcPr>
            <w:tcW w:w="1597" w:type="dxa"/>
            <w:tcBorders>
              <w:top w:val="nil"/>
              <w:left w:val="nil"/>
              <w:bottom w:val="nil"/>
              <w:right w:val="nil"/>
            </w:tcBorders>
            <w:shd w:val="clear" w:color="auto" w:fill="auto"/>
            <w:noWrap/>
            <w:vAlign w:val="center"/>
            <w:hideMark/>
          </w:tcPr>
          <w:p w14:paraId="454919DD"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-4 121 308 662,9</w:t>
            </w:r>
          </w:p>
        </w:tc>
        <w:tc>
          <w:tcPr>
            <w:tcW w:w="1429" w:type="dxa"/>
            <w:tcBorders>
              <w:top w:val="nil"/>
              <w:left w:val="nil"/>
              <w:bottom w:val="nil"/>
              <w:right w:val="nil"/>
            </w:tcBorders>
            <w:shd w:val="clear" w:color="auto" w:fill="auto"/>
            <w:noWrap/>
            <w:vAlign w:val="center"/>
            <w:hideMark/>
          </w:tcPr>
          <w:p w14:paraId="207212E5"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-2 396 418 807,9</w:t>
            </w:r>
          </w:p>
        </w:tc>
        <w:tc>
          <w:tcPr>
            <w:tcW w:w="1009" w:type="dxa"/>
            <w:tcBorders>
              <w:top w:val="nil"/>
              <w:left w:val="nil"/>
              <w:bottom w:val="nil"/>
              <w:right w:val="nil"/>
            </w:tcBorders>
            <w:shd w:val="clear" w:color="auto" w:fill="auto"/>
            <w:noWrap/>
            <w:vAlign w:val="center"/>
            <w:hideMark/>
          </w:tcPr>
          <w:p w14:paraId="534BAC57"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p>
        </w:tc>
      </w:tr>
      <w:tr w:rsidR="00295058" w:rsidRPr="005C53F5" w14:paraId="790F2442" w14:textId="77777777" w:rsidTr="00A61372">
        <w:trPr>
          <w:trHeight w:val="420"/>
        </w:trPr>
        <w:tc>
          <w:tcPr>
            <w:tcW w:w="5604" w:type="dxa"/>
            <w:tcBorders>
              <w:top w:val="nil"/>
              <w:left w:val="nil"/>
              <w:bottom w:val="nil"/>
              <w:right w:val="nil"/>
            </w:tcBorders>
            <w:shd w:val="clear" w:color="auto" w:fill="auto"/>
            <w:vAlign w:val="center"/>
            <w:hideMark/>
          </w:tcPr>
          <w:p w14:paraId="61FC9CD6"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VI. ФИНАНСИРОВАНИЕ ДЕФИЦИТА (ИСПОЛЬЗОВАНИЕ ПРОФИЦИТА) БЮДЖЕТА</w:t>
            </w:r>
          </w:p>
        </w:tc>
        <w:tc>
          <w:tcPr>
            <w:tcW w:w="1597" w:type="dxa"/>
            <w:tcBorders>
              <w:top w:val="nil"/>
              <w:left w:val="nil"/>
              <w:bottom w:val="nil"/>
              <w:right w:val="nil"/>
            </w:tcBorders>
            <w:shd w:val="clear" w:color="auto" w:fill="auto"/>
            <w:noWrap/>
            <w:vAlign w:val="center"/>
            <w:hideMark/>
          </w:tcPr>
          <w:p w14:paraId="3319AD3D"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4 121 308 662,9</w:t>
            </w:r>
          </w:p>
        </w:tc>
        <w:tc>
          <w:tcPr>
            <w:tcW w:w="1429" w:type="dxa"/>
            <w:tcBorders>
              <w:top w:val="nil"/>
              <w:left w:val="nil"/>
              <w:bottom w:val="nil"/>
              <w:right w:val="nil"/>
            </w:tcBorders>
            <w:shd w:val="clear" w:color="auto" w:fill="auto"/>
            <w:noWrap/>
            <w:vAlign w:val="center"/>
            <w:hideMark/>
          </w:tcPr>
          <w:p w14:paraId="7B17BB6C"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2 396 418 807,9</w:t>
            </w:r>
          </w:p>
        </w:tc>
        <w:tc>
          <w:tcPr>
            <w:tcW w:w="1009" w:type="dxa"/>
            <w:tcBorders>
              <w:top w:val="nil"/>
              <w:left w:val="nil"/>
              <w:bottom w:val="nil"/>
              <w:right w:val="nil"/>
            </w:tcBorders>
            <w:shd w:val="clear" w:color="auto" w:fill="auto"/>
            <w:noWrap/>
            <w:vAlign w:val="center"/>
            <w:hideMark/>
          </w:tcPr>
          <w:p w14:paraId="587E1C43"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p>
        </w:tc>
      </w:tr>
      <w:tr w:rsidR="00295058" w:rsidRPr="005C53F5" w14:paraId="7F2022A9" w14:textId="77777777" w:rsidTr="00A61372">
        <w:trPr>
          <w:trHeight w:val="210"/>
        </w:trPr>
        <w:tc>
          <w:tcPr>
            <w:tcW w:w="5604" w:type="dxa"/>
            <w:tcBorders>
              <w:top w:val="nil"/>
              <w:left w:val="nil"/>
              <w:bottom w:val="nil"/>
              <w:right w:val="nil"/>
            </w:tcBorders>
            <w:shd w:val="clear" w:color="auto" w:fill="auto"/>
            <w:vAlign w:val="center"/>
            <w:hideMark/>
          </w:tcPr>
          <w:p w14:paraId="54EEE3B9"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ПОСТУПЛЕНИЕ ЗАЙМОВ</w:t>
            </w:r>
          </w:p>
        </w:tc>
        <w:tc>
          <w:tcPr>
            <w:tcW w:w="1597" w:type="dxa"/>
            <w:tcBorders>
              <w:top w:val="nil"/>
              <w:left w:val="nil"/>
              <w:bottom w:val="nil"/>
              <w:right w:val="nil"/>
            </w:tcBorders>
            <w:shd w:val="clear" w:color="auto" w:fill="auto"/>
            <w:noWrap/>
            <w:vAlign w:val="center"/>
            <w:hideMark/>
          </w:tcPr>
          <w:p w14:paraId="6BA311D6"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1 809 819 200,0</w:t>
            </w:r>
          </w:p>
        </w:tc>
        <w:tc>
          <w:tcPr>
            <w:tcW w:w="1429" w:type="dxa"/>
            <w:tcBorders>
              <w:top w:val="nil"/>
              <w:left w:val="nil"/>
              <w:bottom w:val="nil"/>
              <w:right w:val="nil"/>
            </w:tcBorders>
            <w:shd w:val="clear" w:color="auto" w:fill="auto"/>
            <w:noWrap/>
            <w:vAlign w:val="center"/>
            <w:hideMark/>
          </w:tcPr>
          <w:p w14:paraId="69F03294"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1 805 068 255,3</w:t>
            </w:r>
          </w:p>
        </w:tc>
        <w:tc>
          <w:tcPr>
            <w:tcW w:w="1009" w:type="dxa"/>
            <w:tcBorders>
              <w:top w:val="nil"/>
              <w:left w:val="nil"/>
              <w:bottom w:val="nil"/>
              <w:right w:val="nil"/>
            </w:tcBorders>
            <w:shd w:val="clear" w:color="auto" w:fill="auto"/>
            <w:noWrap/>
            <w:vAlign w:val="center"/>
            <w:hideMark/>
          </w:tcPr>
          <w:p w14:paraId="3ED15113"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99,7</w:t>
            </w:r>
          </w:p>
        </w:tc>
      </w:tr>
      <w:tr w:rsidR="00295058" w:rsidRPr="005C53F5" w14:paraId="016D6189" w14:textId="77777777" w:rsidTr="00A61372">
        <w:trPr>
          <w:trHeight w:val="225"/>
        </w:trPr>
        <w:tc>
          <w:tcPr>
            <w:tcW w:w="5604" w:type="dxa"/>
            <w:tcBorders>
              <w:top w:val="nil"/>
              <w:left w:val="nil"/>
              <w:bottom w:val="nil"/>
              <w:right w:val="nil"/>
            </w:tcBorders>
            <w:shd w:val="clear" w:color="auto" w:fill="auto"/>
            <w:vAlign w:val="center"/>
            <w:hideMark/>
          </w:tcPr>
          <w:p w14:paraId="0EDEA8A8"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займов</w:t>
            </w:r>
          </w:p>
        </w:tc>
        <w:tc>
          <w:tcPr>
            <w:tcW w:w="1597" w:type="dxa"/>
            <w:tcBorders>
              <w:top w:val="nil"/>
              <w:left w:val="nil"/>
              <w:bottom w:val="nil"/>
              <w:right w:val="nil"/>
            </w:tcBorders>
            <w:shd w:val="clear" w:color="auto" w:fill="auto"/>
            <w:noWrap/>
            <w:vAlign w:val="center"/>
            <w:hideMark/>
          </w:tcPr>
          <w:p w14:paraId="0EF8E0DE"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1 809 819 200,0</w:t>
            </w:r>
          </w:p>
        </w:tc>
        <w:tc>
          <w:tcPr>
            <w:tcW w:w="1429" w:type="dxa"/>
            <w:tcBorders>
              <w:top w:val="nil"/>
              <w:left w:val="nil"/>
              <w:bottom w:val="nil"/>
              <w:right w:val="nil"/>
            </w:tcBorders>
            <w:shd w:val="clear" w:color="auto" w:fill="auto"/>
            <w:noWrap/>
            <w:vAlign w:val="center"/>
            <w:hideMark/>
          </w:tcPr>
          <w:p w14:paraId="7CD76216"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1 805 068 255,3</w:t>
            </w:r>
          </w:p>
        </w:tc>
        <w:tc>
          <w:tcPr>
            <w:tcW w:w="1009" w:type="dxa"/>
            <w:tcBorders>
              <w:top w:val="nil"/>
              <w:left w:val="nil"/>
              <w:bottom w:val="nil"/>
              <w:right w:val="nil"/>
            </w:tcBorders>
            <w:shd w:val="clear" w:color="auto" w:fill="auto"/>
            <w:noWrap/>
            <w:vAlign w:val="center"/>
            <w:hideMark/>
          </w:tcPr>
          <w:p w14:paraId="6DDAE418"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99,7</w:t>
            </w:r>
          </w:p>
        </w:tc>
      </w:tr>
      <w:tr w:rsidR="00295058" w:rsidRPr="005C53F5" w14:paraId="720D8259" w14:textId="77777777" w:rsidTr="00A61372">
        <w:trPr>
          <w:trHeight w:val="210"/>
        </w:trPr>
        <w:tc>
          <w:tcPr>
            <w:tcW w:w="5604" w:type="dxa"/>
            <w:tcBorders>
              <w:top w:val="nil"/>
              <w:left w:val="nil"/>
              <w:bottom w:val="nil"/>
              <w:right w:val="nil"/>
            </w:tcBorders>
            <w:shd w:val="clear" w:color="auto" w:fill="auto"/>
            <w:vAlign w:val="center"/>
            <w:hideMark/>
          </w:tcPr>
          <w:p w14:paraId="5C437F23"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ПОГАШЕНИЕ ЗАЙМОВ</w:t>
            </w:r>
          </w:p>
        </w:tc>
        <w:tc>
          <w:tcPr>
            <w:tcW w:w="1597" w:type="dxa"/>
            <w:tcBorders>
              <w:top w:val="nil"/>
              <w:left w:val="nil"/>
              <w:bottom w:val="nil"/>
              <w:right w:val="nil"/>
            </w:tcBorders>
            <w:shd w:val="clear" w:color="auto" w:fill="auto"/>
            <w:noWrap/>
            <w:vAlign w:val="center"/>
            <w:hideMark/>
          </w:tcPr>
          <w:p w14:paraId="24714EAA"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395 558 696,0</w:t>
            </w:r>
          </w:p>
        </w:tc>
        <w:tc>
          <w:tcPr>
            <w:tcW w:w="1429" w:type="dxa"/>
            <w:tcBorders>
              <w:top w:val="nil"/>
              <w:left w:val="nil"/>
              <w:bottom w:val="nil"/>
              <w:right w:val="nil"/>
            </w:tcBorders>
            <w:shd w:val="clear" w:color="auto" w:fill="auto"/>
            <w:noWrap/>
            <w:vAlign w:val="center"/>
            <w:hideMark/>
          </w:tcPr>
          <w:p w14:paraId="29E392BF"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394 477 718,0</w:t>
            </w:r>
          </w:p>
        </w:tc>
        <w:tc>
          <w:tcPr>
            <w:tcW w:w="1009" w:type="dxa"/>
            <w:tcBorders>
              <w:top w:val="nil"/>
              <w:left w:val="nil"/>
              <w:bottom w:val="nil"/>
              <w:right w:val="nil"/>
            </w:tcBorders>
            <w:shd w:val="clear" w:color="auto" w:fill="auto"/>
            <w:noWrap/>
            <w:vAlign w:val="center"/>
            <w:hideMark/>
          </w:tcPr>
          <w:p w14:paraId="1A816BB3"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99,7</w:t>
            </w:r>
          </w:p>
        </w:tc>
      </w:tr>
      <w:tr w:rsidR="00295058" w:rsidRPr="005C53F5" w14:paraId="6E12989C" w14:textId="77777777" w:rsidTr="00A61372">
        <w:trPr>
          <w:trHeight w:val="225"/>
        </w:trPr>
        <w:tc>
          <w:tcPr>
            <w:tcW w:w="5604" w:type="dxa"/>
            <w:tcBorders>
              <w:top w:val="nil"/>
              <w:left w:val="nil"/>
              <w:bottom w:val="nil"/>
              <w:right w:val="nil"/>
            </w:tcBorders>
            <w:shd w:val="clear" w:color="auto" w:fill="auto"/>
            <w:vAlign w:val="center"/>
            <w:hideMark/>
          </w:tcPr>
          <w:p w14:paraId="0B4E85C0" w14:textId="77777777" w:rsidR="00295058" w:rsidRPr="005C53F5" w:rsidRDefault="00295058"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Погашение займов</w:t>
            </w:r>
          </w:p>
        </w:tc>
        <w:tc>
          <w:tcPr>
            <w:tcW w:w="1597" w:type="dxa"/>
            <w:tcBorders>
              <w:top w:val="nil"/>
              <w:left w:val="nil"/>
              <w:bottom w:val="nil"/>
              <w:right w:val="nil"/>
            </w:tcBorders>
            <w:shd w:val="clear" w:color="auto" w:fill="auto"/>
            <w:noWrap/>
            <w:vAlign w:val="center"/>
            <w:hideMark/>
          </w:tcPr>
          <w:p w14:paraId="5E6DBC23"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395 558 696,0</w:t>
            </w:r>
          </w:p>
        </w:tc>
        <w:tc>
          <w:tcPr>
            <w:tcW w:w="1429" w:type="dxa"/>
            <w:tcBorders>
              <w:top w:val="nil"/>
              <w:left w:val="nil"/>
              <w:bottom w:val="nil"/>
              <w:right w:val="nil"/>
            </w:tcBorders>
            <w:shd w:val="clear" w:color="auto" w:fill="auto"/>
            <w:noWrap/>
            <w:vAlign w:val="center"/>
            <w:hideMark/>
          </w:tcPr>
          <w:p w14:paraId="32D77D0E"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394 477 718,0</w:t>
            </w:r>
          </w:p>
        </w:tc>
        <w:tc>
          <w:tcPr>
            <w:tcW w:w="1009" w:type="dxa"/>
            <w:tcBorders>
              <w:top w:val="nil"/>
              <w:left w:val="nil"/>
              <w:bottom w:val="nil"/>
              <w:right w:val="nil"/>
            </w:tcBorders>
            <w:shd w:val="clear" w:color="auto" w:fill="auto"/>
            <w:noWrap/>
            <w:vAlign w:val="center"/>
            <w:hideMark/>
          </w:tcPr>
          <w:p w14:paraId="0FE562F9" w14:textId="77777777" w:rsidR="00295058" w:rsidRPr="005C53F5" w:rsidRDefault="00295058" w:rsidP="00057BE5">
            <w:pPr>
              <w:spacing w:after="0" w:line="240" w:lineRule="auto"/>
              <w:jc w:val="right"/>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99,7</w:t>
            </w:r>
          </w:p>
        </w:tc>
      </w:tr>
      <w:tr w:rsidR="00295058" w:rsidRPr="005C53F5" w14:paraId="66FB30ED" w14:textId="77777777" w:rsidTr="00A61372">
        <w:trPr>
          <w:trHeight w:val="210"/>
        </w:trPr>
        <w:tc>
          <w:tcPr>
            <w:tcW w:w="5604" w:type="dxa"/>
            <w:tcBorders>
              <w:top w:val="nil"/>
              <w:left w:val="nil"/>
              <w:bottom w:val="nil"/>
              <w:right w:val="nil"/>
            </w:tcBorders>
            <w:shd w:val="clear" w:color="auto" w:fill="auto"/>
            <w:vAlign w:val="center"/>
            <w:hideMark/>
          </w:tcPr>
          <w:p w14:paraId="5A7594AD" w14:textId="77777777" w:rsidR="00295058" w:rsidRPr="005C53F5" w:rsidRDefault="00295058"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ИСПОЛЬЗУЕМЫЕ ОСТАТКИ БЮДЖЕТНЫХ СРЕДСТВ</w:t>
            </w:r>
          </w:p>
        </w:tc>
        <w:tc>
          <w:tcPr>
            <w:tcW w:w="1597" w:type="dxa"/>
            <w:tcBorders>
              <w:top w:val="nil"/>
              <w:left w:val="nil"/>
              <w:bottom w:val="nil"/>
              <w:right w:val="nil"/>
            </w:tcBorders>
            <w:shd w:val="clear" w:color="auto" w:fill="auto"/>
            <w:noWrap/>
            <w:vAlign w:val="center"/>
            <w:hideMark/>
          </w:tcPr>
          <w:p w14:paraId="6BD5A25D"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2 707 048 158,9</w:t>
            </w:r>
          </w:p>
        </w:tc>
        <w:tc>
          <w:tcPr>
            <w:tcW w:w="1429" w:type="dxa"/>
            <w:tcBorders>
              <w:top w:val="nil"/>
              <w:left w:val="nil"/>
              <w:bottom w:val="nil"/>
              <w:right w:val="nil"/>
            </w:tcBorders>
            <w:shd w:val="clear" w:color="auto" w:fill="auto"/>
            <w:noWrap/>
            <w:vAlign w:val="center"/>
            <w:hideMark/>
          </w:tcPr>
          <w:p w14:paraId="7DC2AABD"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985 828 270,6</w:t>
            </w:r>
          </w:p>
        </w:tc>
        <w:tc>
          <w:tcPr>
            <w:tcW w:w="1009" w:type="dxa"/>
            <w:tcBorders>
              <w:top w:val="nil"/>
              <w:left w:val="nil"/>
              <w:bottom w:val="nil"/>
              <w:right w:val="nil"/>
            </w:tcBorders>
            <w:shd w:val="clear" w:color="auto" w:fill="auto"/>
            <w:noWrap/>
            <w:vAlign w:val="center"/>
            <w:hideMark/>
          </w:tcPr>
          <w:p w14:paraId="301D16A9" w14:textId="77777777" w:rsidR="00295058" w:rsidRPr="005C53F5" w:rsidRDefault="00295058" w:rsidP="00057BE5">
            <w:pPr>
              <w:spacing w:after="0" w:line="240" w:lineRule="auto"/>
              <w:jc w:val="right"/>
              <w:rPr>
                <w:rFonts w:ascii="Times New Roman" w:eastAsia="Times New Roman" w:hAnsi="Times New Roman" w:cs="Times New Roman"/>
                <w:b/>
                <w:bCs/>
                <w:sz w:val="16"/>
                <w:szCs w:val="16"/>
                <w:lang w:eastAsia="ru-RU"/>
              </w:rPr>
            </w:pPr>
          </w:p>
        </w:tc>
      </w:tr>
    </w:tbl>
    <w:p w14:paraId="1ABBDCF0" w14:textId="1C2B347E" w:rsidR="00365C66" w:rsidRPr="005C53F5" w:rsidRDefault="00295058" w:rsidP="00057BE5">
      <w:pPr>
        <w:spacing w:after="0" w:line="240" w:lineRule="auto"/>
        <w:rPr>
          <w:rFonts w:eastAsia="Times New Roman" w:cs="BigCity Grotesque Pro Book"/>
          <w:sz w:val="24"/>
          <w:szCs w:val="24"/>
          <w:lang w:eastAsia="ru-RU"/>
        </w:rPr>
      </w:pPr>
      <w:r w:rsidRPr="005C53F5" w:rsidDel="00295058">
        <w:rPr>
          <w:rFonts w:ascii="Times New Roman" w:hAnsi="Times New Roman" w:cs="Times New Roman"/>
          <w:sz w:val="24"/>
          <w:szCs w:val="24"/>
        </w:rPr>
        <w:t xml:space="preserve"> </w:t>
      </w:r>
      <w:bookmarkStart w:id="576" w:name="_Toc521609794"/>
      <w:bookmarkStart w:id="577" w:name="_Toc533785614"/>
      <w:r w:rsidR="00365C66" w:rsidRPr="005C53F5">
        <w:rPr>
          <w:sz w:val="24"/>
          <w:szCs w:val="24"/>
        </w:rPr>
        <w:br w:type="page"/>
      </w:r>
    </w:p>
    <w:p w14:paraId="4EA0AA73" w14:textId="6F62BD1E" w:rsidR="00B360DC" w:rsidRPr="005C53F5" w:rsidRDefault="00365C66" w:rsidP="00057BE5">
      <w:pPr>
        <w:pStyle w:val="ConsPlusNormal"/>
        <w:jc w:val="center"/>
        <w:outlineLvl w:val="0"/>
        <w:rPr>
          <w:rFonts w:ascii="Times New Roman" w:hAnsi="Times New Roman" w:cs="Times New Roman"/>
          <w:b/>
          <w:sz w:val="24"/>
          <w:szCs w:val="24"/>
        </w:rPr>
      </w:pPr>
      <w:bookmarkStart w:id="578" w:name="_Toc39616441"/>
      <w:bookmarkStart w:id="579" w:name="_Toc36145684"/>
      <w:bookmarkEnd w:id="576"/>
      <w:bookmarkEnd w:id="577"/>
      <w:r w:rsidRPr="005C53F5">
        <w:rPr>
          <w:rFonts w:ascii="Times New Roman" w:hAnsi="Times New Roman" w:cs="Times New Roman"/>
          <w:b/>
          <w:sz w:val="24"/>
          <w:szCs w:val="24"/>
        </w:rPr>
        <w:t>Приложение 3.</w:t>
      </w:r>
      <w:r w:rsidR="000428BA" w:rsidRPr="005C53F5">
        <w:rPr>
          <w:rFonts w:ascii="Times New Roman" w:hAnsi="Times New Roman" w:cs="Times New Roman"/>
          <w:b/>
          <w:sz w:val="24"/>
          <w:szCs w:val="24"/>
        </w:rPr>
        <w:t xml:space="preserve"> </w:t>
      </w:r>
      <w:r w:rsidR="00C0193C" w:rsidRPr="005C53F5">
        <w:rPr>
          <w:rFonts w:ascii="Times New Roman" w:hAnsi="Times New Roman" w:cs="Times New Roman"/>
          <w:b/>
          <w:sz w:val="24"/>
          <w:szCs w:val="24"/>
        </w:rPr>
        <w:t>Отчет об исполнении консолидированного бюджета Республики Казахстан за 201</w:t>
      </w:r>
      <w:r w:rsidR="00FA0800" w:rsidRPr="005C53F5">
        <w:rPr>
          <w:rFonts w:ascii="Times New Roman" w:hAnsi="Times New Roman" w:cs="Times New Roman"/>
          <w:b/>
          <w:sz w:val="24"/>
          <w:szCs w:val="24"/>
        </w:rPr>
        <w:t>8</w:t>
      </w:r>
      <w:r w:rsidR="00C0193C" w:rsidRPr="005C53F5">
        <w:rPr>
          <w:rFonts w:ascii="Times New Roman" w:hAnsi="Times New Roman" w:cs="Times New Roman"/>
          <w:b/>
          <w:sz w:val="24"/>
          <w:szCs w:val="24"/>
        </w:rPr>
        <w:t xml:space="preserve"> год</w:t>
      </w:r>
      <w:bookmarkEnd w:id="578"/>
    </w:p>
    <w:tbl>
      <w:tblPr>
        <w:tblW w:w="9685" w:type="dxa"/>
        <w:tblLook w:val="04A0" w:firstRow="1" w:lastRow="0" w:firstColumn="1" w:lastColumn="0" w:noHBand="0" w:noVBand="1"/>
      </w:tblPr>
      <w:tblGrid>
        <w:gridCol w:w="4820"/>
        <w:gridCol w:w="1960"/>
        <w:gridCol w:w="1725"/>
        <w:gridCol w:w="1180"/>
      </w:tblGrid>
      <w:tr w:rsidR="009F7FF6" w:rsidRPr="005C53F5" w14:paraId="047B3716" w14:textId="77777777" w:rsidTr="009F6321">
        <w:trPr>
          <w:trHeight w:val="315"/>
        </w:trPr>
        <w:tc>
          <w:tcPr>
            <w:tcW w:w="4820" w:type="dxa"/>
            <w:tcBorders>
              <w:top w:val="nil"/>
              <w:left w:val="nil"/>
              <w:bottom w:val="nil"/>
              <w:right w:val="nil"/>
            </w:tcBorders>
            <w:shd w:val="clear" w:color="auto" w:fill="auto"/>
            <w:noWrap/>
            <w:vAlign w:val="center"/>
            <w:hideMark/>
          </w:tcPr>
          <w:p w14:paraId="16116D68" w14:textId="2995F6C8" w:rsidR="009F7FF6" w:rsidRPr="005C53F5" w:rsidRDefault="009F7FF6" w:rsidP="00057BE5">
            <w:pPr>
              <w:spacing w:after="0" w:line="240" w:lineRule="auto"/>
              <w:rPr>
                <w:rFonts w:ascii="Times New Roman" w:eastAsia="Times New Roman" w:hAnsi="Times New Roman" w:cs="Times New Roman"/>
                <w:sz w:val="24"/>
                <w:szCs w:val="24"/>
                <w:lang w:eastAsia="ru-RU"/>
              </w:rPr>
            </w:pPr>
          </w:p>
        </w:tc>
        <w:tc>
          <w:tcPr>
            <w:tcW w:w="1960" w:type="dxa"/>
            <w:tcBorders>
              <w:top w:val="nil"/>
              <w:left w:val="nil"/>
              <w:bottom w:val="nil"/>
              <w:right w:val="nil"/>
            </w:tcBorders>
            <w:shd w:val="clear" w:color="auto" w:fill="auto"/>
            <w:noWrap/>
            <w:vAlign w:val="center"/>
            <w:hideMark/>
          </w:tcPr>
          <w:p w14:paraId="359EFC09" w14:textId="77777777" w:rsidR="009F7FF6" w:rsidRPr="005C53F5" w:rsidRDefault="009F7FF6" w:rsidP="00057BE5">
            <w:pPr>
              <w:spacing w:after="0" w:line="240" w:lineRule="auto"/>
              <w:rPr>
                <w:rFonts w:ascii="Times New Roman" w:eastAsia="Times New Roman" w:hAnsi="Times New Roman" w:cs="Times New Roman"/>
                <w:sz w:val="20"/>
                <w:szCs w:val="20"/>
                <w:lang w:eastAsia="ru-RU"/>
              </w:rPr>
            </w:pPr>
          </w:p>
        </w:tc>
        <w:tc>
          <w:tcPr>
            <w:tcW w:w="2905" w:type="dxa"/>
            <w:gridSpan w:val="2"/>
            <w:tcBorders>
              <w:top w:val="nil"/>
              <w:left w:val="nil"/>
              <w:bottom w:val="single" w:sz="4" w:space="0" w:color="auto"/>
              <w:right w:val="nil"/>
            </w:tcBorders>
            <w:shd w:val="clear" w:color="auto" w:fill="auto"/>
            <w:noWrap/>
            <w:vAlign w:val="center"/>
            <w:hideMark/>
          </w:tcPr>
          <w:p w14:paraId="2F37A329"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тыс.тенге</w:t>
            </w:r>
          </w:p>
        </w:tc>
      </w:tr>
      <w:tr w:rsidR="009F7FF6" w:rsidRPr="005C53F5" w14:paraId="57DB785E" w14:textId="77777777" w:rsidTr="009F6321">
        <w:trPr>
          <w:trHeight w:val="438"/>
        </w:trPr>
        <w:tc>
          <w:tcPr>
            <w:tcW w:w="48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FCFCA5" w14:textId="77777777" w:rsidR="009F7FF6" w:rsidRPr="005C53F5" w:rsidRDefault="009F7FF6" w:rsidP="00057BE5">
            <w:pPr>
              <w:spacing w:after="0" w:line="240" w:lineRule="auto"/>
              <w:jc w:val="center"/>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Наименование</w:t>
            </w:r>
          </w:p>
        </w:tc>
        <w:tc>
          <w:tcPr>
            <w:tcW w:w="19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574FB84" w14:textId="77777777" w:rsidR="009F7FF6" w:rsidRPr="005C53F5" w:rsidRDefault="009F7FF6" w:rsidP="00057BE5">
            <w:pPr>
              <w:spacing w:after="0" w:line="240" w:lineRule="auto"/>
              <w:jc w:val="center"/>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Скорректированный бюджет</w:t>
            </w:r>
          </w:p>
        </w:tc>
        <w:tc>
          <w:tcPr>
            <w:tcW w:w="17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E1CBED" w14:textId="77777777" w:rsidR="009F7FF6" w:rsidRPr="005C53F5" w:rsidRDefault="009F7FF6" w:rsidP="00057BE5">
            <w:pPr>
              <w:spacing w:after="0" w:line="240" w:lineRule="auto"/>
              <w:jc w:val="center"/>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Исполнение</w:t>
            </w:r>
          </w:p>
        </w:tc>
        <w:tc>
          <w:tcPr>
            <w:tcW w:w="11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58F5D4" w14:textId="77777777" w:rsidR="009F7FF6" w:rsidRPr="005C53F5" w:rsidRDefault="009F7FF6" w:rsidP="00057BE5">
            <w:pPr>
              <w:spacing w:after="0" w:line="240" w:lineRule="auto"/>
              <w:jc w:val="center"/>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 исполнения</w:t>
            </w:r>
          </w:p>
        </w:tc>
      </w:tr>
      <w:tr w:rsidR="009F7FF6" w:rsidRPr="005C53F5" w14:paraId="346CEAEE" w14:textId="77777777" w:rsidTr="009F6321">
        <w:trPr>
          <w:trHeight w:val="690"/>
        </w:trPr>
        <w:tc>
          <w:tcPr>
            <w:tcW w:w="4820" w:type="dxa"/>
            <w:vMerge/>
            <w:tcBorders>
              <w:top w:val="single" w:sz="4" w:space="0" w:color="auto"/>
              <w:left w:val="single" w:sz="4" w:space="0" w:color="auto"/>
              <w:bottom w:val="single" w:sz="4" w:space="0" w:color="000000"/>
              <w:right w:val="single" w:sz="4" w:space="0" w:color="auto"/>
            </w:tcBorders>
            <w:vAlign w:val="center"/>
            <w:hideMark/>
          </w:tcPr>
          <w:p w14:paraId="19A58A63" w14:textId="77777777" w:rsidR="009F7FF6" w:rsidRPr="005C53F5" w:rsidRDefault="009F7FF6" w:rsidP="00057BE5">
            <w:pPr>
              <w:spacing w:after="0" w:line="240" w:lineRule="auto"/>
              <w:rPr>
                <w:rFonts w:ascii="Times New Roman" w:eastAsia="Times New Roman" w:hAnsi="Times New Roman" w:cs="Times New Roman"/>
                <w:sz w:val="16"/>
                <w:szCs w:val="16"/>
                <w:lang w:eastAsia="ru-RU"/>
              </w:rPr>
            </w:pPr>
          </w:p>
        </w:tc>
        <w:tc>
          <w:tcPr>
            <w:tcW w:w="1960" w:type="dxa"/>
            <w:vMerge/>
            <w:tcBorders>
              <w:top w:val="single" w:sz="4" w:space="0" w:color="auto"/>
              <w:left w:val="single" w:sz="4" w:space="0" w:color="auto"/>
              <w:bottom w:val="single" w:sz="4" w:space="0" w:color="000000"/>
              <w:right w:val="single" w:sz="4" w:space="0" w:color="auto"/>
            </w:tcBorders>
            <w:vAlign w:val="center"/>
            <w:hideMark/>
          </w:tcPr>
          <w:p w14:paraId="7EBAC271" w14:textId="77777777" w:rsidR="009F7FF6" w:rsidRPr="005C53F5" w:rsidRDefault="009F7FF6" w:rsidP="00057BE5">
            <w:pPr>
              <w:spacing w:after="0" w:line="240" w:lineRule="auto"/>
              <w:rPr>
                <w:rFonts w:ascii="Times New Roman" w:eastAsia="Times New Roman" w:hAnsi="Times New Roman" w:cs="Times New Roman"/>
                <w:sz w:val="16"/>
                <w:szCs w:val="16"/>
                <w:lang w:eastAsia="ru-RU"/>
              </w:rPr>
            </w:pPr>
          </w:p>
        </w:tc>
        <w:tc>
          <w:tcPr>
            <w:tcW w:w="1725" w:type="dxa"/>
            <w:vMerge/>
            <w:tcBorders>
              <w:top w:val="nil"/>
              <w:left w:val="single" w:sz="4" w:space="0" w:color="auto"/>
              <w:bottom w:val="single" w:sz="4" w:space="0" w:color="000000"/>
              <w:right w:val="single" w:sz="4" w:space="0" w:color="auto"/>
            </w:tcBorders>
            <w:vAlign w:val="center"/>
            <w:hideMark/>
          </w:tcPr>
          <w:p w14:paraId="5DC25805" w14:textId="77777777" w:rsidR="009F7FF6" w:rsidRPr="005C53F5" w:rsidRDefault="009F7FF6" w:rsidP="00057BE5">
            <w:pPr>
              <w:spacing w:after="0" w:line="240" w:lineRule="auto"/>
              <w:rPr>
                <w:rFonts w:ascii="Times New Roman" w:eastAsia="Times New Roman" w:hAnsi="Times New Roman" w:cs="Times New Roman"/>
                <w:sz w:val="16"/>
                <w:szCs w:val="16"/>
                <w:lang w:eastAsia="ru-RU"/>
              </w:rPr>
            </w:pPr>
          </w:p>
        </w:tc>
        <w:tc>
          <w:tcPr>
            <w:tcW w:w="1180" w:type="dxa"/>
            <w:vMerge/>
            <w:tcBorders>
              <w:top w:val="nil"/>
              <w:left w:val="single" w:sz="4" w:space="0" w:color="auto"/>
              <w:bottom w:val="single" w:sz="4" w:space="0" w:color="000000"/>
              <w:right w:val="single" w:sz="4" w:space="0" w:color="auto"/>
            </w:tcBorders>
            <w:vAlign w:val="center"/>
            <w:hideMark/>
          </w:tcPr>
          <w:p w14:paraId="03B7921C" w14:textId="77777777" w:rsidR="009F7FF6" w:rsidRPr="005C53F5" w:rsidRDefault="009F7FF6" w:rsidP="00057BE5">
            <w:pPr>
              <w:spacing w:after="0" w:line="240" w:lineRule="auto"/>
              <w:rPr>
                <w:rFonts w:ascii="Times New Roman" w:eastAsia="Times New Roman" w:hAnsi="Times New Roman" w:cs="Times New Roman"/>
                <w:sz w:val="16"/>
                <w:szCs w:val="16"/>
                <w:lang w:eastAsia="ru-RU"/>
              </w:rPr>
            </w:pPr>
          </w:p>
        </w:tc>
      </w:tr>
      <w:tr w:rsidR="009F7FF6" w:rsidRPr="005C53F5" w14:paraId="1A5A17E8" w14:textId="77777777" w:rsidTr="009F6321">
        <w:trPr>
          <w:trHeight w:val="210"/>
        </w:trPr>
        <w:tc>
          <w:tcPr>
            <w:tcW w:w="4820" w:type="dxa"/>
            <w:tcBorders>
              <w:top w:val="nil"/>
              <w:left w:val="nil"/>
              <w:bottom w:val="nil"/>
              <w:right w:val="nil"/>
            </w:tcBorders>
            <w:shd w:val="clear" w:color="auto" w:fill="auto"/>
            <w:vAlign w:val="center"/>
            <w:hideMark/>
          </w:tcPr>
          <w:p w14:paraId="4C5005CD"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I. ДОХОДЫ</w:t>
            </w:r>
          </w:p>
        </w:tc>
        <w:tc>
          <w:tcPr>
            <w:tcW w:w="1960" w:type="dxa"/>
            <w:tcBorders>
              <w:top w:val="nil"/>
              <w:left w:val="nil"/>
              <w:bottom w:val="nil"/>
              <w:right w:val="nil"/>
            </w:tcBorders>
            <w:shd w:val="clear" w:color="auto" w:fill="auto"/>
            <w:noWrap/>
            <w:vAlign w:val="center"/>
            <w:hideMark/>
          </w:tcPr>
          <w:p w14:paraId="34FB61BD"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11 725 916 789,5</w:t>
            </w:r>
          </w:p>
        </w:tc>
        <w:tc>
          <w:tcPr>
            <w:tcW w:w="1725" w:type="dxa"/>
            <w:tcBorders>
              <w:top w:val="nil"/>
              <w:left w:val="nil"/>
              <w:bottom w:val="nil"/>
              <w:right w:val="nil"/>
            </w:tcBorders>
            <w:shd w:val="clear" w:color="auto" w:fill="auto"/>
            <w:noWrap/>
            <w:vAlign w:val="center"/>
            <w:hideMark/>
          </w:tcPr>
          <w:p w14:paraId="2AE16874"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13 951 251 404,4</w:t>
            </w:r>
          </w:p>
        </w:tc>
        <w:tc>
          <w:tcPr>
            <w:tcW w:w="1180" w:type="dxa"/>
            <w:tcBorders>
              <w:top w:val="nil"/>
              <w:left w:val="nil"/>
              <w:bottom w:val="nil"/>
              <w:right w:val="nil"/>
            </w:tcBorders>
            <w:shd w:val="clear" w:color="auto" w:fill="auto"/>
            <w:noWrap/>
            <w:vAlign w:val="center"/>
            <w:hideMark/>
          </w:tcPr>
          <w:p w14:paraId="2470E6FC"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119,0</w:t>
            </w:r>
          </w:p>
        </w:tc>
      </w:tr>
      <w:tr w:rsidR="009F7FF6" w:rsidRPr="005C53F5" w14:paraId="1320DFFC" w14:textId="77777777" w:rsidTr="009F6321">
        <w:trPr>
          <w:trHeight w:val="210"/>
        </w:trPr>
        <w:tc>
          <w:tcPr>
            <w:tcW w:w="4820" w:type="dxa"/>
            <w:tcBorders>
              <w:top w:val="nil"/>
              <w:left w:val="nil"/>
              <w:bottom w:val="nil"/>
              <w:right w:val="nil"/>
            </w:tcBorders>
            <w:shd w:val="clear" w:color="auto" w:fill="auto"/>
            <w:vAlign w:val="center"/>
            <w:hideMark/>
          </w:tcPr>
          <w:p w14:paraId="0D53E844"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НАЛОГОВЫЕ ПОСТУПЛЕНИЯ</w:t>
            </w:r>
          </w:p>
        </w:tc>
        <w:tc>
          <w:tcPr>
            <w:tcW w:w="1960" w:type="dxa"/>
            <w:tcBorders>
              <w:top w:val="nil"/>
              <w:left w:val="nil"/>
              <w:bottom w:val="nil"/>
              <w:right w:val="nil"/>
            </w:tcBorders>
            <w:shd w:val="clear" w:color="auto" w:fill="auto"/>
            <w:noWrap/>
            <w:vAlign w:val="center"/>
            <w:hideMark/>
          </w:tcPr>
          <w:p w14:paraId="67022908"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10 862 404 187,4</w:t>
            </w:r>
          </w:p>
        </w:tc>
        <w:tc>
          <w:tcPr>
            <w:tcW w:w="1725" w:type="dxa"/>
            <w:tcBorders>
              <w:top w:val="nil"/>
              <w:left w:val="nil"/>
              <w:bottom w:val="nil"/>
              <w:right w:val="nil"/>
            </w:tcBorders>
            <w:shd w:val="clear" w:color="auto" w:fill="auto"/>
            <w:noWrap/>
            <w:vAlign w:val="center"/>
            <w:hideMark/>
          </w:tcPr>
          <w:p w14:paraId="58ECF7D0"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11 090 862 518,5</w:t>
            </w:r>
          </w:p>
        </w:tc>
        <w:tc>
          <w:tcPr>
            <w:tcW w:w="1180" w:type="dxa"/>
            <w:tcBorders>
              <w:top w:val="nil"/>
              <w:left w:val="nil"/>
              <w:bottom w:val="nil"/>
              <w:right w:val="nil"/>
            </w:tcBorders>
            <w:shd w:val="clear" w:color="auto" w:fill="auto"/>
            <w:noWrap/>
            <w:vAlign w:val="center"/>
            <w:hideMark/>
          </w:tcPr>
          <w:p w14:paraId="15EBD396"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102,1</w:t>
            </w:r>
          </w:p>
        </w:tc>
      </w:tr>
      <w:tr w:rsidR="009F7FF6" w:rsidRPr="005C53F5" w14:paraId="7A6FA9D8" w14:textId="77777777" w:rsidTr="009F6321">
        <w:trPr>
          <w:trHeight w:val="225"/>
        </w:trPr>
        <w:tc>
          <w:tcPr>
            <w:tcW w:w="4820" w:type="dxa"/>
            <w:tcBorders>
              <w:top w:val="nil"/>
              <w:left w:val="nil"/>
              <w:bottom w:val="nil"/>
              <w:right w:val="nil"/>
            </w:tcBorders>
            <w:shd w:val="clear" w:color="auto" w:fill="auto"/>
            <w:vAlign w:val="center"/>
            <w:hideMark/>
          </w:tcPr>
          <w:p w14:paraId="6F3D8CC1"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Налоговые поступления</w:t>
            </w:r>
          </w:p>
        </w:tc>
        <w:tc>
          <w:tcPr>
            <w:tcW w:w="1960" w:type="dxa"/>
            <w:tcBorders>
              <w:top w:val="nil"/>
              <w:left w:val="nil"/>
              <w:bottom w:val="nil"/>
              <w:right w:val="nil"/>
            </w:tcBorders>
            <w:shd w:val="clear" w:color="auto" w:fill="auto"/>
            <w:noWrap/>
            <w:vAlign w:val="center"/>
            <w:hideMark/>
          </w:tcPr>
          <w:p w14:paraId="274DA98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10 862 404 187,4</w:t>
            </w:r>
          </w:p>
        </w:tc>
        <w:tc>
          <w:tcPr>
            <w:tcW w:w="1725" w:type="dxa"/>
            <w:tcBorders>
              <w:top w:val="nil"/>
              <w:left w:val="nil"/>
              <w:bottom w:val="nil"/>
              <w:right w:val="nil"/>
            </w:tcBorders>
            <w:shd w:val="clear" w:color="auto" w:fill="auto"/>
            <w:noWrap/>
            <w:vAlign w:val="center"/>
            <w:hideMark/>
          </w:tcPr>
          <w:p w14:paraId="696D3240"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11 090 862 518,5</w:t>
            </w:r>
          </w:p>
        </w:tc>
        <w:tc>
          <w:tcPr>
            <w:tcW w:w="1180" w:type="dxa"/>
            <w:tcBorders>
              <w:top w:val="nil"/>
              <w:left w:val="nil"/>
              <w:bottom w:val="nil"/>
              <w:right w:val="nil"/>
            </w:tcBorders>
            <w:shd w:val="clear" w:color="auto" w:fill="auto"/>
            <w:noWrap/>
            <w:vAlign w:val="center"/>
            <w:hideMark/>
          </w:tcPr>
          <w:p w14:paraId="1D2DA069"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102,1</w:t>
            </w:r>
          </w:p>
        </w:tc>
      </w:tr>
      <w:tr w:rsidR="009F7FF6" w:rsidRPr="005C53F5" w14:paraId="1CFE2876" w14:textId="77777777" w:rsidTr="009F6321">
        <w:trPr>
          <w:trHeight w:val="210"/>
        </w:trPr>
        <w:tc>
          <w:tcPr>
            <w:tcW w:w="4820" w:type="dxa"/>
            <w:tcBorders>
              <w:top w:val="nil"/>
              <w:left w:val="nil"/>
              <w:bottom w:val="nil"/>
              <w:right w:val="nil"/>
            </w:tcBorders>
            <w:shd w:val="clear" w:color="auto" w:fill="auto"/>
            <w:vAlign w:val="center"/>
            <w:hideMark/>
          </w:tcPr>
          <w:p w14:paraId="28D3AB2C"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НЕНАЛОГОВЫЕ ПОСТУПЛЕНИЯ</w:t>
            </w:r>
          </w:p>
        </w:tc>
        <w:tc>
          <w:tcPr>
            <w:tcW w:w="1960" w:type="dxa"/>
            <w:tcBorders>
              <w:top w:val="nil"/>
              <w:left w:val="nil"/>
              <w:bottom w:val="nil"/>
              <w:right w:val="nil"/>
            </w:tcBorders>
            <w:shd w:val="clear" w:color="auto" w:fill="auto"/>
            <w:noWrap/>
            <w:vAlign w:val="center"/>
            <w:hideMark/>
          </w:tcPr>
          <w:p w14:paraId="5B5A7972"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186 618 150,1</w:t>
            </w:r>
          </w:p>
        </w:tc>
        <w:tc>
          <w:tcPr>
            <w:tcW w:w="1725" w:type="dxa"/>
            <w:tcBorders>
              <w:top w:val="nil"/>
              <w:left w:val="nil"/>
              <w:bottom w:val="nil"/>
              <w:right w:val="nil"/>
            </w:tcBorders>
            <w:shd w:val="clear" w:color="auto" w:fill="auto"/>
            <w:noWrap/>
            <w:vAlign w:val="center"/>
            <w:hideMark/>
          </w:tcPr>
          <w:p w14:paraId="38F1E8AD"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236 829 102,5</w:t>
            </w:r>
          </w:p>
        </w:tc>
        <w:tc>
          <w:tcPr>
            <w:tcW w:w="1180" w:type="dxa"/>
            <w:tcBorders>
              <w:top w:val="nil"/>
              <w:left w:val="nil"/>
              <w:bottom w:val="nil"/>
              <w:right w:val="nil"/>
            </w:tcBorders>
            <w:shd w:val="clear" w:color="auto" w:fill="auto"/>
            <w:noWrap/>
            <w:vAlign w:val="center"/>
            <w:hideMark/>
          </w:tcPr>
          <w:p w14:paraId="3377FBA8"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126,9</w:t>
            </w:r>
          </w:p>
        </w:tc>
      </w:tr>
      <w:tr w:rsidR="009F7FF6" w:rsidRPr="005C53F5" w14:paraId="0154D035" w14:textId="77777777" w:rsidTr="009F6321">
        <w:trPr>
          <w:trHeight w:val="225"/>
        </w:trPr>
        <w:tc>
          <w:tcPr>
            <w:tcW w:w="4820" w:type="dxa"/>
            <w:tcBorders>
              <w:top w:val="nil"/>
              <w:left w:val="nil"/>
              <w:bottom w:val="nil"/>
              <w:right w:val="nil"/>
            </w:tcBorders>
            <w:shd w:val="clear" w:color="auto" w:fill="auto"/>
            <w:vAlign w:val="center"/>
            <w:hideMark/>
          </w:tcPr>
          <w:p w14:paraId="5D62F4D5"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Неналоговые поступления</w:t>
            </w:r>
          </w:p>
        </w:tc>
        <w:tc>
          <w:tcPr>
            <w:tcW w:w="1960" w:type="dxa"/>
            <w:tcBorders>
              <w:top w:val="nil"/>
              <w:left w:val="nil"/>
              <w:bottom w:val="nil"/>
              <w:right w:val="nil"/>
            </w:tcBorders>
            <w:shd w:val="clear" w:color="auto" w:fill="auto"/>
            <w:noWrap/>
            <w:vAlign w:val="center"/>
            <w:hideMark/>
          </w:tcPr>
          <w:p w14:paraId="38577189"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186 618 150,1</w:t>
            </w:r>
          </w:p>
        </w:tc>
        <w:tc>
          <w:tcPr>
            <w:tcW w:w="1725" w:type="dxa"/>
            <w:tcBorders>
              <w:top w:val="nil"/>
              <w:left w:val="nil"/>
              <w:bottom w:val="nil"/>
              <w:right w:val="nil"/>
            </w:tcBorders>
            <w:shd w:val="clear" w:color="auto" w:fill="auto"/>
            <w:noWrap/>
            <w:vAlign w:val="center"/>
            <w:hideMark/>
          </w:tcPr>
          <w:p w14:paraId="0DAB6CAA"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236 829 102,5</w:t>
            </w:r>
          </w:p>
        </w:tc>
        <w:tc>
          <w:tcPr>
            <w:tcW w:w="1180" w:type="dxa"/>
            <w:tcBorders>
              <w:top w:val="nil"/>
              <w:left w:val="nil"/>
              <w:bottom w:val="nil"/>
              <w:right w:val="nil"/>
            </w:tcBorders>
            <w:shd w:val="clear" w:color="auto" w:fill="auto"/>
            <w:noWrap/>
            <w:vAlign w:val="center"/>
            <w:hideMark/>
          </w:tcPr>
          <w:p w14:paraId="04746BB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126,9</w:t>
            </w:r>
          </w:p>
        </w:tc>
      </w:tr>
      <w:tr w:rsidR="009F7FF6" w:rsidRPr="005C53F5" w14:paraId="29C1E27C" w14:textId="77777777" w:rsidTr="009F6321">
        <w:trPr>
          <w:trHeight w:val="210"/>
        </w:trPr>
        <w:tc>
          <w:tcPr>
            <w:tcW w:w="4820" w:type="dxa"/>
            <w:tcBorders>
              <w:top w:val="nil"/>
              <w:left w:val="nil"/>
              <w:bottom w:val="nil"/>
              <w:right w:val="nil"/>
            </w:tcBorders>
            <w:shd w:val="clear" w:color="auto" w:fill="auto"/>
            <w:vAlign w:val="center"/>
            <w:hideMark/>
          </w:tcPr>
          <w:p w14:paraId="2DC41F60"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ПОСТУПЛЕНИЯ ОТ ПРОДАЖИ ОСНОВНОГО КАПИТАЛА</w:t>
            </w:r>
          </w:p>
        </w:tc>
        <w:tc>
          <w:tcPr>
            <w:tcW w:w="1960" w:type="dxa"/>
            <w:tcBorders>
              <w:top w:val="nil"/>
              <w:left w:val="nil"/>
              <w:bottom w:val="nil"/>
              <w:right w:val="nil"/>
            </w:tcBorders>
            <w:shd w:val="clear" w:color="auto" w:fill="auto"/>
            <w:noWrap/>
            <w:vAlign w:val="center"/>
            <w:hideMark/>
          </w:tcPr>
          <w:p w14:paraId="57F48077"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82 040 652,0</w:t>
            </w:r>
          </w:p>
        </w:tc>
        <w:tc>
          <w:tcPr>
            <w:tcW w:w="1725" w:type="dxa"/>
            <w:tcBorders>
              <w:top w:val="nil"/>
              <w:left w:val="nil"/>
              <w:bottom w:val="nil"/>
              <w:right w:val="nil"/>
            </w:tcBorders>
            <w:shd w:val="clear" w:color="auto" w:fill="auto"/>
            <w:noWrap/>
            <w:vAlign w:val="center"/>
            <w:hideMark/>
          </w:tcPr>
          <w:p w14:paraId="59F12B5C"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92 798 347,4</w:t>
            </w:r>
          </w:p>
        </w:tc>
        <w:tc>
          <w:tcPr>
            <w:tcW w:w="1180" w:type="dxa"/>
            <w:tcBorders>
              <w:top w:val="nil"/>
              <w:left w:val="nil"/>
              <w:bottom w:val="nil"/>
              <w:right w:val="nil"/>
            </w:tcBorders>
            <w:shd w:val="clear" w:color="auto" w:fill="auto"/>
            <w:noWrap/>
            <w:vAlign w:val="center"/>
            <w:hideMark/>
          </w:tcPr>
          <w:p w14:paraId="14194D94"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113,1</w:t>
            </w:r>
          </w:p>
        </w:tc>
      </w:tr>
      <w:tr w:rsidR="009F7FF6" w:rsidRPr="005C53F5" w14:paraId="122D481D" w14:textId="77777777" w:rsidTr="009F6321">
        <w:trPr>
          <w:trHeight w:val="225"/>
        </w:trPr>
        <w:tc>
          <w:tcPr>
            <w:tcW w:w="4820" w:type="dxa"/>
            <w:tcBorders>
              <w:top w:val="nil"/>
              <w:left w:val="nil"/>
              <w:bottom w:val="nil"/>
              <w:right w:val="nil"/>
            </w:tcBorders>
            <w:shd w:val="clear" w:color="auto" w:fill="auto"/>
            <w:vAlign w:val="center"/>
            <w:hideMark/>
          </w:tcPr>
          <w:p w14:paraId="0E1A7FF9"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от продажи основного капитала</w:t>
            </w:r>
          </w:p>
        </w:tc>
        <w:tc>
          <w:tcPr>
            <w:tcW w:w="1960" w:type="dxa"/>
            <w:tcBorders>
              <w:top w:val="nil"/>
              <w:left w:val="nil"/>
              <w:bottom w:val="nil"/>
              <w:right w:val="nil"/>
            </w:tcBorders>
            <w:shd w:val="clear" w:color="auto" w:fill="auto"/>
            <w:noWrap/>
            <w:vAlign w:val="center"/>
            <w:hideMark/>
          </w:tcPr>
          <w:p w14:paraId="29AC2D8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82 040 652,0</w:t>
            </w:r>
          </w:p>
        </w:tc>
        <w:tc>
          <w:tcPr>
            <w:tcW w:w="1725" w:type="dxa"/>
            <w:tcBorders>
              <w:top w:val="nil"/>
              <w:left w:val="nil"/>
              <w:bottom w:val="nil"/>
              <w:right w:val="nil"/>
            </w:tcBorders>
            <w:shd w:val="clear" w:color="auto" w:fill="auto"/>
            <w:noWrap/>
            <w:vAlign w:val="center"/>
            <w:hideMark/>
          </w:tcPr>
          <w:p w14:paraId="4D5B651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92 798 347,4</w:t>
            </w:r>
          </w:p>
        </w:tc>
        <w:tc>
          <w:tcPr>
            <w:tcW w:w="1180" w:type="dxa"/>
            <w:tcBorders>
              <w:top w:val="nil"/>
              <w:left w:val="nil"/>
              <w:bottom w:val="nil"/>
              <w:right w:val="nil"/>
            </w:tcBorders>
            <w:shd w:val="clear" w:color="auto" w:fill="auto"/>
            <w:noWrap/>
            <w:vAlign w:val="center"/>
            <w:hideMark/>
          </w:tcPr>
          <w:p w14:paraId="4642F7E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113,1</w:t>
            </w:r>
          </w:p>
        </w:tc>
      </w:tr>
      <w:tr w:rsidR="009F7FF6" w:rsidRPr="005C53F5" w14:paraId="1ABBBABA" w14:textId="77777777" w:rsidTr="009F6321">
        <w:trPr>
          <w:trHeight w:val="210"/>
        </w:trPr>
        <w:tc>
          <w:tcPr>
            <w:tcW w:w="4820" w:type="dxa"/>
            <w:tcBorders>
              <w:top w:val="nil"/>
              <w:left w:val="nil"/>
              <w:bottom w:val="nil"/>
              <w:right w:val="nil"/>
            </w:tcBorders>
            <w:shd w:val="clear" w:color="auto" w:fill="auto"/>
            <w:vAlign w:val="center"/>
            <w:hideMark/>
          </w:tcPr>
          <w:p w14:paraId="6E34494A"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ПОСТУПЛЕНИЯ ТРАНСФЕРТОВ</w:t>
            </w:r>
          </w:p>
        </w:tc>
        <w:tc>
          <w:tcPr>
            <w:tcW w:w="1960" w:type="dxa"/>
            <w:tcBorders>
              <w:top w:val="nil"/>
              <w:left w:val="nil"/>
              <w:bottom w:val="nil"/>
              <w:right w:val="nil"/>
            </w:tcBorders>
            <w:shd w:val="clear" w:color="auto" w:fill="auto"/>
            <w:noWrap/>
            <w:vAlign w:val="center"/>
            <w:hideMark/>
          </w:tcPr>
          <w:p w14:paraId="66EC8408"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0,0</w:t>
            </w:r>
          </w:p>
        </w:tc>
        <w:tc>
          <w:tcPr>
            <w:tcW w:w="1725" w:type="dxa"/>
            <w:tcBorders>
              <w:top w:val="nil"/>
              <w:left w:val="nil"/>
              <w:bottom w:val="nil"/>
              <w:right w:val="nil"/>
            </w:tcBorders>
            <w:shd w:val="clear" w:color="auto" w:fill="auto"/>
            <w:noWrap/>
            <w:vAlign w:val="center"/>
            <w:hideMark/>
          </w:tcPr>
          <w:p w14:paraId="1A921355"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8 445 719,0</w:t>
            </w:r>
          </w:p>
        </w:tc>
        <w:tc>
          <w:tcPr>
            <w:tcW w:w="1180" w:type="dxa"/>
            <w:tcBorders>
              <w:top w:val="nil"/>
              <w:left w:val="nil"/>
              <w:bottom w:val="nil"/>
              <w:right w:val="nil"/>
            </w:tcBorders>
            <w:shd w:val="clear" w:color="auto" w:fill="auto"/>
            <w:noWrap/>
            <w:vAlign w:val="center"/>
            <w:hideMark/>
          </w:tcPr>
          <w:p w14:paraId="70FC50FC"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0,0</w:t>
            </w:r>
          </w:p>
        </w:tc>
      </w:tr>
      <w:tr w:rsidR="009F7FF6" w:rsidRPr="005C53F5" w14:paraId="4A758A5F" w14:textId="77777777" w:rsidTr="009F6321">
        <w:trPr>
          <w:trHeight w:val="225"/>
        </w:trPr>
        <w:tc>
          <w:tcPr>
            <w:tcW w:w="4820" w:type="dxa"/>
            <w:tcBorders>
              <w:top w:val="nil"/>
              <w:left w:val="nil"/>
              <w:bottom w:val="nil"/>
              <w:right w:val="nil"/>
            </w:tcBorders>
            <w:shd w:val="clear" w:color="auto" w:fill="auto"/>
            <w:vAlign w:val="center"/>
            <w:hideMark/>
          </w:tcPr>
          <w:p w14:paraId="2EF729B1"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трансфертов</w:t>
            </w:r>
          </w:p>
        </w:tc>
        <w:tc>
          <w:tcPr>
            <w:tcW w:w="1960" w:type="dxa"/>
            <w:tcBorders>
              <w:top w:val="nil"/>
              <w:left w:val="nil"/>
              <w:bottom w:val="nil"/>
              <w:right w:val="nil"/>
            </w:tcBorders>
            <w:shd w:val="clear" w:color="auto" w:fill="auto"/>
            <w:noWrap/>
            <w:vAlign w:val="center"/>
            <w:hideMark/>
          </w:tcPr>
          <w:p w14:paraId="5B074703"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0,0</w:t>
            </w:r>
          </w:p>
        </w:tc>
        <w:tc>
          <w:tcPr>
            <w:tcW w:w="1725" w:type="dxa"/>
            <w:tcBorders>
              <w:top w:val="nil"/>
              <w:left w:val="nil"/>
              <w:bottom w:val="nil"/>
              <w:right w:val="nil"/>
            </w:tcBorders>
            <w:shd w:val="clear" w:color="auto" w:fill="auto"/>
            <w:noWrap/>
            <w:vAlign w:val="center"/>
            <w:hideMark/>
          </w:tcPr>
          <w:p w14:paraId="413C2484"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8 445 719,0</w:t>
            </w:r>
          </w:p>
        </w:tc>
        <w:tc>
          <w:tcPr>
            <w:tcW w:w="1180" w:type="dxa"/>
            <w:tcBorders>
              <w:top w:val="nil"/>
              <w:left w:val="nil"/>
              <w:bottom w:val="nil"/>
              <w:right w:val="nil"/>
            </w:tcBorders>
            <w:shd w:val="clear" w:color="auto" w:fill="auto"/>
            <w:noWrap/>
            <w:vAlign w:val="center"/>
            <w:hideMark/>
          </w:tcPr>
          <w:p w14:paraId="3B51C16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0,0</w:t>
            </w:r>
          </w:p>
        </w:tc>
      </w:tr>
      <w:tr w:rsidR="009F7FF6" w:rsidRPr="005C53F5" w14:paraId="168A1103" w14:textId="77777777" w:rsidTr="009F6321">
        <w:trPr>
          <w:trHeight w:val="225"/>
        </w:trPr>
        <w:tc>
          <w:tcPr>
            <w:tcW w:w="4820" w:type="dxa"/>
            <w:tcBorders>
              <w:top w:val="nil"/>
              <w:left w:val="nil"/>
              <w:bottom w:val="nil"/>
              <w:right w:val="nil"/>
            </w:tcBorders>
            <w:shd w:val="clear" w:color="000000" w:fill="FFFFFF"/>
            <w:vAlign w:val="center"/>
            <w:hideMark/>
          </w:tcPr>
          <w:p w14:paraId="1A4A4551"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 xml:space="preserve">Инвестиционные доходы от управления Национальным фондом </w:t>
            </w:r>
          </w:p>
        </w:tc>
        <w:tc>
          <w:tcPr>
            <w:tcW w:w="1960" w:type="dxa"/>
            <w:tcBorders>
              <w:top w:val="nil"/>
              <w:left w:val="nil"/>
              <w:bottom w:val="nil"/>
              <w:right w:val="nil"/>
            </w:tcBorders>
            <w:shd w:val="clear" w:color="auto" w:fill="auto"/>
            <w:noWrap/>
            <w:vAlign w:val="center"/>
            <w:hideMark/>
          </w:tcPr>
          <w:p w14:paraId="2E51EFFF"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594 853 800,0</w:t>
            </w:r>
          </w:p>
        </w:tc>
        <w:tc>
          <w:tcPr>
            <w:tcW w:w="1725" w:type="dxa"/>
            <w:tcBorders>
              <w:top w:val="nil"/>
              <w:left w:val="nil"/>
              <w:bottom w:val="nil"/>
              <w:right w:val="nil"/>
            </w:tcBorders>
            <w:shd w:val="clear" w:color="auto" w:fill="auto"/>
            <w:noWrap/>
            <w:vAlign w:val="center"/>
            <w:hideMark/>
          </w:tcPr>
          <w:p w14:paraId="1870CCA0"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2 522 315 717,0</w:t>
            </w:r>
          </w:p>
        </w:tc>
        <w:tc>
          <w:tcPr>
            <w:tcW w:w="1180" w:type="dxa"/>
            <w:tcBorders>
              <w:top w:val="nil"/>
              <w:left w:val="nil"/>
              <w:bottom w:val="nil"/>
              <w:right w:val="nil"/>
            </w:tcBorders>
            <w:shd w:val="clear" w:color="auto" w:fill="auto"/>
            <w:noWrap/>
            <w:vAlign w:val="center"/>
            <w:hideMark/>
          </w:tcPr>
          <w:p w14:paraId="3A66D870"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424,0</w:t>
            </w:r>
          </w:p>
        </w:tc>
      </w:tr>
      <w:tr w:rsidR="009F7FF6" w:rsidRPr="005C53F5" w14:paraId="0AB876DF" w14:textId="77777777" w:rsidTr="009F6321">
        <w:trPr>
          <w:trHeight w:val="210"/>
        </w:trPr>
        <w:tc>
          <w:tcPr>
            <w:tcW w:w="4820" w:type="dxa"/>
            <w:tcBorders>
              <w:top w:val="nil"/>
              <w:left w:val="nil"/>
              <w:bottom w:val="nil"/>
              <w:right w:val="nil"/>
            </w:tcBorders>
            <w:shd w:val="clear" w:color="auto" w:fill="auto"/>
            <w:vAlign w:val="center"/>
            <w:hideMark/>
          </w:tcPr>
          <w:p w14:paraId="49BB6F24"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II. ЗАТРАТЫ</w:t>
            </w:r>
          </w:p>
        </w:tc>
        <w:tc>
          <w:tcPr>
            <w:tcW w:w="1960" w:type="dxa"/>
            <w:tcBorders>
              <w:top w:val="nil"/>
              <w:left w:val="nil"/>
              <w:bottom w:val="nil"/>
              <w:right w:val="nil"/>
            </w:tcBorders>
            <w:shd w:val="clear" w:color="auto" w:fill="auto"/>
            <w:noWrap/>
            <w:vAlign w:val="center"/>
            <w:hideMark/>
          </w:tcPr>
          <w:p w14:paraId="36A383C2"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11 395 934 450,2</w:t>
            </w:r>
          </w:p>
        </w:tc>
        <w:tc>
          <w:tcPr>
            <w:tcW w:w="1725" w:type="dxa"/>
            <w:tcBorders>
              <w:top w:val="nil"/>
              <w:left w:val="nil"/>
              <w:bottom w:val="nil"/>
              <w:right w:val="nil"/>
            </w:tcBorders>
            <w:shd w:val="clear" w:color="auto" w:fill="auto"/>
            <w:noWrap/>
            <w:vAlign w:val="center"/>
            <w:hideMark/>
          </w:tcPr>
          <w:p w14:paraId="3A026E7C"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11 364 128 787,8</w:t>
            </w:r>
          </w:p>
        </w:tc>
        <w:tc>
          <w:tcPr>
            <w:tcW w:w="1180" w:type="dxa"/>
            <w:tcBorders>
              <w:top w:val="nil"/>
              <w:left w:val="nil"/>
              <w:bottom w:val="nil"/>
              <w:right w:val="nil"/>
            </w:tcBorders>
            <w:shd w:val="clear" w:color="auto" w:fill="auto"/>
            <w:noWrap/>
            <w:vAlign w:val="center"/>
            <w:hideMark/>
          </w:tcPr>
          <w:p w14:paraId="0A55700E"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99,7</w:t>
            </w:r>
          </w:p>
        </w:tc>
      </w:tr>
      <w:tr w:rsidR="009F7FF6" w:rsidRPr="005C53F5" w14:paraId="0125296F" w14:textId="77777777" w:rsidTr="009F6321">
        <w:trPr>
          <w:trHeight w:val="225"/>
        </w:trPr>
        <w:tc>
          <w:tcPr>
            <w:tcW w:w="4820" w:type="dxa"/>
            <w:tcBorders>
              <w:top w:val="nil"/>
              <w:left w:val="nil"/>
              <w:bottom w:val="nil"/>
              <w:right w:val="nil"/>
            </w:tcBorders>
            <w:shd w:val="clear" w:color="auto" w:fill="auto"/>
            <w:vAlign w:val="center"/>
            <w:hideMark/>
          </w:tcPr>
          <w:p w14:paraId="61B4FBD0"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Государственные услуги общего характера</w:t>
            </w:r>
          </w:p>
        </w:tc>
        <w:tc>
          <w:tcPr>
            <w:tcW w:w="1960" w:type="dxa"/>
            <w:tcBorders>
              <w:top w:val="nil"/>
              <w:left w:val="nil"/>
              <w:bottom w:val="nil"/>
              <w:right w:val="nil"/>
            </w:tcBorders>
            <w:shd w:val="clear" w:color="auto" w:fill="auto"/>
            <w:noWrap/>
            <w:vAlign w:val="center"/>
            <w:hideMark/>
          </w:tcPr>
          <w:p w14:paraId="772D3A3E"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612 309 037,5</w:t>
            </w:r>
          </w:p>
        </w:tc>
        <w:tc>
          <w:tcPr>
            <w:tcW w:w="1725" w:type="dxa"/>
            <w:tcBorders>
              <w:top w:val="nil"/>
              <w:left w:val="nil"/>
              <w:bottom w:val="nil"/>
              <w:right w:val="nil"/>
            </w:tcBorders>
            <w:shd w:val="clear" w:color="auto" w:fill="auto"/>
            <w:noWrap/>
            <w:vAlign w:val="center"/>
            <w:hideMark/>
          </w:tcPr>
          <w:p w14:paraId="1D205B01"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611 025 822,3</w:t>
            </w:r>
          </w:p>
        </w:tc>
        <w:tc>
          <w:tcPr>
            <w:tcW w:w="1180" w:type="dxa"/>
            <w:tcBorders>
              <w:top w:val="nil"/>
              <w:left w:val="nil"/>
              <w:bottom w:val="nil"/>
              <w:right w:val="nil"/>
            </w:tcBorders>
            <w:shd w:val="clear" w:color="auto" w:fill="auto"/>
            <w:noWrap/>
            <w:vAlign w:val="center"/>
            <w:hideMark/>
          </w:tcPr>
          <w:p w14:paraId="7D50003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99,8</w:t>
            </w:r>
          </w:p>
        </w:tc>
      </w:tr>
      <w:tr w:rsidR="009F7FF6" w:rsidRPr="005C53F5" w14:paraId="4F484252" w14:textId="77777777" w:rsidTr="009F6321">
        <w:trPr>
          <w:trHeight w:val="225"/>
        </w:trPr>
        <w:tc>
          <w:tcPr>
            <w:tcW w:w="4820" w:type="dxa"/>
            <w:tcBorders>
              <w:top w:val="nil"/>
              <w:left w:val="nil"/>
              <w:bottom w:val="nil"/>
              <w:right w:val="nil"/>
            </w:tcBorders>
            <w:shd w:val="clear" w:color="auto" w:fill="auto"/>
            <w:vAlign w:val="center"/>
            <w:hideMark/>
          </w:tcPr>
          <w:p w14:paraId="09B326B9"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Оборона</w:t>
            </w:r>
          </w:p>
        </w:tc>
        <w:tc>
          <w:tcPr>
            <w:tcW w:w="1960" w:type="dxa"/>
            <w:tcBorders>
              <w:top w:val="nil"/>
              <w:left w:val="nil"/>
              <w:bottom w:val="nil"/>
              <w:right w:val="nil"/>
            </w:tcBorders>
            <w:shd w:val="clear" w:color="auto" w:fill="auto"/>
            <w:noWrap/>
            <w:vAlign w:val="center"/>
            <w:hideMark/>
          </w:tcPr>
          <w:p w14:paraId="38E13ECE"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542 431 756,1</w:t>
            </w:r>
          </w:p>
        </w:tc>
        <w:tc>
          <w:tcPr>
            <w:tcW w:w="1725" w:type="dxa"/>
            <w:tcBorders>
              <w:top w:val="nil"/>
              <w:left w:val="nil"/>
              <w:bottom w:val="nil"/>
              <w:right w:val="nil"/>
            </w:tcBorders>
            <w:shd w:val="clear" w:color="auto" w:fill="auto"/>
            <w:noWrap/>
            <w:vAlign w:val="center"/>
            <w:hideMark/>
          </w:tcPr>
          <w:p w14:paraId="343341A3"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542 129 382,1</w:t>
            </w:r>
          </w:p>
        </w:tc>
        <w:tc>
          <w:tcPr>
            <w:tcW w:w="1180" w:type="dxa"/>
            <w:tcBorders>
              <w:top w:val="nil"/>
              <w:left w:val="nil"/>
              <w:bottom w:val="nil"/>
              <w:right w:val="nil"/>
            </w:tcBorders>
            <w:shd w:val="clear" w:color="auto" w:fill="auto"/>
            <w:noWrap/>
            <w:vAlign w:val="center"/>
            <w:hideMark/>
          </w:tcPr>
          <w:p w14:paraId="2D69CF73"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99,9</w:t>
            </w:r>
          </w:p>
        </w:tc>
      </w:tr>
      <w:tr w:rsidR="009F7FF6" w:rsidRPr="005C53F5" w14:paraId="10714324" w14:textId="77777777" w:rsidTr="009F6321">
        <w:trPr>
          <w:trHeight w:val="450"/>
        </w:trPr>
        <w:tc>
          <w:tcPr>
            <w:tcW w:w="4820" w:type="dxa"/>
            <w:tcBorders>
              <w:top w:val="nil"/>
              <w:left w:val="nil"/>
              <w:bottom w:val="nil"/>
              <w:right w:val="nil"/>
            </w:tcBorders>
            <w:shd w:val="clear" w:color="auto" w:fill="auto"/>
            <w:vAlign w:val="center"/>
            <w:hideMark/>
          </w:tcPr>
          <w:p w14:paraId="222531F0"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Общественный порядок, безопасность, правовая, судебная, уголовно-исполнительная деятельность</w:t>
            </w:r>
          </w:p>
        </w:tc>
        <w:tc>
          <w:tcPr>
            <w:tcW w:w="1960" w:type="dxa"/>
            <w:tcBorders>
              <w:top w:val="nil"/>
              <w:left w:val="nil"/>
              <w:bottom w:val="nil"/>
              <w:right w:val="nil"/>
            </w:tcBorders>
            <w:shd w:val="clear" w:color="auto" w:fill="auto"/>
            <w:noWrap/>
            <w:vAlign w:val="center"/>
            <w:hideMark/>
          </w:tcPr>
          <w:p w14:paraId="07F9781E"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795 383 294,1</w:t>
            </w:r>
          </w:p>
        </w:tc>
        <w:tc>
          <w:tcPr>
            <w:tcW w:w="1725" w:type="dxa"/>
            <w:tcBorders>
              <w:top w:val="nil"/>
              <w:left w:val="nil"/>
              <w:bottom w:val="nil"/>
              <w:right w:val="nil"/>
            </w:tcBorders>
            <w:shd w:val="clear" w:color="auto" w:fill="auto"/>
            <w:noWrap/>
            <w:vAlign w:val="center"/>
            <w:hideMark/>
          </w:tcPr>
          <w:p w14:paraId="0881C5A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795 089 605,1</w:t>
            </w:r>
          </w:p>
        </w:tc>
        <w:tc>
          <w:tcPr>
            <w:tcW w:w="1180" w:type="dxa"/>
            <w:tcBorders>
              <w:top w:val="nil"/>
              <w:left w:val="nil"/>
              <w:bottom w:val="nil"/>
              <w:right w:val="nil"/>
            </w:tcBorders>
            <w:shd w:val="clear" w:color="auto" w:fill="auto"/>
            <w:noWrap/>
            <w:vAlign w:val="center"/>
            <w:hideMark/>
          </w:tcPr>
          <w:p w14:paraId="75887EB1"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3E6F87DD" w14:textId="77777777" w:rsidTr="009F6321">
        <w:trPr>
          <w:trHeight w:val="225"/>
        </w:trPr>
        <w:tc>
          <w:tcPr>
            <w:tcW w:w="4820" w:type="dxa"/>
            <w:tcBorders>
              <w:top w:val="nil"/>
              <w:left w:val="nil"/>
              <w:bottom w:val="nil"/>
              <w:right w:val="nil"/>
            </w:tcBorders>
            <w:shd w:val="clear" w:color="auto" w:fill="auto"/>
            <w:vAlign w:val="center"/>
            <w:hideMark/>
          </w:tcPr>
          <w:p w14:paraId="642972D9"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Образование</w:t>
            </w:r>
          </w:p>
        </w:tc>
        <w:tc>
          <w:tcPr>
            <w:tcW w:w="1960" w:type="dxa"/>
            <w:tcBorders>
              <w:top w:val="nil"/>
              <w:left w:val="nil"/>
              <w:bottom w:val="nil"/>
              <w:right w:val="nil"/>
            </w:tcBorders>
            <w:shd w:val="clear" w:color="auto" w:fill="auto"/>
            <w:noWrap/>
            <w:vAlign w:val="center"/>
            <w:hideMark/>
          </w:tcPr>
          <w:p w14:paraId="2527E69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1 950 927 919,6</w:t>
            </w:r>
          </w:p>
        </w:tc>
        <w:tc>
          <w:tcPr>
            <w:tcW w:w="1725" w:type="dxa"/>
            <w:tcBorders>
              <w:top w:val="nil"/>
              <w:left w:val="nil"/>
              <w:bottom w:val="nil"/>
              <w:right w:val="nil"/>
            </w:tcBorders>
            <w:shd w:val="clear" w:color="auto" w:fill="auto"/>
            <w:noWrap/>
            <w:vAlign w:val="center"/>
            <w:hideMark/>
          </w:tcPr>
          <w:p w14:paraId="06C52C8F"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1 948 476 921,2</w:t>
            </w:r>
          </w:p>
        </w:tc>
        <w:tc>
          <w:tcPr>
            <w:tcW w:w="1180" w:type="dxa"/>
            <w:tcBorders>
              <w:top w:val="nil"/>
              <w:left w:val="nil"/>
              <w:bottom w:val="nil"/>
              <w:right w:val="nil"/>
            </w:tcBorders>
            <w:shd w:val="clear" w:color="auto" w:fill="auto"/>
            <w:noWrap/>
            <w:vAlign w:val="center"/>
            <w:hideMark/>
          </w:tcPr>
          <w:p w14:paraId="554B224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99,9</w:t>
            </w:r>
          </w:p>
        </w:tc>
      </w:tr>
      <w:tr w:rsidR="009F7FF6" w:rsidRPr="005C53F5" w14:paraId="6DF741ED" w14:textId="77777777" w:rsidTr="009F6321">
        <w:trPr>
          <w:trHeight w:val="225"/>
        </w:trPr>
        <w:tc>
          <w:tcPr>
            <w:tcW w:w="4820" w:type="dxa"/>
            <w:tcBorders>
              <w:top w:val="nil"/>
              <w:left w:val="nil"/>
              <w:bottom w:val="nil"/>
              <w:right w:val="nil"/>
            </w:tcBorders>
            <w:shd w:val="clear" w:color="auto" w:fill="auto"/>
            <w:vAlign w:val="center"/>
            <w:hideMark/>
          </w:tcPr>
          <w:p w14:paraId="57BC0359"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Здравоохранение</w:t>
            </w:r>
          </w:p>
        </w:tc>
        <w:tc>
          <w:tcPr>
            <w:tcW w:w="1960" w:type="dxa"/>
            <w:tcBorders>
              <w:top w:val="nil"/>
              <w:left w:val="nil"/>
              <w:bottom w:val="nil"/>
              <w:right w:val="nil"/>
            </w:tcBorders>
            <w:shd w:val="clear" w:color="auto" w:fill="auto"/>
            <w:noWrap/>
            <w:vAlign w:val="center"/>
            <w:hideMark/>
          </w:tcPr>
          <w:p w14:paraId="62D953E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1 175 600 861,0</w:t>
            </w:r>
          </w:p>
        </w:tc>
        <w:tc>
          <w:tcPr>
            <w:tcW w:w="1725" w:type="dxa"/>
            <w:tcBorders>
              <w:top w:val="nil"/>
              <w:left w:val="nil"/>
              <w:bottom w:val="nil"/>
              <w:right w:val="nil"/>
            </w:tcBorders>
            <w:shd w:val="clear" w:color="auto" w:fill="auto"/>
            <w:noWrap/>
            <w:vAlign w:val="center"/>
            <w:hideMark/>
          </w:tcPr>
          <w:p w14:paraId="4674DEA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1 173 312 554,4</w:t>
            </w:r>
          </w:p>
        </w:tc>
        <w:tc>
          <w:tcPr>
            <w:tcW w:w="1180" w:type="dxa"/>
            <w:tcBorders>
              <w:top w:val="nil"/>
              <w:left w:val="nil"/>
              <w:bottom w:val="nil"/>
              <w:right w:val="nil"/>
            </w:tcBorders>
            <w:shd w:val="clear" w:color="auto" w:fill="auto"/>
            <w:noWrap/>
            <w:vAlign w:val="center"/>
            <w:hideMark/>
          </w:tcPr>
          <w:p w14:paraId="0C8F3BD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99,8</w:t>
            </w:r>
          </w:p>
        </w:tc>
      </w:tr>
      <w:tr w:rsidR="009F7FF6" w:rsidRPr="005C53F5" w14:paraId="300690EE" w14:textId="77777777" w:rsidTr="009F6321">
        <w:trPr>
          <w:trHeight w:val="225"/>
        </w:trPr>
        <w:tc>
          <w:tcPr>
            <w:tcW w:w="4820" w:type="dxa"/>
            <w:tcBorders>
              <w:top w:val="nil"/>
              <w:left w:val="nil"/>
              <w:bottom w:val="nil"/>
              <w:right w:val="nil"/>
            </w:tcBorders>
            <w:shd w:val="clear" w:color="auto" w:fill="auto"/>
            <w:vAlign w:val="center"/>
            <w:hideMark/>
          </w:tcPr>
          <w:p w14:paraId="41A92259"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Социальная помощь и социальное обеспечение</w:t>
            </w:r>
          </w:p>
        </w:tc>
        <w:tc>
          <w:tcPr>
            <w:tcW w:w="1960" w:type="dxa"/>
            <w:tcBorders>
              <w:top w:val="nil"/>
              <w:left w:val="nil"/>
              <w:bottom w:val="nil"/>
              <w:right w:val="nil"/>
            </w:tcBorders>
            <w:shd w:val="clear" w:color="auto" w:fill="auto"/>
            <w:noWrap/>
            <w:vAlign w:val="center"/>
            <w:hideMark/>
          </w:tcPr>
          <w:p w14:paraId="109796E9"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2 751 817 177,4</w:t>
            </w:r>
          </w:p>
        </w:tc>
        <w:tc>
          <w:tcPr>
            <w:tcW w:w="1725" w:type="dxa"/>
            <w:tcBorders>
              <w:top w:val="nil"/>
              <w:left w:val="nil"/>
              <w:bottom w:val="nil"/>
              <w:right w:val="nil"/>
            </w:tcBorders>
            <w:shd w:val="clear" w:color="auto" w:fill="auto"/>
            <w:noWrap/>
            <w:vAlign w:val="center"/>
            <w:hideMark/>
          </w:tcPr>
          <w:p w14:paraId="228535A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2 751 353 554,1</w:t>
            </w:r>
          </w:p>
        </w:tc>
        <w:tc>
          <w:tcPr>
            <w:tcW w:w="1180" w:type="dxa"/>
            <w:tcBorders>
              <w:top w:val="nil"/>
              <w:left w:val="nil"/>
              <w:bottom w:val="nil"/>
              <w:right w:val="nil"/>
            </w:tcBorders>
            <w:shd w:val="clear" w:color="auto" w:fill="auto"/>
            <w:noWrap/>
            <w:vAlign w:val="center"/>
            <w:hideMark/>
          </w:tcPr>
          <w:p w14:paraId="6B68D6D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522C1277" w14:textId="77777777" w:rsidTr="009F6321">
        <w:trPr>
          <w:trHeight w:val="225"/>
        </w:trPr>
        <w:tc>
          <w:tcPr>
            <w:tcW w:w="4820" w:type="dxa"/>
            <w:tcBorders>
              <w:top w:val="nil"/>
              <w:left w:val="nil"/>
              <w:bottom w:val="nil"/>
              <w:right w:val="nil"/>
            </w:tcBorders>
            <w:shd w:val="clear" w:color="auto" w:fill="auto"/>
            <w:vAlign w:val="center"/>
            <w:hideMark/>
          </w:tcPr>
          <w:p w14:paraId="06F2D581"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Жилищно-коммунальное хозяйство</w:t>
            </w:r>
          </w:p>
        </w:tc>
        <w:tc>
          <w:tcPr>
            <w:tcW w:w="1960" w:type="dxa"/>
            <w:tcBorders>
              <w:top w:val="nil"/>
              <w:left w:val="nil"/>
              <w:bottom w:val="nil"/>
              <w:right w:val="nil"/>
            </w:tcBorders>
            <w:shd w:val="clear" w:color="auto" w:fill="auto"/>
            <w:noWrap/>
            <w:vAlign w:val="center"/>
            <w:hideMark/>
          </w:tcPr>
          <w:p w14:paraId="2CF55D94"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753 272 126,4</w:t>
            </w:r>
          </w:p>
        </w:tc>
        <w:tc>
          <w:tcPr>
            <w:tcW w:w="1725" w:type="dxa"/>
            <w:tcBorders>
              <w:top w:val="nil"/>
              <w:left w:val="nil"/>
              <w:bottom w:val="nil"/>
              <w:right w:val="nil"/>
            </w:tcBorders>
            <w:shd w:val="clear" w:color="auto" w:fill="auto"/>
            <w:noWrap/>
            <w:vAlign w:val="center"/>
            <w:hideMark/>
          </w:tcPr>
          <w:p w14:paraId="5C13B49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749 030 373,5</w:t>
            </w:r>
          </w:p>
        </w:tc>
        <w:tc>
          <w:tcPr>
            <w:tcW w:w="1180" w:type="dxa"/>
            <w:tcBorders>
              <w:top w:val="nil"/>
              <w:left w:val="nil"/>
              <w:bottom w:val="nil"/>
              <w:right w:val="nil"/>
            </w:tcBorders>
            <w:shd w:val="clear" w:color="auto" w:fill="auto"/>
            <w:noWrap/>
            <w:vAlign w:val="center"/>
            <w:hideMark/>
          </w:tcPr>
          <w:p w14:paraId="7B038C5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99,4</w:t>
            </w:r>
          </w:p>
        </w:tc>
      </w:tr>
      <w:tr w:rsidR="009F7FF6" w:rsidRPr="005C53F5" w14:paraId="5FBA08F9" w14:textId="77777777" w:rsidTr="009F6321">
        <w:trPr>
          <w:trHeight w:val="225"/>
        </w:trPr>
        <w:tc>
          <w:tcPr>
            <w:tcW w:w="4820" w:type="dxa"/>
            <w:tcBorders>
              <w:top w:val="nil"/>
              <w:left w:val="nil"/>
              <w:bottom w:val="nil"/>
              <w:right w:val="nil"/>
            </w:tcBorders>
            <w:shd w:val="clear" w:color="auto" w:fill="auto"/>
            <w:vAlign w:val="center"/>
            <w:hideMark/>
          </w:tcPr>
          <w:p w14:paraId="7FCD3ADD"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Культура, спорт, туризм и информационное пространство</w:t>
            </w:r>
          </w:p>
        </w:tc>
        <w:tc>
          <w:tcPr>
            <w:tcW w:w="1960" w:type="dxa"/>
            <w:tcBorders>
              <w:top w:val="nil"/>
              <w:left w:val="nil"/>
              <w:bottom w:val="nil"/>
              <w:right w:val="nil"/>
            </w:tcBorders>
            <w:shd w:val="clear" w:color="auto" w:fill="auto"/>
            <w:noWrap/>
            <w:vAlign w:val="center"/>
            <w:hideMark/>
          </w:tcPr>
          <w:p w14:paraId="7F58361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450 013 217,7</w:t>
            </w:r>
          </w:p>
        </w:tc>
        <w:tc>
          <w:tcPr>
            <w:tcW w:w="1725" w:type="dxa"/>
            <w:tcBorders>
              <w:top w:val="nil"/>
              <w:left w:val="nil"/>
              <w:bottom w:val="nil"/>
              <w:right w:val="nil"/>
            </w:tcBorders>
            <w:shd w:val="clear" w:color="auto" w:fill="auto"/>
            <w:noWrap/>
            <w:vAlign w:val="center"/>
            <w:hideMark/>
          </w:tcPr>
          <w:p w14:paraId="7620938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449 291 455,9</w:t>
            </w:r>
          </w:p>
        </w:tc>
        <w:tc>
          <w:tcPr>
            <w:tcW w:w="1180" w:type="dxa"/>
            <w:tcBorders>
              <w:top w:val="nil"/>
              <w:left w:val="nil"/>
              <w:bottom w:val="nil"/>
              <w:right w:val="nil"/>
            </w:tcBorders>
            <w:shd w:val="clear" w:color="auto" w:fill="auto"/>
            <w:noWrap/>
            <w:vAlign w:val="center"/>
            <w:hideMark/>
          </w:tcPr>
          <w:p w14:paraId="5AC8ADA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99,8</w:t>
            </w:r>
          </w:p>
        </w:tc>
      </w:tr>
      <w:tr w:rsidR="009F7FF6" w:rsidRPr="005C53F5" w14:paraId="56FAB48B" w14:textId="77777777" w:rsidTr="009F6321">
        <w:trPr>
          <w:trHeight w:val="225"/>
        </w:trPr>
        <w:tc>
          <w:tcPr>
            <w:tcW w:w="4820" w:type="dxa"/>
            <w:tcBorders>
              <w:top w:val="nil"/>
              <w:left w:val="nil"/>
              <w:bottom w:val="nil"/>
              <w:right w:val="nil"/>
            </w:tcBorders>
            <w:shd w:val="clear" w:color="auto" w:fill="auto"/>
            <w:vAlign w:val="center"/>
            <w:hideMark/>
          </w:tcPr>
          <w:p w14:paraId="7EF73296"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Топливно-энергетический комплекс и недропользование</w:t>
            </w:r>
          </w:p>
        </w:tc>
        <w:tc>
          <w:tcPr>
            <w:tcW w:w="1960" w:type="dxa"/>
            <w:tcBorders>
              <w:top w:val="nil"/>
              <w:left w:val="nil"/>
              <w:bottom w:val="nil"/>
              <w:right w:val="nil"/>
            </w:tcBorders>
            <w:shd w:val="clear" w:color="auto" w:fill="auto"/>
            <w:noWrap/>
            <w:vAlign w:val="center"/>
            <w:hideMark/>
          </w:tcPr>
          <w:p w14:paraId="6C5CA78A"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130 589 948,9</w:t>
            </w:r>
          </w:p>
        </w:tc>
        <w:tc>
          <w:tcPr>
            <w:tcW w:w="1725" w:type="dxa"/>
            <w:tcBorders>
              <w:top w:val="nil"/>
              <w:left w:val="nil"/>
              <w:bottom w:val="nil"/>
              <w:right w:val="nil"/>
            </w:tcBorders>
            <w:shd w:val="clear" w:color="auto" w:fill="auto"/>
            <w:noWrap/>
            <w:vAlign w:val="center"/>
            <w:hideMark/>
          </w:tcPr>
          <w:p w14:paraId="39944D7F"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130 489 241,0</w:t>
            </w:r>
          </w:p>
        </w:tc>
        <w:tc>
          <w:tcPr>
            <w:tcW w:w="1180" w:type="dxa"/>
            <w:tcBorders>
              <w:top w:val="nil"/>
              <w:left w:val="nil"/>
              <w:bottom w:val="nil"/>
              <w:right w:val="nil"/>
            </w:tcBorders>
            <w:shd w:val="clear" w:color="auto" w:fill="auto"/>
            <w:noWrap/>
            <w:vAlign w:val="center"/>
            <w:hideMark/>
          </w:tcPr>
          <w:p w14:paraId="096DDE6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99,9</w:t>
            </w:r>
          </w:p>
        </w:tc>
      </w:tr>
      <w:tr w:rsidR="009F7FF6" w:rsidRPr="005C53F5" w14:paraId="4FA1E58C" w14:textId="77777777" w:rsidTr="009F6321">
        <w:trPr>
          <w:trHeight w:val="675"/>
        </w:trPr>
        <w:tc>
          <w:tcPr>
            <w:tcW w:w="4820" w:type="dxa"/>
            <w:tcBorders>
              <w:top w:val="nil"/>
              <w:left w:val="nil"/>
              <w:bottom w:val="nil"/>
              <w:right w:val="nil"/>
            </w:tcBorders>
            <w:shd w:val="clear" w:color="auto" w:fill="auto"/>
            <w:vAlign w:val="center"/>
            <w:hideMark/>
          </w:tcPr>
          <w:p w14:paraId="6AED1422"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960" w:type="dxa"/>
            <w:tcBorders>
              <w:top w:val="nil"/>
              <w:left w:val="nil"/>
              <w:bottom w:val="nil"/>
              <w:right w:val="nil"/>
            </w:tcBorders>
            <w:shd w:val="clear" w:color="auto" w:fill="auto"/>
            <w:noWrap/>
            <w:vAlign w:val="center"/>
            <w:hideMark/>
          </w:tcPr>
          <w:p w14:paraId="242A3BD0"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502 670 221,6</w:t>
            </w:r>
          </w:p>
        </w:tc>
        <w:tc>
          <w:tcPr>
            <w:tcW w:w="1725" w:type="dxa"/>
            <w:tcBorders>
              <w:top w:val="nil"/>
              <w:left w:val="nil"/>
              <w:bottom w:val="nil"/>
              <w:right w:val="nil"/>
            </w:tcBorders>
            <w:shd w:val="clear" w:color="auto" w:fill="auto"/>
            <w:noWrap/>
            <w:vAlign w:val="center"/>
            <w:hideMark/>
          </w:tcPr>
          <w:p w14:paraId="03455DE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501 835 422,4</w:t>
            </w:r>
          </w:p>
        </w:tc>
        <w:tc>
          <w:tcPr>
            <w:tcW w:w="1180" w:type="dxa"/>
            <w:tcBorders>
              <w:top w:val="nil"/>
              <w:left w:val="nil"/>
              <w:bottom w:val="nil"/>
              <w:right w:val="nil"/>
            </w:tcBorders>
            <w:shd w:val="clear" w:color="auto" w:fill="auto"/>
            <w:noWrap/>
            <w:vAlign w:val="center"/>
            <w:hideMark/>
          </w:tcPr>
          <w:p w14:paraId="17310BE4"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99,8</w:t>
            </w:r>
          </w:p>
        </w:tc>
      </w:tr>
      <w:tr w:rsidR="009F7FF6" w:rsidRPr="005C53F5" w14:paraId="3C922435" w14:textId="77777777" w:rsidTr="009F6321">
        <w:trPr>
          <w:trHeight w:val="450"/>
        </w:trPr>
        <w:tc>
          <w:tcPr>
            <w:tcW w:w="4820" w:type="dxa"/>
            <w:tcBorders>
              <w:top w:val="nil"/>
              <w:left w:val="nil"/>
              <w:bottom w:val="nil"/>
              <w:right w:val="nil"/>
            </w:tcBorders>
            <w:shd w:val="clear" w:color="auto" w:fill="auto"/>
            <w:vAlign w:val="center"/>
            <w:hideMark/>
          </w:tcPr>
          <w:p w14:paraId="10F013CA"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Промышленность, архитектурная, градостроительная и строительная деятельность</w:t>
            </w:r>
          </w:p>
        </w:tc>
        <w:tc>
          <w:tcPr>
            <w:tcW w:w="1960" w:type="dxa"/>
            <w:tcBorders>
              <w:top w:val="nil"/>
              <w:left w:val="nil"/>
              <w:bottom w:val="nil"/>
              <w:right w:val="nil"/>
            </w:tcBorders>
            <w:shd w:val="clear" w:color="auto" w:fill="auto"/>
            <w:noWrap/>
            <w:vAlign w:val="center"/>
            <w:hideMark/>
          </w:tcPr>
          <w:p w14:paraId="6533DD6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35 980 080,2</w:t>
            </w:r>
          </w:p>
        </w:tc>
        <w:tc>
          <w:tcPr>
            <w:tcW w:w="1725" w:type="dxa"/>
            <w:tcBorders>
              <w:top w:val="nil"/>
              <w:left w:val="nil"/>
              <w:bottom w:val="nil"/>
              <w:right w:val="nil"/>
            </w:tcBorders>
            <w:shd w:val="clear" w:color="auto" w:fill="auto"/>
            <w:noWrap/>
            <w:vAlign w:val="center"/>
            <w:hideMark/>
          </w:tcPr>
          <w:p w14:paraId="11C0F0D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35 860 126,9</w:t>
            </w:r>
          </w:p>
        </w:tc>
        <w:tc>
          <w:tcPr>
            <w:tcW w:w="1180" w:type="dxa"/>
            <w:tcBorders>
              <w:top w:val="nil"/>
              <w:left w:val="nil"/>
              <w:bottom w:val="nil"/>
              <w:right w:val="nil"/>
            </w:tcBorders>
            <w:shd w:val="clear" w:color="auto" w:fill="auto"/>
            <w:noWrap/>
            <w:vAlign w:val="center"/>
            <w:hideMark/>
          </w:tcPr>
          <w:p w14:paraId="31E5163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99,7</w:t>
            </w:r>
          </w:p>
        </w:tc>
      </w:tr>
      <w:tr w:rsidR="009F7FF6" w:rsidRPr="005C53F5" w14:paraId="2C0E8E88" w14:textId="77777777" w:rsidTr="009F6321">
        <w:trPr>
          <w:trHeight w:val="225"/>
        </w:trPr>
        <w:tc>
          <w:tcPr>
            <w:tcW w:w="4820" w:type="dxa"/>
            <w:tcBorders>
              <w:top w:val="nil"/>
              <w:left w:val="nil"/>
              <w:bottom w:val="nil"/>
              <w:right w:val="nil"/>
            </w:tcBorders>
            <w:shd w:val="clear" w:color="auto" w:fill="auto"/>
            <w:vAlign w:val="center"/>
            <w:hideMark/>
          </w:tcPr>
          <w:p w14:paraId="4D83D221"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Транспорт и коммуникации</w:t>
            </w:r>
          </w:p>
        </w:tc>
        <w:tc>
          <w:tcPr>
            <w:tcW w:w="1960" w:type="dxa"/>
            <w:tcBorders>
              <w:top w:val="nil"/>
              <w:left w:val="nil"/>
              <w:bottom w:val="nil"/>
              <w:right w:val="nil"/>
            </w:tcBorders>
            <w:shd w:val="clear" w:color="auto" w:fill="auto"/>
            <w:noWrap/>
            <w:vAlign w:val="center"/>
            <w:hideMark/>
          </w:tcPr>
          <w:p w14:paraId="552123C3"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836 297 816,5</w:t>
            </w:r>
          </w:p>
        </w:tc>
        <w:tc>
          <w:tcPr>
            <w:tcW w:w="1725" w:type="dxa"/>
            <w:tcBorders>
              <w:top w:val="nil"/>
              <w:left w:val="nil"/>
              <w:bottom w:val="nil"/>
              <w:right w:val="nil"/>
            </w:tcBorders>
            <w:shd w:val="clear" w:color="auto" w:fill="auto"/>
            <w:noWrap/>
            <w:vAlign w:val="center"/>
            <w:hideMark/>
          </w:tcPr>
          <w:p w14:paraId="7365DFA1"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834 187 237,7</w:t>
            </w:r>
          </w:p>
        </w:tc>
        <w:tc>
          <w:tcPr>
            <w:tcW w:w="1180" w:type="dxa"/>
            <w:tcBorders>
              <w:top w:val="nil"/>
              <w:left w:val="nil"/>
              <w:bottom w:val="nil"/>
              <w:right w:val="nil"/>
            </w:tcBorders>
            <w:shd w:val="clear" w:color="auto" w:fill="auto"/>
            <w:noWrap/>
            <w:vAlign w:val="center"/>
            <w:hideMark/>
          </w:tcPr>
          <w:p w14:paraId="264123FE"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99,7</w:t>
            </w:r>
          </w:p>
        </w:tc>
      </w:tr>
      <w:tr w:rsidR="009F7FF6" w:rsidRPr="005C53F5" w14:paraId="20DD980F" w14:textId="77777777" w:rsidTr="009F6321">
        <w:trPr>
          <w:trHeight w:val="225"/>
        </w:trPr>
        <w:tc>
          <w:tcPr>
            <w:tcW w:w="4820" w:type="dxa"/>
            <w:tcBorders>
              <w:top w:val="nil"/>
              <w:left w:val="nil"/>
              <w:bottom w:val="nil"/>
              <w:right w:val="nil"/>
            </w:tcBorders>
            <w:shd w:val="clear" w:color="auto" w:fill="auto"/>
            <w:vAlign w:val="center"/>
            <w:hideMark/>
          </w:tcPr>
          <w:p w14:paraId="457EC748"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Прочие</w:t>
            </w:r>
          </w:p>
        </w:tc>
        <w:tc>
          <w:tcPr>
            <w:tcW w:w="1960" w:type="dxa"/>
            <w:tcBorders>
              <w:top w:val="nil"/>
              <w:left w:val="nil"/>
              <w:bottom w:val="nil"/>
              <w:right w:val="nil"/>
            </w:tcBorders>
            <w:shd w:val="clear" w:color="auto" w:fill="auto"/>
            <w:noWrap/>
            <w:vAlign w:val="center"/>
            <w:hideMark/>
          </w:tcPr>
          <w:p w14:paraId="2BAFE0C3"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245 146 810,6</w:t>
            </w:r>
          </w:p>
        </w:tc>
        <w:tc>
          <w:tcPr>
            <w:tcW w:w="1725" w:type="dxa"/>
            <w:tcBorders>
              <w:top w:val="nil"/>
              <w:left w:val="nil"/>
              <w:bottom w:val="nil"/>
              <w:right w:val="nil"/>
            </w:tcBorders>
            <w:shd w:val="clear" w:color="auto" w:fill="auto"/>
            <w:noWrap/>
            <w:vAlign w:val="center"/>
            <w:hideMark/>
          </w:tcPr>
          <w:p w14:paraId="154E56E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225 843 213,2</w:t>
            </w:r>
          </w:p>
        </w:tc>
        <w:tc>
          <w:tcPr>
            <w:tcW w:w="1180" w:type="dxa"/>
            <w:tcBorders>
              <w:top w:val="nil"/>
              <w:left w:val="nil"/>
              <w:bottom w:val="nil"/>
              <w:right w:val="nil"/>
            </w:tcBorders>
            <w:shd w:val="clear" w:color="auto" w:fill="auto"/>
            <w:noWrap/>
            <w:vAlign w:val="center"/>
            <w:hideMark/>
          </w:tcPr>
          <w:p w14:paraId="7967DED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92,1</w:t>
            </w:r>
          </w:p>
        </w:tc>
      </w:tr>
      <w:tr w:rsidR="009F7FF6" w:rsidRPr="005C53F5" w14:paraId="25DD0F9A" w14:textId="77777777" w:rsidTr="009F6321">
        <w:trPr>
          <w:trHeight w:val="225"/>
        </w:trPr>
        <w:tc>
          <w:tcPr>
            <w:tcW w:w="4820" w:type="dxa"/>
            <w:tcBorders>
              <w:top w:val="nil"/>
              <w:left w:val="nil"/>
              <w:bottom w:val="nil"/>
              <w:right w:val="nil"/>
            </w:tcBorders>
            <w:shd w:val="clear" w:color="auto" w:fill="auto"/>
            <w:vAlign w:val="center"/>
            <w:hideMark/>
          </w:tcPr>
          <w:p w14:paraId="701F2DEB"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Обслуживание долга</w:t>
            </w:r>
          </w:p>
        </w:tc>
        <w:tc>
          <w:tcPr>
            <w:tcW w:w="1960" w:type="dxa"/>
            <w:tcBorders>
              <w:top w:val="nil"/>
              <w:left w:val="nil"/>
              <w:bottom w:val="nil"/>
              <w:right w:val="nil"/>
            </w:tcBorders>
            <w:shd w:val="clear" w:color="auto" w:fill="auto"/>
            <w:noWrap/>
            <w:vAlign w:val="center"/>
            <w:hideMark/>
          </w:tcPr>
          <w:p w14:paraId="7731929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587 682 928,5</w:t>
            </w:r>
          </w:p>
        </w:tc>
        <w:tc>
          <w:tcPr>
            <w:tcW w:w="1725" w:type="dxa"/>
            <w:tcBorders>
              <w:top w:val="nil"/>
              <w:left w:val="nil"/>
              <w:bottom w:val="nil"/>
              <w:right w:val="nil"/>
            </w:tcBorders>
            <w:shd w:val="clear" w:color="auto" w:fill="auto"/>
            <w:noWrap/>
            <w:vAlign w:val="center"/>
            <w:hideMark/>
          </w:tcPr>
          <w:p w14:paraId="43D1C5B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587 662 676,2</w:t>
            </w:r>
          </w:p>
        </w:tc>
        <w:tc>
          <w:tcPr>
            <w:tcW w:w="1180" w:type="dxa"/>
            <w:tcBorders>
              <w:top w:val="nil"/>
              <w:left w:val="nil"/>
              <w:bottom w:val="nil"/>
              <w:right w:val="nil"/>
            </w:tcBorders>
            <w:shd w:val="clear" w:color="auto" w:fill="auto"/>
            <w:noWrap/>
            <w:vAlign w:val="center"/>
            <w:hideMark/>
          </w:tcPr>
          <w:p w14:paraId="619B822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694E0F6A" w14:textId="77777777" w:rsidTr="009F6321">
        <w:trPr>
          <w:trHeight w:val="225"/>
        </w:trPr>
        <w:tc>
          <w:tcPr>
            <w:tcW w:w="4820" w:type="dxa"/>
            <w:tcBorders>
              <w:top w:val="nil"/>
              <w:left w:val="nil"/>
              <w:bottom w:val="nil"/>
              <w:right w:val="nil"/>
            </w:tcBorders>
            <w:shd w:val="clear" w:color="auto" w:fill="auto"/>
            <w:vAlign w:val="center"/>
            <w:hideMark/>
          </w:tcPr>
          <w:p w14:paraId="2CAC3CF8"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Трансферты</w:t>
            </w:r>
          </w:p>
        </w:tc>
        <w:tc>
          <w:tcPr>
            <w:tcW w:w="1960" w:type="dxa"/>
            <w:tcBorders>
              <w:top w:val="nil"/>
              <w:left w:val="nil"/>
              <w:bottom w:val="nil"/>
              <w:right w:val="nil"/>
            </w:tcBorders>
            <w:shd w:val="clear" w:color="auto" w:fill="auto"/>
            <w:noWrap/>
            <w:vAlign w:val="center"/>
            <w:hideMark/>
          </w:tcPr>
          <w:p w14:paraId="66ABCE8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10 467 010,1</w:t>
            </w:r>
          </w:p>
        </w:tc>
        <w:tc>
          <w:tcPr>
            <w:tcW w:w="1725" w:type="dxa"/>
            <w:tcBorders>
              <w:top w:val="nil"/>
              <w:left w:val="nil"/>
              <w:bottom w:val="nil"/>
              <w:right w:val="nil"/>
            </w:tcBorders>
            <w:shd w:val="clear" w:color="auto" w:fill="auto"/>
            <w:noWrap/>
            <w:vAlign w:val="center"/>
            <w:hideMark/>
          </w:tcPr>
          <w:p w14:paraId="681E37F3"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10 466 774,8</w:t>
            </w:r>
          </w:p>
        </w:tc>
        <w:tc>
          <w:tcPr>
            <w:tcW w:w="1180" w:type="dxa"/>
            <w:tcBorders>
              <w:top w:val="nil"/>
              <w:left w:val="nil"/>
              <w:bottom w:val="nil"/>
              <w:right w:val="nil"/>
            </w:tcBorders>
            <w:shd w:val="clear" w:color="auto" w:fill="auto"/>
            <w:noWrap/>
            <w:vAlign w:val="center"/>
            <w:hideMark/>
          </w:tcPr>
          <w:p w14:paraId="6A55669A"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52028D77" w14:textId="77777777" w:rsidTr="009F6321">
        <w:trPr>
          <w:trHeight w:val="420"/>
        </w:trPr>
        <w:tc>
          <w:tcPr>
            <w:tcW w:w="4820" w:type="dxa"/>
            <w:tcBorders>
              <w:top w:val="nil"/>
              <w:left w:val="nil"/>
              <w:bottom w:val="nil"/>
              <w:right w:val="nil"/>
            </w:tcBorders>
            <w:shd w:val="clear" w:color="auto" w:fill="auto"/>
            <w:vAlign w:val="center"/>
            <w:hideMark/>
          </w:tcPr>
          <w:p w14:paraId="72B23DCE"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Покрытие расходов, связанных с управлением Нацфондом и проведением ежегодного внешнего аудита</w:t>
            </w:r>
          </w:p>
        </w:tc>
        <w:tc>
          <w:tcPr>
            <w:tcW w:w="1960" w:type="dxa"/>
            <w:tcBorders>
              <w:top w:val="nil"/>
              <w:left w:val="nil"/>
              <w:bottom w:val="nil"/>
              <w:right w:val="nil"/>
            </w:tcBorders>
            <w:shd w:val="clear" w:color="auto" w:fill="auto"/>
            <w:noWrap/>
            <w:vAlign w:val="center"/>
            <w:hideMark/>
          </w:tcPr>
          <w:p w14:paraId="3AFA020B"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15 344 244,0</w:t>
            </w:r>
          </w:p>
        </w:tc>
        <w:tc>
          <w:tcPr>
            <w:tcW w:w="1725" w:type="dxa"/>
            <w:tcBorders>
              <w:top w:val="nil"/>
              <w:left w:val="nil"/>
              <w:bottom w:val="nil"/>
              <w:right w:val="nil"/>
            </w:tcBorders>
            <w:shd w:val="clear" w:color="auto" w:fill="auto"/>
            <w:noWrap/>
            <w:vAlign w:val="center"/>
            <w:hideMark/>
          </w:tcPr>
          <w:p w14:paraId="242D43BA"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18 074 427,0</w:t>
            </w:r>
          </w:p>
        </w:tc>
        <w:tc>
          <w:tcPr>
            <w:tcW w:w="1180" w:type="dxa"/>
            <w:tcBorders>
              <w:top w:val="nil"/>
              <w:left w:val="nil"/>
              <w:bottom w:val="nil"/>
              <w:right w:val="nil"/>
            </w:tcBorders>
            <w:shd w:val="clear" w:color="auto" w:fill="auto"/>
            <w:noWrap/>
            <w:vAlign w:val="center"/>
            <w:hideMark/>
          </w:tcPr>
          <w:p w14:paraId="778C0757"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117,8</w:t>
            </w:r>
          </w:p>
        </w:tc>
      </w:tr>
      <w:tr w:rsidR="009F7FF6" w:rsidRPr="005C53F5" w14:paraId="3237D720" w14:textId="77777777" w:rsidTr="009F6321">
        <w:trPr>
          <w:trHeight w:val="225"/>
        </w:trPr>
        <w:tc>
          <w:tcPr>
            <w:tcW w:w="4820" w:type="dxa"/>
            <w:tcBorders>
              <w:top w:val="nil"/>
              <w:left w:val="nil"/>
              <w:bottom w:val="nil"/>
              <w:right w:val="nil"/>
            </w:tcBorders>
            <w:shd w:val="clear" w:color="auto" w:fill="auto"/>
            <w:vAlign w:val="center"/>
            <w:hideMark/>
          </w:tcPr>
          <w:p w14:paraId="46F9E79F"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III. ЧИСТОЕ БЮДЖЕТНОЕ КРЕДИТОВАНИЕ</w:t>
            </w:r>
          </w:p>
        </w:tc>
        <w:tc>
          <w:tcPr>
            <w:tcW w:w="1960" w:type="dxa"/>
            <w:tcBorders>
              <w:top w:val="nil"/>
              <w:left w:val="nil"/>
              <w:bottom w:val="nil"/>
              <w:right w:val="nil"/>
            </w:tcBorders>
            <w:shd w:val="clear" w:color="auto" w:fill="auto"/>
            <w:noWrap/>
            <w:vAlign w:val="center"/>
            <w:hideMark/>
          </w:tcPr>
          <w:p w14:paraId="7C378CFC"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156 753 454,0</w:t>
            </w:r>
          </w:p>
        </w:tc>
        <w:tc>
          <w:tcPr>
            <w:tcW w:w="1725" w:type="dxa"/>
            <w:tcBorders>
              <w:top w:val="nil"/>
              <w:left w:val="nil"/>
              <w:bottom w:val="nil"/>
              <w:right w:val="nil"/>
            </w:tcBorders>
            <w:shd w:val="clear" w:color="auto" w:fill="auto"/>
            <w:noWrap/>
            <w:vAlign w:val="center"/>
            <w:hideMark/>
          </w:tcPr>
          <w:p w14:paraId="7A2891A9"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162 839 576,2</w:t>
            </w:r>
          </w:p>
        </w:tc>
        <w:tc>
          <w:tcPr>
            <w:tcW w:w="1180" w:type="dxa"/>
            <w:tcBorders>
              <w:top w:val="nil"/>
              <w:left w:val="nil"/>
              <w:bottom w:val="nil"/>
              <w:right w:val="nil"/>
            </w:tcBorders>
            <w:shd w:val="clear" w:color="auto" w:fill="auto"/>
            <w:noWrap/>
            <w:vAlign w:val="center"/>
            <w:hideMark/>
          </w:tcPr>
          <w:p w14:paraId="0168F2D0"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p>
        </w:tc>
      </w:tr>
      <w:tr w:rsidR="009F7FF6" w:rsidRPr="005C53F5" w14:paraId="66CBA4E9" w14:textId="77777777" w:rsidTr="009F6321">
        <w:trPr>
          <w:trHeight w:val="210"/>
        </w:trPr>
        <w:tc>
          <w:tcPr>
            <w:tcW w:w="4820" w:type="dxa"/>
            <w:tcBorders>
              <w:top w:val="nil"/>
              <w:left w:val="nil"/>
              <w:bottom w:val="nil"/>
              <w:right w:val="nil"/>
            </w:tcBorders>
            <w:shd w:val="clear" w:color="auto" w:fill="auto"/>
            <w:vAlign w:val="center"/>
            <w:hideMark/>
          </w:tcPr>
          <w:p w14:paraId="2344BDFF"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БЮДЖЕТНЫЕ КРЕДИТЫ</w:t>
            </w:r>
          </w:p>
        </w:tc>
        <w:tc>
          <w:tcPr>
            <w:tcW w:w="1960" w:type="dxa"/>
            <w:tcBorders>
              <w:top w:val="nil"/>
              <w:left w:val="nil"/>
              <w:bottom w:val="nil"/>
              <w:right w:val="nil"/>
            </w:tcBorders>
            <w:shd w:val="clear" w:color="auto" w:fill="auto"/>
            <w:noWrap/>
            <w:vAlign w:val="center"/>
            <w:hideMark/>
          </w:tcPr>
          <w:p w14:paraId="1F3996AD"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273 139 352,8</w:t>
            </w:r>
          </w:p>
        </w:tc>
        <w:tc>
          <w:tcPr>
            <w:tcW w:w="1725" w:type="dxa"/>
            <w:tcBorders>
              <w:top w:val="nil"/>
              <w:left w:val="nil"/>
              <w:bottom w:val="nil"/>
              <w:right w:val="nil"/>
            </w:tcBorders>
            <w:shd w:val="clear" w:color="auto" w:fill="auto"/>
            <w:noWrap/>
            <w:vAlign w:val="center"/>
            <w:hideMark/>
          </w:tcPr>
          <w:p w14:paraId="7F561B0F"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272 937 051,7</w:t>
            </w:r>
          </w:p>
        </w:tc>
        <w:tc>
          <w:tcPr>
            <w:tcW w:w="1180" w:type="dxa"/>
            <w:tcBorders>
              <w:top w:val="nil"/>
              <w:left w:val="nil"/>
              <w:bottom w:val="nil"/>
              <w:right w:val="nil"/>
            </w:tcBorders>
            <w:shd w:val="clear" w:color="auto" w:fill="auto"/>
            <w:noWrap/>
            <w:vAlign w:val="center"/>
            <w:hideMark/>
          </w:tcPr>
          <w:p w14:paraId="25591D74"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99,9</w:t>
            </w:r>
          </w:p>
        </w:tc>
      </w:tr>
      <w:tr w:rsidR="009F7FF6" w:rsidRPr="005C53F5" w14:paraId="3F4BC96B" w14:textId="77777777" w:rsidTr="009F6321">
        <w:trPr>
          <w:trHeight w:val="225"/>
        </w:trPr>
        <w:tc>
          <w:tcPr>
            <w:tcW w:w="4820" w:type="dxa"/>
            <w:tcBorders>
              <w:top w:val="nil"/>
              <w:left w:val="nil"/>
              <w:bottom w:val="nil"/>
              <w:right w:val="nil"/>
            </w:tcBorders>
            <w:shd w:val="clear" w:color="auto" w:fill="auto"/>
            <w:vAlign w:val="center"/>
            <w:hideMark/>
          </w:tcPr>
          <w:p w14:paraId="2D825A35"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Социальная помощь и социальное обеспечение</w:t>
            </w:r>
          </w:p>
        </w:tc>
        <w:tc>
          <w:tcPr>
            <w:tcW w:w="1960" w:type="dxa"/>
            <w:tcBorders>
              <w:top w:val="nil"/>
              <w:left w:val="nil"/>
              <w:bottom w:val="nil"/>
              <w:right w:val="nil"/>
            </w:tcBorders>
            <w:shd w:val="clear" w:color="auto" w:fill="auto"/>
            <w:noWrap/>
            <w:vAlign w:val="center"/>
            <w:hideMark/>
          </w:tcPr>
          <w:p w14:paraId="7CCB7BBE"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2 693 890,0</w:t>
            </w:r>
          </w:p>
        </w:tc>
        <w:tc>
          <w:tcPr>
            <w:tcW w:w="1725" w:type="dxa"/>
            <w:tcBorders>
              <w:top w:val="nil"/>
              <w:left w:val="nil"/>
              <w:bottom w:val="nil"/>
              <w:right w:val="nil"/>
            </w:tcBorders>
            <w:shd w:val="clear" w:color="auto" w:fill="auto"/>
            <w:noWrap/>
            <w:vAlign w:val="center"/>
            <w:hideMark/>
          </w:tcPr>
          <w:p w14:paraId="255715B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2 693 890,0</w:t>
            </w:r>
          </w:p>
        </w:tc>
        <w:tc>
          <w:tcPr>
            <w:tcW w:w="1180" w:type="dxa"/>
            <w:tcBorders>
              <w:top w:val="nil"/>
              <w:left w:val="nil"/>
              <w:bottom w:val="nil"/>
              <w:right w:val="nil"/>
            </w:tcBorders>
            <w:shd w:val="clear" w:color="auto" w:fill="auto"/>
            <w:noWrap/>
            <w:vAlign w:val="center"/>
            <w:hideMark/>
          </w:tcPr>
          <w:p w14:paraId="18E90AB0"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4A608828" w14:textId="77777777" w:rsidTr="009F6321">
        <w:trPr>
          <w:trHeight w:val="225"/>
        </w:trPr>
        <w:tc>
          <w:tcPr>
            <w:tcW w:w="4820" w:type="dxa"/>
            <w:tcBorders>
              <w:top w:val="nil"/>
              <w:left w:val="nil"/>
              <w:bottom w:val="nil"/>
              <w:right w:val="nil"/>
            </w:tcBorders>
            <w:shd w:val="clear" w:color="auto" w:fill="auto"/>
            <w:vAlign w:val="center"/>
            <w:hideMark/>
          </w:tcPr>
          <w:p w14:paraId="597AF2A6"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Жилищно-коммунальное хозяйство</w:t>
            </w:r>
          </w:p>
        </w:tc>
        <w:tc>
          <w:tcPr>
            <w:tcW w:w="1960" w:type="dxa"/>
            <w:tcBorders>
              <w:top w:val="nil"/>
              <w:left w:val="nil"/>
              <w:bottom w:val="nil"/>
              <w:right w:val="nil"/>
            </w:tcBorders>
            <w:shd w:val="clear" w:color="auto" w:fill="auto"/>
            <w:noWrap/>
            <w:vAlign w:val="center"/>
            <w:hideMark/>
          </w:tcPr>
          <w:p w14:paraId="5CBBAFE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46 711 658,8</w:t>
            </w:r>
          </w:p>
        </w:tc>
        <w:tc>
          <w:tcPr>
            <w:tcW w:w="1725" w:type="dxa"/>
            <w:tcBorders>
              <w:top w:val="nil"/>
              <w:left w:val="nil"/>
              <w:bottom w:val="nil"/>
              <w:right w:val="nil"/>
            </w:tcBorders>
            <w:shd w:val="clear" w:color="auto" w:fill="auto"/>
            <w:noWrap/>
            <w:vAlign w:val="center"/>
            <w:hideMark/>
          </w:tcPr>
          <w:p w14:paraId="27583CD0"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46 711 658,6</w:t>
            </w:r>
          </w:p>
        </w:tc>
        <w:tc>
          <w:tcPr>
            <w:tcW w:w="1180" w:type="dxa"/>
            <w:tcBorders>
              <w:top w:val="nil"/>
              <w:left w:val="nil"/>
              <w:bottom w:val="nil"/>
              <w:right w:val="nil"/>
            </w:tcBorders>
            <w:shd w:val="clear" w:color="auto" w:fill="auto"/>
            <w:noWrap/>
            <w:vAlign w:val="center"/>
            <w:hideMark/>
          </w:tcPr>
          <w:p w14:paraId="7F21AFC1"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1602FD53" w14:textId="77777777" w:rsidTr="009F6321">
        <w:trPr>
          <w:trHeight w:val="675"/>
        </w:trPr>
        <w:tc>
          <w:tcPr>
            <w:tcW w:w="4820" w:type="dxa"/>
            <w:tcBorders>
              <w:top w:val="nil"/>
              <w:left w:val="nil"/>
              <w:bottom w:val="nil"/>
              <w:right w:val="nil"/>
            </w:tcBorders>
            <w:shd w:val="clear" w:color="auto" w:fill="auto"/>
            <w:vAlign w:val="center"/>
            <w:hideMark/>
          </w:tcPr>
          <w:p w14:paraId="745448E9"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960" w:type="dxa"/>
            <w:tcBorders>
              <w:top w:val="nil"/>
              <w:left w:val="nil"/>
              <w:bottom w:val="nil"/>
              <w:right w:val="nil"/>
            </w:tcBorders>
            <w:shd w:val="clear" w:color="auto" w:fill="auto"/>
            <w:noWrap/>
            <w:vAlign w:val="center"/>
            <w:hideMark/>
          </w:tcPr>
          <w:p w14:paraId="607DFF70"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120 291 420,8</w:t>
            </w:r>
          </w:p>
        </w:tc>
        <w:tc>
          <w:tcPr>
            <w:tcW w:w="1725" w:type="dxa"/>
            <w:tcBorders>
              <w:top w:val="nil"/>
              <w:left w:val="nil"/>
              <w:bottom w:val="nil"/>
              <w:right w:val="nil"/>
            </w:tcBorders>
            <w:shd w:val="clear" w:color="auto" w:fill="auto"/>
            <w:noWrap/>
            <w:vAlign w:val="center"/>
            <w:hideMark/>
          </w:tcPr>
          <w:p w14:paraId="5CBD61FF"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120 089 120,0</w:t>
            </w:r>
          </w:p>
        </w:tc>
        <w:tc>
          <w:tcPr>
            <w:tcW w:w="1180" w:type="dxa"/>
            <w:tcBorders>
              <w:top w:val="nil"/>
              <w:left w:val="nil"/>
              <w:bottom w:val="nil"/>
              <w:right w:val="nil"/>
            </w:tcBorders>
            <w:shd w:val="clear" w:color="auto" w:fill="auto"/>
            <w:noWrap/>
            <w:vAlign w:val="center"/>
            <w:hideMark/>
          </w:tcPr>
          <w:p w14:paraId="68656C9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99,8</w:t>
            </w:r>
          </w:p>
        </w:tc>
      </w:tr>
      <w:tr w:rsidR="009F7FF6" w:rsidRPr="005C53F5" w14:paraId="2BB5F901" w14:textId="77777777" w:rsidTr="009F6321">
        <w:trPr>
          <w:trHeight w:val="450"/>
        </w:trPr>
        <w:tc>
          <w:tcPr>
            <w:tcW w:w="4820" w:type="dxa"/>
            <w:tcBorders>
              <w:top w:val="nil"/>
              <w:left w:val="nil"/>
              <w:bottom w:val="nil"/>
              <w:right w:val="nil"/>
            </w:tcBorders>
            <w:shd w:val="clear" w:color="auto" w:fill="auto"/>
            <w:vAlign w:val="center"/>
            <w:hideMark/>
          </w:tcPr>
          <w:p w14:paraId="0BBD1C4B"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Промышленность, архитектурная, градостроительная и строительная деятельность</w:t>
            </w:r>
          </w:p>
        </w:tc>
        <w:tc>
          <w:tcPr>
            <w:tcW w:w="1960" w:type="dxa"/>
            <w:tcBorders>
              <w:top w:val="nil"/>
              <w:left w:val="nil"/>
              <w:bottom w:val="nil"/>
              <w:right w:val="nil"/>
            </w:tcBorders>
            <w:shd w:val="clear" w:color="auto" w:fill="auto"/>
            <w:noWrap/>
            <w:vAlign w:val="center"/>
            <w:hideMark/>
          </w:tcPr>
          <w:p w14:paraId="70F31321"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13 000 000,0</w:t>
            </w:r>
          </w:p>
        </w:tc>
        <w:tc>
          <w:tcPr>
            <w:tcW w:w="1725" w:type="dxa"/>
            <w:tcBorders>
              <w:top w:val="nil"/>
              <w:left w:val="nil"/>
              <w:bottom w:val="nil"/>
              <w:right w:val="nil"/>
            </w:tcBorders>
            <w:shd w:val="clear" w:color="auto" w:fill="auto"/>
            <w:noWrap/>
            <w:vAlign w:val="center"/>
            <w:hideMark/>
          </w:tcPr>
          <w:p w14:paraId="3831C76F"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13 000 000,0</w:t>
            </w:r>
          </w:p>
        </w:tc>
        <w:tc>
          <w:tcPr>
            <w:tcW w:w="1180" w:type="dxa"/>
            <w:tcBorders>
              <w:top w:val="nil"/>
              <w:left w:val="nil"/>
              <w:bottom w:val="nil"/>
              <w:right w:val="nil"/>
            </w:tcBorders>
            <w:shd w:val="clear" w:color="auto" w:fill="auto"/>
            <w:noWrap/>
            <w:vAlign w:val="center"/>
            <w:hideMark/>
          </w:tcPr>
          <w:p w14:paraId="68BCBD4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423386F5" w14:textId="77777777" w:rsidTr="009F6321">
        <w:trPr>
          <w:trHeight w:val="225"/>
        </w:trPr>
        <w:tc>
          <w:tcPr>
            <w:tcW w:w="4820" w:type="dxa"/>
            <w:tcBorders>
              <w:top w:val="nil"/>
              <w:left w:val="nil"/>
              <w:bottom w:val="nil"/>
              <w:right w:val="nil"/>
            </w:tcBorders>
            <w:shd w:val="clear" w:color="auto" w:fill="auto"/>
            <w:vAlign w:val="center"/>
            <w:hideMark/>
          </w:tcPr>
          <w:p w14:paraId="7F1E5548"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Транспорт и коммуникации</w:t>
            </w:r>
          </w:p>
        </w:tc>
        <w:tc>
          <w:tcPr>
            <w:tcW w:w="1960" w:type="dxa"/>
            <w:tcBorders>
              <w:top w:val="nil"/>
              <w:left w:val="nil"/>
              <w:bottom w:val="nil"/>
              <w:right w:val="nil"/>
            </w:tcBorders>
            <w:shd w:val="clear" w:color="auto" w:fill="auto"/>
            <w:noWrap/>
            <w:vAlign w:val="center"/>
            <w:hideMark/>
          </w:tcPr>
          <w:p w14:paraId="49BA94A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12 537 182,0</w:t>
            </w:r>
          </w:p>
        </w:tc>
        <w:tc>
          <w:tcPr>
            <w:tcW w:w="1725" w:type="dxa"/>
            <w:tcBorders>
              <w:top w:val="nil"/>
              <w:left w:val="nil"/>
              <w:bottom w:val="nil"/>
              <w:right w:val="nil"/>
            </w:tcBorders>
            <w:shd w:val="clear" w:color="auto" w:fill="auto"/>
            <w:noWrap/>
            <w:vAlign w:val="center"/>
            <w:hideMark/>
          </w:tcPr>
          <w:p w14:paraId="15E5C14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12 537 182,0</w:t>
            </w:r>
          </w:p>
        </w:tc>
        <w:tc>
          <w:tcPr>
            <w:tcW w:w="1180" w:type="dxa"/>
            <w:tcBorders>
              <w:top w:val="nil"/>
              <w:left w:val="nil"/>
              <w:bottom w:val="nil"/>
              <w:right w:val="nil"/>
            </w:tcBorders>
            <w:shd w:val="clear" w:color="auto" w:fill="auto"/>
            <w:noWrap/>
            <w:vAlign w:val="center"/>
            <w:hideMark/>
          </w:tcPr>
          <w:p w14:paraId="2A34AF3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2E0E2C8B" w14:textId="77777777" w:rsidTr="009F6321">
        <w:trPr>
          <w:trHeight w:val="225"/>
        </w:trPr>
        <w:tc>
          <w:tcPr>
            <w:tcW w:w="4820" w:type="dxa"/>
            <w:tcBorders>
              <w:top w:val="nil"/>
              <w:left w:val="nil"/>
              <w:bottom w:val="nil"/>
              <w:right w:val="nil"/>
            </w:tcBorders>
            <w:shd w:val="clear" w:color="auto" w:fill="auto"/>
            <w:vAlign w:val="center"/>
            <w:hideMark/>
          </w:tcPr>
          <w:p w14:paraId="4DCD5000"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Прочие</w:t>
            </w:r>
          </w:p>
        </w:tc>
        <w:tc>
          <w:tcPr>
            <w:tcW w:w="1960" w:type="dxa"/>
            <w:tcBorders>
              <w:top w:val="nil"/>
              <w:left w:val="nil"/>
              <w:bottom w:val="nil"/>
              <w:right w:val="nil"/>
            </w:tcBorders>
            <w:shd w:val="clear" w:color="auto" w:fill="auto"/>
            <w:noWrap/>
            <w:vAlign w:val="center"/>
            <w:hideMark/>
          </w:tcPr>
          <w:p w14:paraId="5882F88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77 905 201,2</w:t>
            </w:r>
          </w:p>
        </w:tc>
        <w:tc>
          <w:tcPr>
            <w:tcW w:w="1725" w:type="dxa"/>
            <w:tcBorders>
              <w:top w:val="nil"/>
              <w:left w:val="nil"/>
              <w:bottom w:val="nil"/>
              <w:right w:val="nil"/>
            </w:tcBorders>
            <w:shd w:val="clear" w:color="auto" w:fill="auto"/>
            <w:noWrap/>
            <w:vAlign w:val="center"/>
            <w:hideMark/>
          </w:tcPr>
          <w:p w14:paraId="3385156E"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77 905 201,1</w:t>
            </w:r>
          </w:p>
        </w:tc>
        <w:tc>
          <w:tcPr>
            <w:tcW w:w="1180" w:type="dxa"/>
            <w:tcBorders>
              <w:top w:val="nil"/>
              <w:left w:val="nil"/>
              <w:bottom w:val="nil"/>
              <w:right w:val="nil"/>
            </w:tcBorders>
            <w:shd w:val="clear" w:color="auto" w:fill="auto"/>
            <w:noWrap/>
            <w:vAlign w:val="center"/>
            <w:hideMark/>
          </w:tcPr>
          <w:p w14:paraId="1393F441"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661900CB" w14:textId="77777777" w:rsidTr="009F6321">
        <w:trPr>
          <w:trHeight w:val="210"/>
        </w:trPr>
        <w:tc>
          <w:tcPr>
            <w:tcW w:w="4820" w:type="dxa"/>
            <w:tcBorders>
              <w:top w:val="nil"/>
              <w:left w:val="nil"/>
              <w:bottom w:val="nil"/>
              <w:right w:val="nil"/>
            </w:tcBorders>
            <w:shd w:val="clear" w:color="auto" w:fill="auto"/>
            <w:vAlign w:val="center"/>
            <w:hideMark/>
          </w:tcPr>
          <w:p w14:paraId="70CF9C8C"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ПОГАШЕНИЕ БЮДЖЕТНЫХ КРЕДИТОВ</w:t>
            </w:r>
          </w:p>
        </w:tc>
        <w:tc>
          <w:tcPr>
            <w:tcW w:w="1960" w:type="dxa"/>
            <w:tcBorders>
              <w:top w:val="nil"/>
              <w:left w:val="nil"/>
              <w:bottom w:val="nil"/>
              <w:right w:val="nil"/>
            </w:tcBorders>
            <w:shd w:val="clear" w:color="auto" w:fill="auto"/>
            <w:noWrap/>
            <w:vAlign w:val="center"/>
            <w:hideMark/>
          </w:tcPr>
          <w:p w14:paraId="67B58EB5"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116 385 898,8</w:t>
            </w:r>
          </w:p>
        </w:tc>
        <w:tc>
          <w:tcPr>
            <w:tcW w:w="1725" w:type="dxa"/>
            <w:tcBorders>
              <w:top w:val="nil"/>
              <w:left w:val="nil"/>
              <w:bottom w:val="nil"/>
              <w:right w:val="nil"/>
            </w:tcBorders>
            <w:shd w:val="clear" w:color="auto" w:fill="auto"/>
            <w:noWrap/>
            <w:vAlign w:val="center"/>
            <w:hideMark/>
          </w:tcPr>
          <w:p w14:paraId="3B30ACAA"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110 097 475,5</w:t>
            </w:r>
          </w:p>
        </w:tc>
        <w:tc>
          <w:tcPr>
            <w:tcW w:w="1180" w:type="dxa"/>
            <w:tcBorders>
              <w:top w:val="nil"/>
              <w:left w:val="nil"/>
              <w:bottom w:val="nil"/>
              <w:right w:val="nil"/>
            </w:tcBorders>
            <w:shd w:val="clear" w:color="auto" w:fill="auto"/>
            <w:noWrap/>
            <w:vAlign w:val="center"/>
            <w:hideMark/>
          </w:tcPr>
          <w:p w14:paraId="555CD9B6"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94,6</w:t>
            </w:r>
          </w:p>
        </w:tc>
      </w:tr>
      <w:tr w:rsidR="009F7FF6" w:rsidRPr="005C53F5" w14:paraId="18FDF30B" w14:textId="77777777" w:rsidTr="009F6321">
        <w:trPr>
          <w:trHeight w:val="225"/>
        </w:trPr>
        <w:tc>
          <w:tcPr>
            <w:tcW w:w="4820" w:type="dxa"/>
            <w:tcBorders>
              <w:top w:val="nil"/>
              <w:left w:val="nil"/>
              <w:bottom w:val="nil"/>
              <w:right w:val="nil"/>
            </w:tcBorders>
            <w:shd w:val="clear" w:color="auto" w:fill="auto"/>
            <w:vAlign w:val="center"/>
            <w:hideMark/>
          </w:tcPr>
          <w:p w14:paraId="6840583D"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Погашение бюджетных кредитов</w:t>
            </w:r>
          </w:p>
        </w:tc>
        <w:tc>
          <w:tcPr>
            <w:tcW w:w="1960" w:type="dxa"/>
            <w:tcBorders>
              <w:top w:val="nil"/>
              <w:left w:val="nil"/>
              <w:bottom w:val="nil"/>
              <w:right w:val="nil"/>
            </w:tcBorders>
            <w:shd w:val="clear" w:color="auto" w:fill="auto"/>
            <w:noWrap/>
            <w:vAlign w:val="center"/>
            <w:hideMark/>
          </w:tcPr>
          <w:p w14:paraId="07861CF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116 385 898,8</w:t>
            </w:r>
          </w:p>
        </w:tc>
        <w:tc>
          <w:tcPr>
            <w:tcW w:w="1725" w:type="dxa"/>
            <w:tcBorders>
              <w:top w:val="nil"/>
              <w:left w:val="nil"/>
              <w:bottom w:val="nil"/>
              <w:right w:val="nil"/>
            </w:tcBorders>
            <w:shd w:val="clear" w:color="auto" w:fill="auto"/>
            <w:noWrap/>
            <w:vAlign w:val="center"/>
            <w:hideMark/>
          </w:tcPr>
          <w:p w14:paraId="3F11EC6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110 097 475,5</w:t>
            </w:r>
          </w:p>
        </w:tc>
        <w:tc>
          <w:tcPr>
            <w:tcW w:w="1180" w:type="dxa"/>
            <w:tcBorders>
              <w:top w:val="nil"/>
              <w:left w:val="nil"/>
              <w:bottom w:val="nil"/>
              <w:right w:val="nil"/>
            </w:tcBorders>
            <w:shd w:val="clear" w:color="auto" w:fill="auto"/>
            <w:noWrap/>
            <w:vAlign w:val="center"/>
            <w:hideMark/>
          </w:tcPr>
          <w:p w14:paraId="2DA7CA0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94,6</w:t>
            </w:r>
          </w:p>
        </w:tc>
      </w:tr>
      <w:tr w:rsidR="009F7FF6" w:rsidRPr="005C53F5" w14:paraId="3390212B" w14:textId="77777777" w:rsidTr="009F6321">
        <w:trPr>
          <w:trHeight w:val="225"/>
        </w:trPr>
        <w:tc>
          <w:tcPr>
            <w:tcW w:w="4820" w:type="dxa"/>
            <w:tcBorders>
              <w:top w:val="nil"/>
              <w:left w:val="nil"/>
              <w:bottom w:val="nil"/>
              <w:right w:val="nil"/>
            </w:tcBorders>
            <w:shd w:val="clear" w:color="auto" w:fill="auto"/>
            <w:vAlign w:val="center"/>
            <w:hideMark/>
          </w:tcPr>
          <w:p w14:paraId="61619C93"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IV. САЛЬДО ПО ОПЕРАЦИЯМ С ФИНАНСОВЫМИ АКТИВАМИ</w:t>
            </w:r>
          </w:p>
        </w:tc>
        <w:tc>
          <w:tcPr>
            <w:tcW w:w="1960" w:type="dxa"/>
            <w:tcBorders>
              <w:top w:val="nil"/>
              <w:left w:val="nil"/>
              <w:bottom w:val="nil"/>
              <w:right w:val="nil"/>
            </w:tcBorders>
            <w:shd w:val="clear" w:color="auto" w:fill="auto"/>
            <w:noWrap/>
            <w:vAlign w:val="center"/>
            <w:hideMark/>
          </w:tcPr>
          <w:p w14:paraId="78C09A5A"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117 784 352,9</w:t>
            </w:r>
          </w:p>
        </w:tc>
        <w:tc>
          <w:tcPr>
            <w:tcW w:w="1725" w:type="dxa"/>
            <w:tcBorders>
              <w:top w:val="nil"/>
              <w:left w:val="nil"/>
              <w:bottom w:val="nil"/>
              <w:right w:val="nil"/>
            </w:tcBorders>
            <w:shd w:val="clear" w:color="auto" w:fill="auto"/>
            <w:noWrap/>
            <w:vAlign w:val="center"/>
            <w:hideMark/>
          </w:tcPr>
          <w:p w14:paraId="0FEE5E91"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119 762 300,2</w:t>
            </w:r>
          </w:p>
        </w:tc>
        <w:tc>
          <w:tcPr>
            <w:tcW w:w="1180" w:type="dxa"/>
            <w:tcBorders>
              <w:top w:val="nil"/>
              <w:left w:val="nil"/>
              <w:bottom w:val="nil"/>
              <w:right w:val="nil"/>
            </w:tcBorders>
            <w:shd w:val="clear" w:color="auto" w:fill="auto"/>
            <w:noWrap/>
            <w:vAlign w:val="center"/>
            <w:hideMark/>
          </w:tcPr>
          <w:p w14:paraId="46AE9B7F"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p>
        </w:tc>
      </w:tr>
      <w:tr w:rsidR="009F7FF6" w:rsidRPr="005C53F5" w14:paraId="1573BF32" w14:textId="77777777" w:rsidTr="009F6321">
        <w:trPr>
          <w:trHeight w:val="210"/>
        </w:trPr>
        <w:tc>
          <w:tcPr>
            <w:tcW w:w="4820" w:type="dxa"/>
            <w:tcBorders>
              <w:top w:val="nil"/>
              <w:left w:val="nil"/>
              <w:bottom w:val="nil"/>
              <w:right w:val="nil"/>
            </w:tcBorders>
            <w:shd w:val="clear" w:color="auto" w:fill="auto"/>
            <w:vAlign w:val="center"/>
            <w:hideMark/>
          </w:tcPr>
          <w:p w14:paraId="3B5533C8"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ПРИОБРЕТЕНИЕ ФИНАНСОВЫХ АКТИВОВ</w:t>
            </w:r>
          </w:p>
        </w:tc>
        <w:tc>
          <w:tcPr>
            <w:tcW w:w="1960" w:type="dxa"/>
            <w:tcBorders>
              <w:top w:val="nil"/>
              <w:left w:val="nil"/>
              <w:bottom w:val="nil"/>
              <w:right w:val="nil"/>
            </w:tcBorders>
            <w:shd w:val="clear" w:color="auto" w:fill="auto"/>
            <w:noWrap/>
            <w:vAlign w:val="center"/>
            <w:hideMark/>
          </w:tcPr>
          <w:p w14:paraId="4EB04C3B"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138 753 108,5</w:t>
            </w:r>
          </w:p>
        </w:tc>
        <w:tc>
          <w:tcPr>
            <w:tcW w:w="1725" w:type="dxa"/>
            <w:tcBorders>
              <w:top w:val="nil"/>
              <w:left w:val="nil"/>
              <w:bottom w:val="nil"/>
              <w:right w:val="nil"/>
            </w:tcBorders>
            <w:shd w:val="clear" w:color="auto" w:fill="auto"/>
            <w:noWrap/>
            <w:vAlign w:val="center"/>
            <w:hideMark/>
          </w:tcPr>
          <w:p w14:paraId="5C6965B3"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138 748 126,1</w:t>
            </w:r>
          </w:p>
        </w:tc>
        <w:tc>
          <w:tcPr>
            <w:tcW w:w="1180" w:type="dxa"/>
            <w:tcBorders>
              <w:top w:val="nil"/>
              <w:left w:val="nil"/>
              <w:bottom w:val="nil"/>
              <w:right w:val="nil"/>
            </w:tcBorders>
            <w:shd w:val="clear" w:color="auto" w:fill="auto"/>
            <w:noWrap/>
            <w:vAlign w:val="center"/>
            <w:hideMark/>
          </w:tcPr>
          <w:p w14:paraId="526F5DF1"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100,0</w:t>
            </w:r>
          </w:p>
        </w:tc>
      </w:tr>
      <w:tr w:rsidR="009F7FF6" w:rsidRPr="005C53F5" w14:paraId="5C625314" w14:textId="77777777" w:rsidTr="009F6321">
        <w:trPr>
          <w:trHeight w:val="225"/>
        </w:trPr>
        <w:tc>
          <w:tcPr>
            <w:tcW w:w="4820" w:type="dxa"/>
            <w:tcBorders>
              <w:top w:val="nil"/>
              <w:left w:val="nil"/>
              <w:bottom w:val="nil"/>
              <w:right w:val="nil"/>
            </w:tcBorders>
            <w:shd w:val="clear" w:color="auto" w:fill="auto"/>
            <w:vAlign w:val="center"/>
            <w:hideMark/>
          </w:tcPr>
          <w:p w14:paraId="147A9012"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Государственные услуги общего характера</w:t>
            </w:r>
          </w:p>
        </w:tc>
        <w:tc>
          <w:tcPr>
            <w:tcW w:w="1960" w:type="dxa"/>
            <w:tcBorders>
              <w:top w:val="nil"/>
              <w:left w:val="nil"/>
              <w:bottom w:val="nil"/>
              <w:right w:val="nil"/>
            </w:tcBorders>
            <w:shd w:val="clear" w:color="auto" w:fill="auto"/>
            <w:noWrap/>
            <w:vAlign w:val="center"/>
            <w:hideMark/>
          </w:tcPr>
          <w:p w14:paraId="3CF5D124"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9 741 952,0</w:t>
            </w:r>
          </w:p>
        </w:tc>
        <w:tc>
          <w:tcPr>
            <w:tcW w:w="1725" w:type="dxa"/>
            <w:tcBorders>
              <w:top w:val="nil"/>
              <w:left w:val="nil"/>
              <w:bottom w:val="nil"/>
              <w:right w:val="nil"/>
            </w:tcBorders>
            <w:shd w:val="clear" w:color="auto" w:fill="auto"/>
            <w:noWrap/>
            <w:vAlign w:val="center"/>
            <w:hideMark/>
          </w:tcPr>
          <w:p w14:paraId="3D651A4F"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9 741 951,0</w:t>
            </w:r>
          </w:p>
        </w:tc>
        <w:tc>
          <w:tcPr>
            <w:tcW w:w="1180" w:type="dxa"/>
            <w:tcBorders>
              <w:top w:val="nil"/>
              <w:left w:val="nil"/>
              <w:bottom w:val="nil"/>
              <w:right w:val="nil"/>
            </w:tcBorders>
            <w:shd w:val="clear" w:color="auto" w:fill="auto"/>
            <w:noWrap/>
            <w:vAlign w:val="center"/>
            <w:hideMark/>
          </w:tcPr>
          <w:p w14:paraId="6AAF266F"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4CE68FC1" w14:textId="77777777" w:rsidTr="009F6321">
        <w:trPr>
          <w:trHeight w:val="225"/>
        </w:trPr>
        <w:tc>
          <w:tcPr>
            <w:tcW w:w="4820" w:type="dxa"/>
            <w:tcBorders>
              <w:top w:val="nil"/>
              <w:left w:val="nil"/>
              <w:bottom w:val="nil"/>
              <w:right w:val="nil"/>
            </w:tcBorders>
            <w:shd w:val="clear" w:color="auto" w:fill="auto"/>
            <w:vAlign w:val="center"/>
            <w:hideMark/>
          </w:tcPr>
          <w:p w14:paraId="431A0F8A"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Образование</w:t>
            </w:r>
          </w:p>
        </w:tc>
        <w:tc>
          <w:tcPr>
            <w:tcW w:w="1960" w:type="dxa"/>
            <w:tcBorders>
              <w:top w:val="nil"/>
              <w:left w:val="nil"/>
              <w:bottom w:val="nil"/>
              <w:right w:val="nil"/>
            </w:tcBorders>
            <w:shd w:val="clear" w:color="auto" w:fill="auto"/>
            <w:noWrap/>
            <w:vAlign w:val="center"/>
            <w:hideMark/>
          </w:tcPr>
          <w:p w14:paraId="59D302D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223 099,0</w:t>
            </w:r>
          </w:p>
        </w:tc>
        <w:tc>
          <w:tcPr>
            <w:tcW w:w="1725" w:type="dxa"/>
            <w:tcBorders>
              <w:top w:val="nil"/>
              <w:left w:val="nil"/>
              <w:bottom w:val="nil"/>
              <w:right w:val="nil"/>
            </w:tcBorders>
            <w:shd w:val="clear" w:color="auto" w:fill="auto"/>
            <w:noWrap/>
            <w:vAlign w:val="center"/>
            <w:hideMark/>
          </w:tcPr>
          <w:p w14:paraId="0F20C68E"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223 098,8</w:t>
            </w:r>
          </w:p>
        </w:tc>
        <w:tc>
          <w:tcPr>
            <w:tcW w:w="1180" w:type="dxa"/>
            <w:tcBorders>
              <w:top w:val="nil"/>
              <w:left w:val="nil"/>
              <w:bottom w:val="nil"/>
              <w:right w:val="nil"/>
            </w:tcBorders>
            <w:shd w:val="clear" w:color="auto" w:fill="auto"/>
            <w:noWrap/>
            <w:vAlign w:val="center"/>
            <w:hideMark/>
          </w:tcPr>
          <w:p w14:paraId="776DDDE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p>
        </w:tc>
      </w:tr>
      <w:tr w:rsidR="009F7FF6" w:rsidRPr="005C53F5" w14:paraId="5BCBAB08" w14:textId="77777777" w:rsidTr="009F6321">
        <w:trPr>
          <w:trHeight w:val="225"/>
        </w:trPr>
        <w:tc>
          <w:tcPr>
            <w:tcW w:w="4820" w:type="dxa"/>
            <w:tcBorders>
              <w:top w:val="nil"/>
              <w:left w:val="nil"/>
              <w:bottom w:val="nil"/>
              <w:right w:val="nil"/>
            </w:tcBorders>
            <w:shd w:val="clear" w:color="auto" w:fill="auto"/>
            <w:vAlign w:val="center"/>
            <w:hideMark/>
          </w:tcPr>
          <w:p w14:paraId="4425B8CD"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Жилищно-коммунальное хозяйство</w:t>
            </w:r>
          </w:p>
        </w:tc>
        <w:tc>
          <w:tcPr>
            <w:tcW w:w="1960" w:type="dxa"/>
            <w:tcBorders>
              <w:top w:val="nil"/>
              <w:left w:val="nil"/>
              <w:bottom w:val="nil"/>
              <w:right w:val="nil"/>
            </w:tcBorders>
            <w:shd w:val="clear" w:color="auto" w:fill="auto"/>
            <w:noWrap/>
            <w:vAlign w:val="center"/>
            <w:hideMark/>
          </w:tcPr>
          <w:p w14:paraId="762F7A91"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51 103,0</w:t>
            </w:r>
          </w:p>
        </w:tc>
        <w:tc>
          <w:tcPr>
            <w:tcW w:w="1725" w:type="dxa"/>
            <w:tcBorders>
              <w:top w:val="nil"/>
              <w:left w:val="nil"/>
              <w:bottom w:val="nil"/>
              <w:right w:val="nil"/>
            </w:tcBorders>
            <w:shd w:val="clear" w:color="auto" w:fill="auto"/>
            <w:noWrap/>
            <w:vAlign w:val="center"/>
            <w:hideMark/>
          </w:tcPr>
          <w:p w14:paraId="167E14A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51 103,0</w:t>
            </w:r>
          </w:p>
        </w:tc>
        <w:tc>
          <w:tcPr>
            <w:tcW w:w="1180" w:type="dxa"/>
            <w:tcBorders>
              <w:top w:val="nil"/>
              <w:left w:val="nil"/>
              <w:bottom w:val="nil"/>
              <w:right w:val="nil"/>
            </w:tcBorders>
            <w:shd w:val="clear" w:color="auto" w:fill="auto"/>
            <w:noWrap/>
            <w:vAlign w:val="center"/>
            <w:hideMark/>
          </w:tcPr>
          <w:p w14:paraId="7DEBD80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187559C3" w14:textId="77777777" w:rsidTr="009F6321">
        <w:trPr>
          <w:trHeight w:val="675"/>
        </w:trPr>
        <w:tc>
          <w:tcPr>
            <w:tcW w:w="4820" w:type="dxa"/>
            <w:tcBorders>
              <w:top w:val="nil"/>
              <w:left w:val="nil"/>
              <w:bottom w:val="nil"/>
              <w:right w:val="nil"/>
            </w:tcBorders>
            <w:shd w:val="clear" w:color="auto" w:fill="auto"/>
            <w:vAlign w:val="center"/>
            <w:hideMark/>
          </w:tcPr>
          <w:p w14:paraId="2F6D4320"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960" w:type="dxa"/>
            <w:tcBorders>
              <w:top w:val="nil"/>
              <w:left w:val="nil"/>
              <w:bottom w:val="nil"/>
              <w:right w:val="nil"/>
            </w:tcBorders>
            <w:shd w:val="clear" w:color="auto" w:fill="auto"/>
            <w:noWrap/>
            <w:vAlign w:val="center"/>
            <w:hideMark/>
          </w:tcPr>
          <w:p w14:paraId="0DB4E7B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31 957 731,0</w:t>
            </w:r>
          </w:p>
        </w:tc>
        <w:tc>
          <w:tcPr>
            <w:tcW w:w="1725" w:type="dxa"/>
            <w:tcBorders>
              <w:top w:val="nil"/>
              <w:left w:val="nil"/>
              <w:bottom w:val="nil"/>
              <w:right w:val="nil"/>
            </w:tcBorders>
            <w:shd w:val="clear" w:color="auto" w:fill="auto"/>
            <w:noWrap/>
            <w:vAlign w:val="center"/>
            <w:hideMark/>
          </w:tcPr>
          <w:p w14:paraId="7029F6B9"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31 957 730,1</w:t>
            </w:r>
          </w:p>
        </w:tc>
        <w:tc>
          <w:tcPr>
            <w:tcW w:w="1180" w:type="dxa"/>
            <w:tcBorders>
              <w:top w:val="nil"/>
              <w:left w:val="nil"/>
              <w:bottom w:val="nil"/>
              <w:right w:val="nil"/>
            </w:tcBorders>
            <w:shd w:val="clear" w:color="auto" w:fill="auto"/>
            <w:noWrap/>
            <w:vAlign w:val="center"/>
            <w:hideMark/>
          </w:tcPr>
          <w:p w14:paraId="14EB0D99"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13BC4D45" w14:textId="77777777" w:rsidTr="009F6321">
        <w:trPr>
          <w:trHeight w:val="450"/>
        </w:trPr>
        <w:tc>
          <w:tcPr>
            <w:tcW w:w="4820" w:type="dxa"/>
            <w:tcBorders>
              <w:top w:val="nil"/>
              <w:left w:val="nil"/>
              <w:bottom w:val="nil"/>
              <w:right w:val="nil"/>
            </w:tcBorders>
            <w:shd w:val="clear" w:color="auto" w:fill="auto"/>
            <w:vAlign w:val="center"/>
            <w:hideMark/>
          </w:tcPr>
          <w:p w14:paraId="690143A3"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Промышленность, архитектурная, градостроительная и строительная деятельность</w:t>
            </w:r>
          </w:p>
        </w:tc>
        <w:tc>
          <w:tcPr>
            <w:tcW w:w="1960" w:type="dxa"/>
            <w:tcBorders>
              <w:top w:val="nil"/>
              <w:left w:val="nil"/>
              <w:bottom w:val="nil"/>
              <w:right w:val="nil"/>
            </w:tcBorders>
            <w:shd w:val="clear" w:color="auto" w:fill="auto"/>
            <w:noWrap/>
            <w:vAlign w:val="center"/>
            <w:hideMark/>
          </w:tcPr>
          <w:p w14:paraId="708CAE1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169 414,0</w:t>
            </w:r>
          </w:p>
        </w:tc>
        <w:tc>
          <w:tcPr>
            <w:tcW w:w="1725" w:type="dxa"/>
            <w:tcBorders>
              <w:top w:val="nil"/>
              <w:left w:val="nil"/>
              <w:bottom w:val="nil"/>
              <w:right w:val="nil"/>
            </w:tcBorders>
            <w:shd w:val="clear" w:color="auto" w:fill="auto"/>
            <w:noWrap/>
            <w:vAlign w:val="center"/>
            <w:hideMark/>
          </w:tcPr>
          <w:p w14:paraId="5FFF751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169 414,0</w:t>
            </w:r>
          </w:p>
        </w:tc>
        <w:tc>
          <w:tcPr>
            <w:tcW w:w="1180" w:type="dxa"/>
            <w:tcBorders>
              <w:top w:val="nil"/>
              <w:left w:val="nil"/>
              <w:bottom w:val="nil"/>
              <w:right w:val="nil"/>
            </w:tcBorders>
            <w:shd w:val="clear" w:color="auto" w:fill="auto"/>
            <w:noWrap/>
            <w:vAlign w:val="center"/>
            <w:hideMark/>
          </w:tcPr>
          <w:p w14:paraId="663B807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5E5C13F6" w14:textId="77777777" w:rsidTr="009F6321">
        <w:trPr>
          <w:trHeight w:val="225"/>
        </w:trPr>
        <w:tc>
          <w:tcPr>
            <w:tcW w:w="4820" w:type="dxa"/>
            <w:tcBorders>
              <w:top w:val="nil"/>
              <w:left w:val="nil"/>
              <w:bottom w:val="nil"/>
              <w:right w:val="nil"/>
            </w:tcBorders>
            <w:shd w:val="clear" w:color="auto" w:fill="auto"/>
            <w:vAlign w:val="center"/>
            <w:hideMark/>
          </w:tcPr>
          <w:p w14:paraId="39ED0318"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Транспорт и коммуникации</w:t>
            </w:r>
          </w:p>
        </w:tc>
        <w:tc>
          <w:tcPr>
            <w:tcW w:w="1960" w:type="dxa"/>
            <w:tcBorders>
              <w:top w:val="nil"/>
              <w:left w:val="nil"/>
              <w:bottom w:val="nil"/>
              <w:right w:val="nil"/>
            </w:tcBorders>
            <w:shd w:val="clear" w:color="auto" w:fill="auto"/>
            <w:noWrap/>
            <w:vAlign w:val="center"/>
            <w:hideMark/>
          </w:tcPr>
          <w:p w14:paraId="549C7DF1"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33 153 026,0</w:t>
            </w:r>
          </w:p>
        </w:tc>
        <w:tc>
          <w:tcPr>
            <w:tcW w:w="1725" w:type="dxa"/>
            <w:tcBorders>
              <w:top w:val="nil"/>
              <w:left w:val="nil"/>
              <w:bottom w:val="nil"/>
              <w:right w:val="nil"/>
            </w:tcBorders>
            <w:shd w:val="clear" w:color="auto" w:fill="auto"/>
            <w:noWrap/>
            <w:vAlign w:val="center"/>
            <w:hideMark/>
          </w:tcPr>
          <w:p w14:paraId="129878A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33 153 026,0</w:t>
            </w:r>
          </w:p>
        </w:tc>
        <w:tc>
          <w:tcPr>
            <w:tcW w:w="1180" w:type="dxa"/>
            <w:tcBorders>
              <w:top w:val="nil"/>
              <w:left w:val="nil"/>
              <w:bottom w:val="nil"/>
              <w:right w:val="nil"/>
            </w:tcBorders>
            <w:shd w:val="clear" w:color="auto" w:fill="auto"/>
            <w:noWrap/>
            <w:vAlign w:val="center"/>
            <w:hideMark/>
          </w:tcPr>
          <w:p w14:paraId="7E5A041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22A6A437" w14:textId="77777777" w:rsidTr="009F6321">
        <w:trPr>
          <w:trHeight w:val="225"/>
        </w:trPr>
        <w:tc>
          <w:tcPr>
            <w:tcW w:w="4820" w:type="dxa"/>
            <w:tcBorders>
              <w:top w:val="nil"/>
              <w:left w:val="nil"/>
              <w:bottom w:val="nil"/>
              <w:right w:val="nil"/>
            </w:tcBorders>
            <w:shd w:val="clear" w:color="auto" w:fill="auto"/>
            <w:vAlign w:val="center"/>
            <w:hideMark/>
          </w:tcPr>
          <w:p w14:paraId="0D76BF54"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Прочие</w:t>
            </w:r>
          </w:p>
        </w:tc>
        <w:tc>
          <w:tcPr>
            <w:tcW w:w="1960" w:type="dxa"/>
            <w:tcBorders>
              <w:top w:val="nil"/>
              <w:left w:val="nil"/>
              <w:bottom w:val="nil"/>
              <w:right w:val="nil"/>
            </w:tcBorders>
            <w:shd w:val="clear" w:color="auto" w:fill="auto"/>
            <w:noWrap/>
            <w:vAlign w:val="center"/>
            <w:hideMark/>
          </w:tcPr>
          <w:p w14:paraId="1F96AFC4"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63 456 783,5</w:t>
            </w:r>
          </w:p>
        </w:tc>
        <w:tc>
          <w:tcPr>
            <w:tcW w:w="1725" w:type="dxa"/>
            <w:tcBorders>
              <w:top w:val="nil"/>
              <w:left w:val="nil"/>
              <w:bottom w:val="nil"/>
              <w:right w:val="nil"/>
            </w:tcBorders>
            <w:shd w:val="clear" w:color="auto" w:fill="auto"/>
            <w:noWrap/>
            <w:vAlign w:val="center"/>
            <w:hideMark/>
          </w:tcPr>
          <w:p w14:paraId="72E1B92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63 451 803,2</w:t>
            </w:r>
          </w:p>
        </w:tc>
        <w:tc>
          <w:tcPr>
            <w:tcW w:w="1180" w:type="dxa"/>
            <w:tcBorders>
              <w:top w:val="nil"/>
              <w:left w:val="nil"/>
              <w:bottom w:val="nil"/>
              <w:right w:val="nil"/>
            </w:tcBorders>
            <w:shd w:val="clear" w:color="auto" w:fill="auto"/>
            <w:noWrap/>
            <w:vAlign w:val="center"/>
            <w:hideMark/>
          </w:tcPr>
          <w:p w14:paraId="5889344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58920663" w14:textId="77777777" w:rsidTr="009F6321">
        <w:trPr>
          <w:trHeight w:val="420"/>
        </w:trPr>
        <w:tc>
          <w:tcPr>
            <w:tcW w:w="4820" w:type="dxa"/>
            <w:tcBorders>
              <w:top w:val="nil"/>
              <w:left w:val="nil"/>
              <w:bottom w:val="nil"/>
              <w:right w:val="nil"/>
            </w:tcBorders>
            <w:shd w:val="clear" w:color="auto" w:fill="auto"/>
            <w:vAlign w:val="center"/>
            <w:hideMark/>
          </w:tcPr>
          <w:p w14:paraId="6DF69C75"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ПОСТУПЛЕНИЯ ОТ ПРОДАЖИ ФИНАНСОВЫХ АКТИВОВ ГОСУДАРСТВА</w:t>
            </w:r>
          </w:p>
        </w:tc>
        <w:tc>
          <w:tcPr>
            <w:tcW w:w="1960" w:type="dxa"/>
            <w:tcBorders>
              <w:top w:val="nil"/>
              <w:left w:val="nil"/>
              <w:bottom w:val="nil"/>
              <w:right w:val="nil"/>
            </w:tcBorders>
            <w:shd w:val="clear" w:color="auto" w:fill="auto"/>
            <w:noWrap/>
            <w:vAlign w:val="center"/>
            <w:hideMark/>
          </w:tcPr>
          <w:p w14:paraId="28DD2379"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20 968 755,6</w:t>
            </w:r>
          </w:p>
        </w:tc>
        <w:tc>
          <w:tcPr>
            <w:tcW w:w="1725" w:type="dxa"/>
            <w:tcBorders>
              <w:top w:val="nil"/>
              <w:left w:val="nil"/>
              <w:bottom w:val="nil"/>
              <w:right w:val="nil"/>
            </w:tcBorders>
            <w:shd w:val="clear" w:color="auto" w:fill="auto"/>
            <w:noWrap/>
            <w:vAlign w:val="center"/>
            <w:hideMark/>
          </w:tcPr>
          <w:p w14:paraId="46A6B33F"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18 985 825,9</w:t>
            </w:r>
          </w:p>
        </w:tc>
        <w:tc>
          <w:tcPr>
            <w:tcW w:w="1180" w:type="dxa"/>
            <w:tcBorders>
              <w:top w:val="nil"/>
              <w:left w:val="nil"/>
              <w:bottom w:val="nil"/>
              <w:right w:val="nil"/>
            </w:tcBorders>
            <w:shd w:val="clear" w:color="auto" w:fill="auto"/>
            <w:noWrap/>
            <w:vAlign w:val="center"/>
            <w:hideMark/>
          </w:tcPr>
          <w:p w14:paraId="04374D02"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90,5</w:t>
            </w:r>
          </w:p>
        </w:tc>
      </w:tr>
      <w:tr w:rsidR="009F7FF6" w:rsidRPr="005C53F5" w14:paraId="596E4391" w14:textId="77777777" w:rsidTr="009F6321">
        <w:trPr>
          <w:trHeight w:val="225"/>
        </w:trPr>
        <w:tc>
          <w:tcPr>
            <w:tcW w:w="4820" w:type="dxa"/>
            <w:tcBorders>
              <w:top w:val="nil"/>
              <w:left w:val="nil"/>
              <w:bottom w:val="nil"/>
              <w:right w:val="nil"/>
            </w:tcBorders>
            <w:shd w:val="clear" w:color="auto" w:fill="auto"/>
            <w:vAlign w:val="center"/>
            <w:hideMark/>
          </w:tcPr>
          <w:p w14:paraId="750BFACC"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от продажи финансовых активов государства</w:t>
            </w:r>
          </w:p>
        </w:tc>
        <w:tc>
          <w:tcPr>
            <w:tcW w:w="1960" w:type="dxa"/>
            <w:tcBorders>
              <w:top w:val="nil"/>
              <w:left w:val="nil"/>
              <w:bottom w:val="nil"/>
              <w:right w:val="nil"/>
            </w:tcBorders>
            <w:shd w:val="clear" w:color="auto" w:fill="auto"/>
            <w:noWrap/>
            <w:vAlign w:val="center"/>
            <w:hideMark/>
          </w:tcPr>
          <w:p w14:paraId="67A1677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20 968 755,6</w:t>
            </w:r>
          </w:p>
        </w:tc>
        <w:tc>
          <w:tcPr>
            <w:tcW w:w="1725" w:type="dxa"/>
            <w:tcBorders>
              <w:top w:val="nil"/>
              <w:left w:val="nil"/>
              <w:bottom w:val="nil"/>
              <w:right w:val="nil"/>
            </w:tcBorders>
            <w:shd w:val="clear" w:color="auto" w:fill="auto"/>
            <w:noWrap/>
            <w:vAlign w:val="center"/>
            <w:hideMark/>
          </w:tcPr>
          <w:p w14:paraId="360ADD61"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18 985 825,9</w:t>
            </w:r>
          </w:p>
        </w:tc>
        <w:tc>
          <w:tcPr>
            <w:tcW w:w="1180" w:type="dxa"/>
            <w:tcBorders>
              <w:top w:val="nil"/>
              <w:left w:val="nil"/>
              <w:bottom w:val="nil"/>
              <w:right w:val="nil"/>
            </w:tcBorders>
            <w:shd w:val="clear" w:color="auto" w:fill="auto"/>
            <w:noWrap/>
            <w:vAlign w:val="center"/>
            <w:hideMark/>
          </w:tcPr>
          <w:p w14:paraId="59DB9EF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90,5</w:t>
            </w:r>
          </w:p>
        </w:tc>
      </w:tr>
      <w:tr w:rsidR="009F7FF6" w:rsidRPr="005C53F5" w14:paraId="0F922510" w14:textId="77777777" w:rsidTr="009F6321">
        <w:trPr>
          <w:trHeight w:val="210"/>
        </w:trPr>
        <w:tc>
          <w:tcPr>
            <w:tcW w:w="4820" w:type="dxa"/>
            <w:tcBorders>
              <w:top w:val="nil"/>
              <w:left w:val="nil"/>
              <w:bottom w:val="nil"/>
              <w:right w:val="nil"/>
            </w:tcBorders>
            <w:shd w:val="clear" w:color="auto" w:fill="auto"/>
            <w:vAlign w:val="center"/>
            <w:hideMark/>
          </w:tcPr>
          <w:p w14:paraId="762309B5"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V. ДЕФИЦИТ (ПРОФИЦИТ) БЮДЖЕТА</w:t>
            </w:r>
          </w:p>
        </w:tc>
        <w:tc>
          <w:tcPr>
            <w:tcW w:w="1960" w:type="dxa"/>
            <w:tcBorders>
              <w:top w:val="nil"/>
              <w:left w:val="nil"/>
              <w:bottom w:val="nil"/>
              <w:right w:val="nil"/>
            </w:tcBorders>
            <w:shd w:val="clear" w:color="auto" w:fill="auto"/>
            <w:noWrap/>
            <w:vAlign w:val="center"/>
            <w:hideMark/>
          </w:tcPr>
          <w:p w14:paraId="39386482"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55 444 532,4</w:t>
            </w:r>
          </w:p>
        </w:tc>
        <w:tc>
          <w:tcPr>
            <w:tcW w:w="1725" w:type="dxa"/>
            <w:tcBorders>
              <w:top w:val="nil"/>
              <w:left w:val="nil"/>
              <w:bottom w:val="nil"/>
              <w:right w:val="nil"/>
            </w:tcBorders>
            <w:shd w:val="clear" w:color="auto" w:fill="auto"/>
            <w:noWrap/>
            <w:vAlign w:val="center"/>
            <w:hideMark/>
          </w:tcPr>
          <w:p w14:paraId="43749D87"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2 304 520 740,2</w:t>
            </w:r>
          </w:p>
        </w:tc>
        <w:tc>
          <w:tcPr>
            <w:tcW w:w="1180" w:type="dxa"/>
            <w:tcBorders>
              <w:top w:val="nil"/>
              <w:left w:val="nil"/>
              <w:bottom w:val="nil"/>
              <w:right w:val="nil"/>
            </w:tcBorders>
            <w:shd w:val="clear" w:color="auto" w:fill="auto"/>
            <w:noWrap/>
            <w:vAlign w:val="center"/>
            <w:hideMark/>
          </w:tcPr>
          <w:p w14:paraId="6BCC16C3"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p>
        </w:tc>
      </w:tr>
      <w:tr w:rsidR="009F7FF6" w:rsidRPr="005C53F5" w14:paraId="5FEDEFCB" w14:textId="77777777" w:rsidTr="009F6321">
        <w:trPr>
          <w:trHeight w:val="420"/>
        </w:trPr>
        <w:tc>
          <w:tcPr>
            <w:tcW w:w="4820" w:type="dxa"/>
            <w:tcBorders>
              <w:top w:val="nil"/>
              <w:left w:val="nil"/>
              <w:bottom w:val="nil"/>
              <w:right w:val="nil"/>
            </w:tcBorders>
            <w:shd w:val="clear" w:color="auto" w:fill="auto"/>
            <w:vAlign w:val="center"/>
            <w:hideMark/>
          </w:tcPr>
          <w:p w14:paraId="74A491C7"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VI. ФИНАНСИРОВАНИЕ ДЕФИЦИТА (ИСПОЛЬЗОВАНИЕ ПРОФИЦИТА) БЮДЖЕТА</w:t>
            </w:r>
          </w:p>
        </w:tc>
        <w:tc>
          <w:tcPr>
            <w:tcW w:w="1960" w:type="dxa"/>
            <w:tcBorders>
              <w:top w:val="nil"/>
              <w:left w:val="nil"/>
              <w:bottom w:val="nil"/>
              <w:right w:val="nil"/>
            </w:tcBorders>
            <w:shd w:val="clear" w:color="auto" w:fill="auto"/>
            <w:noWrap/>
            <w:vAlign w:val="center"/>
            <w:hideMark/>
          </w:tcPr>
          <w:p w14:paraId="68797D9F"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-55 444 532,4</w:t>
            </w:r>
          </w:p>
        </w:tc>
        <w:tc>
          <w:tcPr>
            <w:tcW w:w="1725" w:type="dxa"/>
            <w:tcBorders>
              <w:top w:val="nil"/>
              <w:left w:val="nil"/>
              <w:bottom w:val="nil"/>
              <w:right w:val="nil"/>
            </w:tcBorders>
            <w:shd w:val="clear" w:color="auto" w:fill="auto"/>
            <w:noWrap/>
            <w:vAlign w:val="center"/>
            <w:hideMark/>
          </w:tcPr>
          <w:p w14:paraId="17D52032"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-2 304 520 740,2</w:t>
            </w:r>
          </w:p>
        </w:tc>
        <w:tc>
          <w:tcPr>
            <w:tcW w:w="1180" w:type="dxa"/>
            <w:tcBorders>
              <w:top w:val="nil"/>
              <w:left w:val="nil"/>
              <w:bottom w:val="nil"/>
              <w:right w:val="nil"/>
            </w:tcBorders>
            <w:shd w:val="clear" w:color="auto" w:fill="auto"/>
            <w:noWrap/>
            <w:vAlign w:val="center"/>
            <w:hideMark/>
          </w:tcPr>
          <w:p w14:paraId="6640D310"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p>
        </w:tc>
      </w:tr>
      <w:tr w:rsidR="009F7FF6" w:rsidRPr="005C53F5" w14:paraId="0F3B0433" w14:textId="77777777" w:rsidTr="009F6321">
        <w:trPr>
          <w:trHeight w:val="210"/>
        </w:trPr>
        <w:tc>
          <w:tcPr>
            <w:tcW w:w="4820" w:type="dxa"/>
            <w:tcBorders>
              <w:top w:val="nil"/>
              <w:left w:val="nil"/>
              <w:bottom w:val="nil"/>
              <w:right w:val="nil"/>
            </w:tcBorders>
            <w:shd w:val="clear" w:color="auto" w:fill="auto"/>
            <w:vAlign w:val="center"/>
            <w:hideMark/>
          </w:tcPr>
          <w:p w14:paraId="46151690"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ПОСТУПЛЕНИЕ ЗАЙМОВ</w:t>
            </w:r>
          </w:p>
        </w:tc>
        <w:tc>
          <w:tcPr>
            <w:tcW w:w="1960" w:type="dxa"/>
            <w:tcBorders>
              <w:top w:val="nil"/>
              <w:left w:val="nil"/>
              <w:bottom w:val="nil"/>
              <w:right w:val="nil"/>
            </w:tcBorders>
            <w:shd w:val="clear" w:color="auto" w:fill="auto"/>
            <w:noWrap/>
            <w:vAlign w:val="center"/>
            <w:hideMark/>
          </w:tcPr>
          <w:p w14:paraId="320F67A8"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1 350 164 003,2</w:t>
            </w:r>
          </w:p>
        </w:tc>
        <w:tc>
          <w:tcPr>
            <w:tcW w:w="1725" w:type="dxa"/>
            <w:tcBorders>
              <w:top w:val="nil"/>
              <w:left w:val="nil"/>
              <w:bottom w:val="nil"/>
              <w:right w:val="nil"/>
            </w:tcBorders>
            <w:shd w:val="clear" w:color="auto" w:fill="auto"/>
            <w:noWrap/>
            <w:vAlign w:val="center"/>
            <w:hideMark/>
          </w:tcPr>
          <w:p w14:paraId="14086D9A"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1 347 103 009,8</w:t>
            </w:r>
          </w:p>
        </w:tc>
        <w:tc>
          <w:tcPr>
            <w:tcW w:w="1180" w:type="dxa"/>
            <w:tcBorders>
              <w:top w:val="nil"/>
              <w:left w:val="nil"/>
              <w:bottom w:val="nil"/>
              <w:right w:val="nil"/>
            </w:tcBorders>
            <w:shd w:val="clear" w:color="auto" w:fill="auto"/>
            <w:noWrap/>
            <w:vAlign w:val="center"/>
            <w:hideMark/>
          </w:tcPr>
          <w:p w14:paraId="2261710F"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99,8</w:t>
            </w:r>
          </w:p>
        </w:tc>
      </w:tr>
      <w:tr w:rsidR="009F7FF6" w:rsidRPr="005C53F5" w14:paraId="09CAB4F5" w14:textId="77777777" w:rsidTr="009F6321">
        <w:trPr>
          <w:trHeight w:val="225"/>
        </w:trPr>
        <w:tc>
          <w:tcPr>
            <w:tcW w:w="4820" w:type="dxa"/>
            <w:tcBorders>
              <w:top w:val="nil"/>
              <w:left w:val="nil"/>
              <w:bottom w:val="nil"/>
              <w:right w:val="nil"/>
            </w:tcBorders>
            <w:shd w:val="clear" w:color="auto" w:fill="auto"/>
            <w:vAlign w:val="center"/>
            <w:hideMark/>
          </w:tcPr>
          <w:p w14:paraId="661CD165"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займов</w:t>
            </w:r>
          </w:p>
        </w:tc>
        <w:tc>
          <w:tcPr>
            <w:tcW w:w="1960" w:type="dxa"/>
            <w:tcBorders>
              <w:top w:val="nil"/>
              <w:left w:val="nil"/>
              <w:bottom w:val="nil"/>
              <w:right w:val="nil"/>
            </w:tcBorders>
            <w:shd w:val="clear" w:color="auto" w:fill="auto"/>
            <w:noWrap/>
            <w:vAlign w:val="center"/>
            <w:hideMark/>
          </w:tcPr>
          <w:p w14:paraId="7A9A0AB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1 350 164 003,2</w:t>
            </w:r>
          </w:p>
        </w:tc>
        <w:tc>
          <w:tcPr>
            <w:tcW w:w="1725" w:type="dxa"/>
            <w:tcBorders>
              <w:top w:val="nil"/>
              <w:left w:val="nil"/>
              <w:bottom w:val="nil"/>
              <w:right w:val="nil"/>
            </w:tcBorders>
            <w:shd w:val="clear" w:color="auto" w:fill="auto"/>
            <w:noWrap/>
            <w:vAlign w:val="center"/>
            <w:hideMark/>
          </w:tcPr>
          <w:p w14:paraId="029A3ECA"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1 347 103 009,8</w:t>
            </w:r>
          </w:p>
        </w:tc>
        <w:tc>
          <w:tcPr>
            <w:tcW w:w="1180" w:type="dxa"/>
            <w:tcBorders>
              <w:top w:val="nil"/>
              <w:left w:val="nil"/>
              <w:bottom w:val="nil"/>
              <w:right w:val="nil"/>
            </w:tcBorders>
            <w:shd w:val="clear" w:color="auto" w:fill="auto"/>
            <w:noWrap/>
            <w:vAlign w:val="center"/>
            <w:hideMark/>
          </w:tcPr>
          <w:p w14:paraId="72678E4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99,8</w:t>
            </w:r>
          </w:p>
        </w:tc>
      </w:tr>
      <w:tr w:rsidR="009F7FF6" w:rsidRPr="005C53F5" w14:paraId="2B85C912" w14:textId="77777777" w:rsidTr="009F6321">
        <w:trPr>
          <w:trHeight w:val="210"/>
        </w:trPr>
        <w:tc>
          <w:tcPr>
            <w:tcW w:w="4820" w:type="dxa"/>
            <w:tcBorders>
              <w:top w:val="nil"/>
              <w:left w:val="nil"/>
              <w:bottom w:val="nil"/>
              <w:right w:val="nil"/>
            </w:tcBorders>
            <w:shd w:val="clear" w:color="auto" w:fill="auto"/>
            <w:vAlign w:val="center"/>
            <w:hideMark/>
          </w:tcPr>
          <w:p w14:paraId="408CE02A"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ПОГАШЕНИЕ ЗАЙМОВ</w:t>
            </w:r>
          </w:p>
        </w:tc>
        <w:tc>
          <w:tcPr>
            <w:tcW w:w="1960" w:type="dxa"/>
            <w:tcBorders>
              <w:top w:val="nil"/>
              <w:left w:val="nil"/>
              <w:bottom w:val="nil"/>
              <w:right w:val="nil"/>
            </w:tcBorders>
            <w:shd w:val="clear" w:color="auto" w:fill="auto"/>
            <w:noWrap/>
            <w:vAlign w:val="center"/>
            <w:hideMark/>
          </w:tcPr>
          <w:p w14:paraId="778077D5"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528 760 038,0</w:t>
            </w:r>
          </w:p>
        </w:tc>
        <w:tc>
          <w:tcPr>
            <w:tcW w:w="1725" w:type="dxa"/>
            <w:tcBorders>
              <w:top w:val="nil"/>
              <w:left w:val="nil"/>
              <w:bottom w:val="nil"/>
              <w:right w:val="nil"/>
            </w:tcBorders>
            <w:shd w:val="clear" w:color="auto" w:fill="auto"/>
            <w:noWrap/>
            <w:vAlign w:val="center"/>
            <w:hideMark/>
          </w:tcPr>
          <w:p w14:paraId="168218A6"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528 756 672,8</w:t>
            </w:r>
          </w:p>
        </w:tc>
        <w:tc>
          <w:tcPr>
            <w:tcW w:w="1180" w:type="dxa"/>
            <w:tcBorders>
              <w:top w:val="nil"/>
              <w:left w:val="nil"/>
              <w:bottom w:val="nil"/>
              <w:right w:val="nil"/>
            </w:tcBorders>
            <w:shd w:val="clear" w:color="auto" w:fill="auto"/>
            <w:noWrap/>
            <w:vAlign w:val="center"/>
            <w:hideMark/>
          </w:tcPr>
          <w:p w14:paraId="17F84BEF"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100,0</w:t>
            </w:r>
          </w:p>
        </w:tc>
      </w:tr>
      <w:tr w:rsidR="009F7FF6" w:rsidRPr="005C53F5" w14:paraId="75B66F15" w14:textId="77777777" w:rsidTr="009F6321">
        <w:trPr>
          <w:trHeight w:val="225"/>
        </w:trPr>
        <w:tc>
          <w:tcPr>
            <w:tcW w:w="4820" w:type="dxa"/>
            <w:tcBorders>
              <w:top w:val="nil"/>
              <w:left w:val="nil"/>
              <w:bottom w:val="nil"/>
              <w:right w:val="nil"/>
            </w:tcBorders>
            <w:shd w:val="clear" w:color="auto" w:fill="auto"/>
            <w:vAlign w:val="center"/>
            <w:hideMark/>
          </w:tcPr>
          <w:p w14:paraId="467F88B0"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Погашение займов</w:t>
            </w:r>
          </w:p>
        </w:tc>
        <w:tc>
          <w:tcPr>
            <w:tcW w:w="1960" w:type="dxa"/>
            <w:tcBorders>
              <w:top w:val="nil"/>
              <w:left w:val="nil"/>
              <w:bottom w:val="nil"/>
              <w:right w:val="nil"/>
            </w:tcBorders>
            <w:shd w:val="clear" w:color="auto" w:fill="auto"/>
            <w:noWrap/>
            <w:vAlign w:val="center"/>
            <w:hideMark/>
          </w:tcPr>
          <w:p w14:paraId="25AB96EA"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528 760 038,0</w:t>
            </w:r>
          </w:p>
        </w:tc>
        <w:tc>
          <w:tcPr>
            <w:tcW w:w="1725" w:type="dxa"/>
            <w:tcBorders>
              <w:top w:val="nil"/>
              <w:left w:val="nil"/>
              <w:bottom w:val="nil"/>
              <w:right w:val="nil"/>
            </w:tcBorders>
            <w:shd w:val="clear" w:color="auto" w:fill="auto"/>
            <w:noWrap/>
            <w:vAlign w:val="center"/>
            <w:hideMark/>
          </w:tcPr>
          <w:p w14:paraId="42C953B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528 756 672,8</w:t>
            </w:r>
          </w:p>
        </w:tc>
        <w:tc>
          <w:tcPr>
            <w:tcW w:w="1180" w:type="dxa"/>
            <w:tcBorders>
              <w:top w:val="nil"/>
              <w:left w:val="nil"/>
              <w:bottom w:val="nil"/>
              <w:right w:val="nil"/>
            </w:tcBorders>
            <w:shd w:val="clear" w:color="auto" w:fill="auto"/>
            <w:noWrap/>
            <w:vAlign w:val="center"/>
            <w:hideMark/>
          </w:tcPr>
          <w:p w14:paraId="409D82F9"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6EEB4C2F" w14:textId="77777777" w:rsidTr="009F6321">
        <w:trPr>
          <w:trHeight w:val="225"/>
        </w:trPr>
        <w:tc>
          <w:tcPr>
            <w:tcW w:w="4820" w:type="dxa"/>
            <w:tcBorders>
              <w:top w:val="nil"/>
              <w:left w:val="nil"/>
              <w:bottom w:val="nil"/>
              <w:right w:val="nil"/>
            </w:tcBorders>
            <w:shd w:val="clear" w:color="auto" w:fill="auto"/>
            <w:vAlign w:val="center"/>
            <w:hideMark/>
          </w:tcPr>
          <w:p w14:paraId="72D076A8"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ИСПОЛЬЗУЕМЫЕ ОСТАТКИ БЮДЖЕТНЫХ СРЕДСТВ</w:t>
            </w:r>
          </w:p>
        </w:tc>
        <w:tc>
          <w:tcPr>
            <w:tcW w:w="1960" w:type="dxa"/>
            <w:tcBorders>
              <w:top w:val="nil"/>
              <w:left w:val="nil"/>
              <w:bottom w:val="nil"/>
              <w:right w:val="nil"/>
            </w:tcBorders>
            <w:shd w:val="clear" w:color="auto" w:fill="auto"/>
            <w:noWrap/>
            <w:vAlign w:val="center"/>
            <w:hideMark/>
          </w:tcPr>
          <w:p w14:paraId="4264F8F4"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-876 848 497,6</w:t>
            </w:r>
          </w:p>
        </w:tc>
        <w:tc>
          <w:tcPr>
            <w:tcW w:w="1725" w:type="dxa"/>
            <w:tcBorders>
              <w:top w:val="nil"/>
              <w:left w:val="nil"/>
              <w:bottom w:val="nil"/>
              <w:right w:val="nil"/>
            </w:tcBorders>
            <w:shd w:val="clear" w:color="auto" w:fill="auto"/>
            <w:noWrap/>
            <w:vAlign w:val="center"/>
            <w:hideMark/>
          </w:tcPr>
          <w:p w14:paraId="36AF6E1A"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-3 122 867 077,2</w:t>
            </w:r>
          </w:p>
        </w:tc>
        <w:tc>
          <w:tcPr>
            <w:tcW w:w="1180" w:type="dxa"/>
            <w:tcBorders>
              <w:top w:val="nil"/>
              <w:left w:val="nil"/>
              <w:bottom w:val="nil"/>
              <w:right w:val="nil"/>
            </w:tcBorders>
            <w:shd w:val="clear" w:color="auto" w:fill="auto"/>
            <w:noWrap/>
            <w:vAlign w:val="center"/>
            <w:hideMark/>
          </w:tcPr>
          <w:p w14:paraId="031F9D89"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p>
        </w:tc>
      </w:tr>
    </w:tbl>
    <w:p w14:paraId="293179CE" w14:textId="18D1D365" w:rsidR="00365C66" w:rsidRPr="005C53F5" w:rsidRDefault="009F7FF6" w:rsidP="00057BE5">
      <w:pPr>
        <w:spacing w:after="0" w:line="240" w:lineRule="auto"/>
        <w:rPr>
          <w:rFonts w:ascii="Times New Roman" w:hAnsi="Times New Roman" w:cs="Times New Roman"/>
          <w:sz w:val="24"/>
          <w:szCs w:val="24"/>
        </w:rPr>
      </w:pPr>
      <w:r w:rsidRPr="005C53F5" w:rsidDel="009F7FF6">
        <w:rPr>
          <w:rFonts w:ascii="Times New Roman" w:hAnsi="Times New Roman" w:cs="Times New Roman"/>
          <w:sz w:val="24"/>
          <w:szCs w:val="24"/>
        </w:rPr>
        <w:t xml:space="preserve"> </w:t>
      </w:r>
      <w:bookmarkEnd w:id="579"/>
    </w:p>
    <w:p w14:paraId="365CA5B0" w14:textId="0A2EE95F" w:rsidR="00FA0800" w:rsidRPr="005C53F5" w:rsidRDefault="00C0193C" w:rsidP="00057BE5">
      <w:pPr>
        <w:spacing w:after="0" w:line="240" w:lineRule="auto"/>
        <w:rPr>
          <w:sz w:val="24"/>
          <w:szCs w:val="24"/>
        </w:rPr>
      </w:pPr>
      <w:bookmarkStart w:id="580" w:name="_Toc521609796"/>
      <w:bookmarkStart w:id="581" w:name="_Toc533785616"/>
      <w:r w:rsidRPr="005C53F5" w:rsidDel="00C0193C">
        <w:rPr>
          <w:sz w:val="24"/>
          <w:szCs w:val="24"/>
        </w:rPr>
        <w:t xml:space="preserve"> </w:t>
      </w:r>
      <w:bookmarkEnd w:id="580"/>
      <w:bookmarkEnd w:id="581"/>
    </w:p>
    <w:p w14:paraId="44BB9896" w14:textId="77777777" w:rsidR="00FA0800" w:rsidRPr="005C53F5" w:rsidRDefault="00FA0800" w:rsidP="00057BE5">
      <w:pPr>
        <w:spacing w:after="0" w:line="240" w:lineRule="auto"/>
        <w:rPr>
          <w:sz w:val="24"/>
          <w:szCs w:val="24"/>
        </w:rPr>
      </w:pPr>
      <w:r w:rsidRPr="005C53F5">
        <w:rPr>
          <w:sz w:val="24"/>
          <w:szCs w:val="24"/>
        </w:rPr>
        <w:br w:type="page"/>
      </w:r>
    </w:p>
    <w:p w14:paraId="66523795" w14:textId="6FF15C8E" w:rsidR="002E7F96" w:rsidRPr="005C53F5" w:rsidRDefault="002E7F96" w:rsidP="00057BE5">
      <w:pPr>
        <w:pStyle w:val="ConsPlusNormal"/>
        <w:jc w:val="center"/>
        <w:outlineLvl w:val="0"/>
        <w:rPr>
          <w:rFonts w:ascii="Times New Roman" w:hAnsi="Times New Roman" w:cs="Times New Roman"/>
          <w:b/>
          <w:sz w:val="24"/>
          <w:szCs w:val="24"/>
        </w:rPr>
      </w:pPr>
      <w:bookmarkStart w:id="582" w:name="_Toc39616442"/>
      <w:r w:rsidRPr="005C53F5">
        <w:rPr>
          <w:rFonts w:ascii="Times New Roman" w:hAnsi="Times New Roman" w:cs="Times New Roman"/>
          <w:b/>
          <w:sz w:val="24"/>
          <w:szCs w:val="24"/>
        </w:rPr>
        <w:t>Приложение 4. Отчет об исполнении консолидированного бюджета Республики Казахстан на 1 января 2020 года</w:t>
      </w:r>
      <w:bookmarkEnd w:id="582"/>
    </w:p>
    <w:p w14:paraId="3C5BF3D0" w14:textId="77777777" w:rsidR="009F7FF6" w:rsidRPr="005C53F5" w:rsidRDefault="002E7F96" w:rsidP="00057BE5">
      <w:pPr>
        <w:spacing w:after="0" w:line="240" w:lineRule="auto"/>
        <w:rPr>
          <w:rFonts w:ascii="Times New Roman" w:hAnsi="Times New Roman" w:cs="Times New Roman"/>
          <w:sz w:val="24"/>
          <w:szCs w:val="24"/>
        </w:rPr>
      </w:pPr>
      <w:r w:rsidRPr="005C53F5">
        <w:rPr>
          <w:rFonts w:ascii="Times New Roman" w:hAnsi="Times New Roman" w:cs="Times New Roman"/>
          <w:b/>
          <w:sz w:val="24"/>
          <w:szCs w:val="24"/>
        </w:rPr>
        <w:t xml:space="preserve"> </w:t>
      </w:r>
    </w:p>
    <w:tbl>
      <w:tblPr>
        <w:tblW w:w="9685" w:type="dxa"/>
        <w:tblLook w:val="04A0" w:firstRow="1" w:lastRow="0" w:firstColumn="1" w:lastColumn="0" w:noHBand="0" w:noVBand="1"/>
      </w:tblPr>
      <w:tblGrid>
        <w:gridCol w:w="4820"/>
        <w:gridCol w:w="1960"/>
        <w:gridCol w:w="1725"/>
        <w:gridCol w:w="1180"/>
      </w:tblGrid>
      <w:tr w:rsidR="009F7FF6" w:rsidRPr="005C53F5" w14:paraId="5BA8B4D1" w14:textId="77777777" w:rsidTr="009F6321">
        <w:trPr>
          <w:trHeight w:val="315"/>
        </w:trPr>
        <w:tc>
          <w:tcPr>
            <w:tcW w:w="4820" w:type="dxa"/>
            <w:tcBorders>
              <w:top w:val="nil"/>
              <w:left w:val="nil"/>
              <w:bottom w:val="nil"/>
              <w:right w:val="nil"/>
            </w:tcBorders>
            <w:shd w:val="clear" w:color="auto" w:fill="auto"/>
            <w:noWrap/>
            <w:vAlign w:val="center"/>
            <w:hideMark/>
          </w:tcPr>
          <w:p w14:paraId="2EA541C3" w14:textId="77777777" w:rsidR="009F7FF6" w:rsidRPr="005C53F5" w:rsidRDefault="009F7FF6" w:rsidP="00057BE5">
            <w:pPr>
              <w:spacing w:after="0" w:line="240" w:lineRule="auto"/>
              <w:rPr>
                <w:rFonts w:ascii="Times New Roman" w:eastAsia="Times New Roman" w:hAnsi="Times New Roman" w:cs="Times New Roman"/>
                <w:sz w:val="24"/>
                <w:szCs w:val="24"/>
                <w:lang w:eastAsia="ru-RU"/>
              </w:rPr>
            </w:pPr>
          </w:p>
        </w:tc>
        <w:tc>
          <w:tcPr>
            <w:tcW w:w="1960" w:type="dxa"/>
            <w:tcBorders>
              <w:top w:val="nil"/>
              <w:left w:val="nil"/>
              <w:bottom w:val="nil"/>
              <w:right w:val="nil"/>
            </w:tcBorders>
            <w:shd w:val="clear" w:color="auto" w:fill="auto"/>
            <w:noWrap/>
            <w:vAlign w:val="center"/>
            <w:hideMark/>
          </w:tcPr>
          <w:p w14:paraId="14D8AF75" w14:textId="77777777" w:rsidR="009F7FF6" w:rsidRPr="005C53F5" w:rsidRDefault="009F7FF6" w:rsidP="00057BE5">
            <w:pPr>
              <w:spacing w:after="0" w:line="240" w:lineRule="auto"/>
              <w:rPr>
                <w:rFonts w:ascii="Times New Roman" w:eastAsia="Times New Roman" w:hAnsi="Times New Roman" w:cs="Times New Roman"/>
                <w:sz w:val="20"/>
                <w:szCs w:val="20"/>
                <w:lang w:eastAsia="ru-RU"/>
              </w:rPr>
            </w:pPr>
          </w:p>
        </w:tc>
        <w:tc>
          <w:tcPr>
            <w:tcW w:w="2905" w:type="dxa"/>
            <w:gridSpan w:val="2"/>
            <w:tcBorders>
              <w:top w:val="nil"/>
              <w:left w:val="nil"/>
              <w:bottom w:val="single" w:sz="4" w:space="0" w:color="auto"/>
              <w:right w:val="nil"/>
            </w:tcBorders>
            <w:shd w:val="clear" w:color="auto" w:fill="auto"/>
            <w:noWrap/>
            <w:vAlign w:val="center"/>
            <w:hideMark/>
          </w:tcPr>
          <w:p w14:paraId="57CFD84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тыс.тенге</w:t>
            </w:r>
          </w:p>
        </w:tc>
      </w:tr>
      <w:tr w:rsidR="009F7FF6" w:rsidRPr="005C53F5" w14:paraId="41BE41E9" w14:textId="77777777" w:rsidTr="009F6321">
        <w:trPr>
          <w:trHeight w:val="438"/>
        </w:trPr>
        <w:tc>
          <w:tcPr>
            <w:tcW w:w="48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22DA963" w14:textId="77777777" w:rsidR="009F7FF6" w:rsidRPr="005C53F5" w:rsidRDefault="009F7FF6" w:rsidP="00057BE5">
            <w:pPr>
              <w:spacing w:after="0" w:line="240" w:lineRule="auto"/>
              <w:jc w:val="center"/>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Наименование</w:t>
            </w:r>
          </w:p>
        </w:tc>
        <w:tc>
          <w:tcPr>
            <w:tcW w:w="19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CC837A5" w14:textId="77777777" w:rsidR="009F7FF6" w:rsidRPr="005C53F5" w:rsidRDefault="009F7FF6" w:rsidP="00057BE5">
            <w:pPr>
              <w:spacing w:after="0" w:line="240" w:lineRule="auto"/>
              <w:jc w:val="center"/>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Скорректированный бюджет</w:t>
            </w:r>
          </w:p>
        </w:tc>
        <w:tc>
          <w:tcPr>
            <w:tcW w:w="172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0B9860" w14:textId="77777777" w:rsidR="009F7FF6" w:rsidRPr="005C53F5" w:rsidRDefault="009F7FF6" w:rsidP="00057BE5">
            <w:pPr>
              <w:spacing w:after="0" w:line="240" w:lineRule="auto"/>
              <w:jc w:val="center"/>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Исполнение</w:t>
            </w:r>
          </w:p>
        </w:tc>
        <w:tc>
          <w:tcPr>
            <w:tcW w:w="11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E14FC6" w14:textId="77777777" w:rsidR="009F7FF6" w:rsidRPr="005C53F5" w:rsidRDefault="009F7FF6" w:rsidP="00057BE5">
            <w:pPr>
              <w:spacing w:after="0" w:line="240" w:lineRule="auto"/>
              <w:jc w:val="center"/>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 исполнения</w:t>
            </w:r>
          </w:p>
        </w:tc>
      </w:tr>
      <w:tr w:rsidR="009F7FF6" w:rsidRPr="005C53F5" w14:paraId="07C911F9" w14:textId="77777777" w:rsidTr="009F6321">
        <w:trPr>
          <w:trHeight w:val="690"/>
        </w:trPr>
        <w:tc>
          <w:tcPr>
            <w:tcW w:w="4820" w:type="dxa"/>
            <w:vMerge/>
            <w:tcBorders>
              <w:top w:val="single" w:sz="4" w:space="0" w:color="auto"/>
              <w:left w:val="single" w:sz="4" w:space="0" w:color="auto"/>
              <w:bottom w:val="single" w:sz="4" w:space="0" w:color="000000"/>
              <w:right w:val="single" w:sz="4" w:space="0" w:color="auto"/>
            </w:tcBorders>
            <w:vAlign w:val="center"/>
            <w:hideMark/>
          </w:tcPr>
          <w:p w14:paraId="3AF35F76" w14:textId="77777777" w:rsidR="009F7FF6" w:rsidRPr="005C53F5" w:rsidRDefault="009F7FF6" w:rsidP="00057BE5">
            <w:pPr>
              <w:spacing w:after="0" w:line="240" w:lineRule="auto"/>
              <w:rPr>
                <w:rFonts w:ascii="Times New Roman" w:eastAsia="Times New Roman" w:hAnsi="Times New Roman" w:cs="Times New Roman"/>
                <w:sz w:val="16"/>
                <w:szCs w:val="16"/>
                <w:lang w:eastAsia="ru-RU"/>
              </w:rPr>
            </w:pPr>
          </w:p>
        </w:tc>
        <w:tc>
          <w:tcPr>
            <w:tcW w:w="1960" w:type="dxa"/>
            <w:vMerge/>
            <w:tcBorders>
              <w:top w:val="single" w:sz="4" w:space="0" w:color="auto"/>
              <w:left w:val="single" w:sz="4" w:space="0" w:color="auto"/>
              <w:bottom w:val="single" w:sz="4" w:space="0" w:color="000000"/>
              <w:right w:val="single" w:sz="4" w:space="0" w:color="auto"/>
            </w:tcBorders>
            <w:vAlign w:val="center"/>
            <w:hideMark/>
          </w:tcPr>
          <w:p w14:paraId="25A20736" w14:textId="77777777" w:rsidR="009F7FF6" w:rsidRPr="005C53F5" w:rsidRDefault="009F7FF6" w:rsidP="00057BE5">
            <w:pPr>
              <w:spacing w:after="0" w:line="240" w:lineRule="auto"/>
              <w:rPr>
                <w:rFonts w:ascii="Times New Roman" w:eastAsia="Times New Roman" w:hAnsi="Times New Roman" w:cs="Times New Roman"/>
                <w:sz w:val="16"/>
                <w:szCs w:val="16"/>
                <w:lang w:eastAsia="ru-RU"/>
              </w:rPr>
            </w:pPr>
          </w:p>
        </w:tc>
        <w:tc>
          <w:tcPr>
            <w:tcW w:w="1725" w:type="dxa"/>
            <w:vMerge/>
            <w:tcBorders>
              <w:top w:val="nil"/>
              <w:left w:val="single" w:sz="4" w:space="0" w:color="auto"/>
              <w:bottom w:val="single" w:sz="4" w:space="0" w:color="000000"/>
              <w:right w:val="single" w:sz="4" w:space="0" w:color="auto"/>
            </w:tcBorders>
            <w:vAlign w:val="center"/>
            <w:hideMark/>
          </w:tcPr>
          <w:p w14:paraId="53FB782F" w14:textId="77777777" w:rsidR="009F7FF6" w:rsidRPr="005C53F5" w:rsidRDefault="009F7FF6" w:rsidP="00057BE5">
            <w:pPr>
              <w:spacing w:after="0" w:line="240" w:lineRule="auto"/>
              <w:rPr>
                <w:rFonts w:ascii="Times New Roman" w:eastAsia="Times New Roman" w:hAnsi="Times New Roman" w:cs="Times New Roman"/>
                <w:sz w:val="16"/>
                <w:szCs w:val="16"/>
                <w:lang w:eastAsia="ru-RU"/>
              </w:rPr>
            </w:pPr>
          </w:p>
        </w:tc>
        <w:tc>
          <w:tcPr>
            <w:tcW w:w="1180" w:type="dxa"/>
            <w:vMerge/>
            <w:tcBorders>
              <w:top w:val="nil"/>
              <w:left w:val="single" w:sz="4" w:space="0" w:color="auto"/>
              <w:bottom w:val="single" w:sz="4" w:space="0" w:color="000000"/>
              <w:right w:val="single" w:sz="4" w:space="0" w:color="auto"/>
            </w:tcBorders>
            <w:vAlign w:val="center"/>
            <w:hideMark/>
          </w:tcPr>
          <w:p w14:paraId="713E8D8B" w14:textId="77777777" w:rsidR="009F7FF6" w:rsidRPr="005C53F5" w:rsidRDefault="009F7FF6" w:rsidP="00057BE5">
            <w:pPr>
              <w:spacing w:after="0" w:line="240" w:lineRule="auto"/>
              <w:rPr>
                <w:rFonts w:ascii="Times New Roman" w:eastAsia="Times New Roman" w:hAnsi="Times New Roman" w:cs="Times New Roman"/>
                <w:sz w:val="16"/>
                <w:szCs w:val="16"/>
                <w:lang w:eastAsia="ru-RU"/>
              </w:rPr>
            </w:pPr>
          </w:p>
        </w:tc>
      </w:tr>
      <w:tr w:rsidR="009F7FF6" w:rsidRPr="005C53F5" w14:paraId="26180D7F" w14:textId="77777777" w:rsidTr="009F6321">
        <w:trPr>
          <w:trHeight w:val="210"/>
        </w:trPr>
        <w:tc>
          <w:tcPr>
            <w:tcW w:w="4820" w:type="dxa"/>
            <w:tcBorders>
              <w:top w:val="nil"/>
              <w:left w:val="nil"/>
              <w:bottom w:val="nil"/>
              <w:right w:val="nil"/>
            </w:tcBorders>
            <w:shd w:val="clear" w:color="auto" w:fill="auto"/>
            <w:vAlign w:val="center"/>
            <w:hideMark/>
          </w:tcPr>
          <w:p w14:paraId="73349787"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I. ДОХОДЫ</w:t>
            </w:r>
          </w:p>
        </w:tc>
        <w:tc>
          <w:tcPr>
            <w:tcW w:w="1960" w:type="dxa"/>
            <w:tcBorders>
              <w:top w:val="nil"/>
              <w:left w:val="nil"/>
              <w:bottom w:val="nil"/>
              <w:right w:val="nil"/>
            </w:tcBorders>
            <w:shd w:val="clear" w:color="auto" w:fill="auto"/>
            <w:noWrap/>
            <w:vAlign w:val="center"/>
            <w:hideMark/>
          </w:tcPr>
          <w:p w14:paraId="43A60AB5"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12 352 679 040,0</w:t>
            </w:r>
          </w:p>
        </w:tc>
        <w:tc>
          <w:tcPr>
            <w:tcW w:w="1725" w:type="dxa"/>
            <w:tcBorders>
              <w:top w:val="nil"/>
              <w:left w:val="nil"/>
              <w:bottom w:val="nil"/>
              <w:right w:val="nil"/>
            </w:tcBorders>
            <w:shd w:val="clear" w:color="auto" w:fill="auto"/>
            <w:noWrap/>
            <w:vAlign w:val="center"/>
            <w:hideMark/>
          </w:tcPr>
          <w:p w14:paraId="53F5948C"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12 554 425 934,3</w:t>
            </w:r>
          </w:p>
        </w:tc>
        <w:tc>
          <w:tcPr>
            <w:tcW w:w="1180" w:type="dxa"/>
            <w:tcBorders>
              <w:top w:val="nil"/>
              <w:left w:val="nil"/>
              <w:bottom w:val="nil"/>
              <w:right w:val="nil"/>
            </w:tcBorders>
            <w:shd w:val="clear" w:color="auto" w:fill="auto"/>
            <w:noWrap/>
            <w:vAlign w:val="center"/>
            <w:hideMark/>
          </w:tcPr>
          <w:p w14:paraId="0F50B40D"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101,6</w:t>
            </w:r>
          </w:p>
        </w:tc>
      </w:tr>
      <w:tr w:rsidR="009F7FF6" w:rsidRPr="005C53F5" w14:paraId="1C585A1B" w14:textId="77777777" w:rsidTr="009F6321">
        <w:trPr>
          <w:trHeight w:val="210"/>
        </w:trPr>
        <w:tc>
          <w:tcPr>
            <w:tcW w:w="4820" w:type="dxa"/>
            <w:tcBorders>
              <w:top w:val="nil"/>
              <w:left w:val="nil"/>
              <w:bottom w:val="nil"/>
              <w:right w:val="nil"/>
            </w:tcBorders>
            <w:shd w:val="clear" w:color="auto" w:fill="auto"/>
            <w:vAlign w:val="center"/>
            <w:hideMark/>
          </w:tcPr>
          <w:p w14:paraId="03CA9283"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НАЛОГОВЫЕ ПОСТУПЛЕНИЯ</w:t>
            </w:r>
          </w:p>
        </w:tc>
        <w:tc>
          <w:tcPr>
            <w:tcW w:w="1960" w:type="dxa"/>
            <w:tcBorders>
              <w:top w:val="nil"/>
              <w:left w:val="nil"/>
              <w:bottom w:val="nil"/>
              <w:right w:val="nil"/>
            </w:tcBorders>
            <w:shd w:val="clear" w:color="auto" w:fill="auto"/>
            <w:noWrap/>
            <w:vAlign w:val="center"/>
            <w:hideMark/>
          </w:tcPr>
          <w:p w14:paraId="0D63691C"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11 970 099 616,4</w:t>
            </w:r>
          </w:p>
        </w:tc>
        <w:tc>
          <w:tcPr>
            <w:tcW w:w="1725" w:type="dxa"/>
            <w:tcBorders>
              <w:top w:val="nil"/>
              <w:left w:val="nil"/>
              <w:bottom w:val="nil"/>
              <w:right w:val="nil"/>
            </w:tcBorders>
            <w:shd w:val="clear" w:color="auto" w:fill="auto"/>
            <w:noWrap/>
            <w:vAlign w:val="center"/>
            <w:hideMark/>
          </w:tcPr>
          <w:p w14:paraId="39C40F85"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12 053 681 167,9</w:t>
            </w:r>
          </w:p>
        </w:tc>
        <w:tc>
          <w:tcPr>
            <w:tcW w:w="1180" w:type="dxa"/>
            <w:tcBorders>
              <w:top w:val="nil"/>
              <w:left w:val="nil"/>
              <w:bottom w:val="nil"/>
              <w:right w:val="nil"/>
            </w:tcBorders>
            <w:shd w:val="clear" w:color="auto" w:fill="auto"/>
            <w:noWrap/>
            <w:vAlign w:val="center"/>
            <w:hideMark/>
          </w:tcPr>
          <w:p w14:paraId="31942B92"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100,7</w:t>
            </w:r>
          </w:p>
        </w:tc>
      </w:tr>
      <w:tr w:rsidR="009F7FF6" w:rsidRPr="005C53F5" w14:paraId="0E492F07" w14:textId="77777777" w:rsidTr="009F6321">
        <w:trPr>
          <w:trHeight w:val="225"/>
        </w:trPr>
        <w:tc>
          <w:tcPr>
            <w:tcW w:w="4820" w:type="dxa"/>
            <w:tcBorders>
              <w:top w:val="nil"/>
              <w:left w:val="nil"/>
              <w:bottom w:val="nil"/>
              <w:right w:val="nil"/>
            </w:tcBorders>
            <w:shd w:val="clear" w:color="auto" w:fill="auto"/>
            <w:vAlign w:val="center"/>
            <w:hideMark/>
          </w:tcPr>
          <w:p w14:paraId="04857E07"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Налоговые поступления</w:t>
            </w:r>
          </w:p>
        </w:tc>
        <w:tc>
          <w:tcPr>
            <w:tcW w:w="1960" w:type="dxa"/>
            <w:tcBorders>
              <w:top w:val="nil"/>
              <w:left w:val="nil"/>
              <w:bottom w:val="nil"/>
              <w:right w:val="nil"/>
            </w:tcBorders>
            <w:shd w:val="clear" w:color="auto" w:fill="auto"/>
            <w:noWrap/>
            <w:vAlign w:val="center"/>
            <w:hideMark/>
          </w:tcPr>
          <w:p w14:paraId="1040793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11 970 099 616,4</w:t>
            </w:r>
          </w:p>
        </w:tc>
        <w:tc>
          <w:tcPr>
            <w:tcW w:w="1725" w:type="dxa"/>
            <w:tcBorders>
              <w:top w:val="nil"/>
              <w:left w:val="nil"/>
              <w:bottom w:val="nil"/>
              <w:right w:val="nil"/>
            </w:tcBorders>
            <w:shd w:val="clear" w:color="auto" w:fill="auto"/>
            <w:noWrap/>
            <w:vAlign w:val="center"/>
            <w:hideMark/>
          </w:tcPr>
          <w:p w14:paraId="1476B59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12 053 681 167,9</w:t>
            </w:r>
          </w:p>
        </w:tc>
        <w:tc>
          <w:tcPr>
            <w:tcW w:w="1180" w:type="dxa"/>
            <w:tcBorders>
              <w:top w:val="nil"/>
              <w:left w:val="nil"/>
              <w:bottom w:val="nil"/>
              <w:right w:val="nil"/>
            </w:tcBorders>
            <w:shd w:val="clear" w:color="auto" w:fill="auto"/>
            <w:noWrap/>
            <w:vAlign w:val="center"/>
            <w:hideMark/>
          </w:tcPr>
          <w:p w14:paraId="2921BC7F"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100,7</w:t>
            </w:r>
          </w:p>
        </w:tc>
      </w:tr>
      <w:tr w:rsidR="009F7FF6" w:rsidRPr="005C53F5" w14:paraId="0462C625" w14:textId="77777777" w:rsidTr="009F6321">
        <w:trPr>
          <w:trHeight w:val="210"/>
        </w:trPr>
        <w:tc>
          <w:tcPr>
            <w:tcW w:w="4820" w:type="dxa"/>
            <w:tcBorders>
              <w:top w:val="nil"/>
              <w:left w:val="nil"/>
              <w:bottom w:val="nil"/>
              <w:right w:val="nil"/>
            </w:tcBorders>
            <w:shd w:val="clear" w:color="auto" w:fill="auto"/>
            <w:vAlign w:val="center"/>
            <w:hideMark/>
          </w:tcPr>
          <w:p w14:paraId="289DDFAF"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НЕНАЛОГОВЫЕ ПОСТУПЛЕНИЯ</w:t>
            </w:r>
          </w:p>
        </w:tc>
        <w:tc>
          <w:tcPr>
            <w:tcW w:w="1960" w:type="dxa"/>
            <w:tcBorders>
              <w:top w:val="nil"/>
              <w:left w:val="nil"/>
              <w:bottom w:val="nil"/>
              <w:right w:val="nil"/>
            </w:tcBorders>
            <w:shd w:val="clear" w:color="auto" w:fill="auto"/>
            <w:noWrap/>
            <w:vAlign w:val="center"/>
            <w:hideMark/>
          </w:tcPr>
          <w:p w14:paraId="4B9B02A2"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286 325 203,8</w:t>
            </w:r>
          </w:p>
        </w:tc>
        <w:tc>
          <w:tcPr>
            <w:tcW w:w="1725" w:type="dxa"/>
            <w:tcBorders>
              <w:top w:val="nil"/>
              <w:left w:val="nil"/>
              <w:bottom w:val="nil"/>
              <w:right w:val="nil"/>
            </w:tcBorders>
            <w:shd w:val="clear" w:color="auto" w:fill="auto"/>
            <w:noWrap/>
            <w:vAlign w:val="center"/>
            <w:hideMark/>
          </w:tcPr>
          <w:p w14:paraId="14C0D453"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376 838 398,9</w:t>
            </w:r>
          </w:p>
        </w:tc>
        <w:tc>
          <w:tcPr>
            <w:tcW w:w="1180" w:type="dxa"/>
            <w:tcBorders>
              <w:top w:val="nil"/>
              <w:left w:val="nil"/>
              <w:bottom w:val="nil"/>
              <w:right w:val="nil"/>
            </w:tcBorders>
            <w:shd w:val="clear" w:color="auto" w:fill="auto"/>
            <w:noWrap/>
            <w:vAlign w:val="center"/>
            <w:hideMark/>
          </w:tcPr>
          <w:p w14:paraId="449E34F7"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131,6</w:t>
            </w:r>
          </w:p>
        </w:tc>
      </w:tr>
      <w:tr w:rsidR="009F7FF6" w:rsidRPr="005C53F5" w14:paraId="568A5276" w14:textId="77777777" w:rsidTr="009F6321">
        <w:trPr>
          <w:trHeight w:val="225"/>
        </w:trPr>
        <w:tc>
          <w:tcPr>
            <w:tcW w:w="4820" w:type="dxa"/>
            <w:tcBorders>
              <w:top w:val="nil"/>
              <w:left w:val="nil"/>
              <w:bottom w:val="nil"/>
              <w:right w:val="nil"/>
            </w:tcBorders>
            <w:shd w:val="clear" w:color="auto" w:fill="auto"/>
            <w:vAlign w:val="center"/>
            <w:hideMark/>
          </w:tcPr>
          <w:p w14:paraId="5C5827D2"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Неналоговые поступления</w:t>
            </w:r>
          </w:p>
        </w:tc>
        <w:tc>
          <w:tcPr>
            <w:tcW w:w="1960" w:type="dxa"/>
            <w:tcBorders>
              <w:top w:val="nil"/>
              <w:left w:val="nil"/>
              <w:bottom w:val="nil"/>
              <w:right w:val="nil"/>
            </w:tcBorders>
            <w:shd w:val="clear" w:color="auto" w:fill="auto"/>
            <w:noWrap/>
            <w:vAlign w:val="center"/>
            <w:hideMark/>
          </w:tcPr>
          <w:p w14:paraId="3CFC8DD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286 325 203,8</w:t>
            </w:r>
          </w:p>
        </w:tc>
        <w:tc>
          <w:tcPr>
            <w:tcW w:w="1725" w:type="dxa"/>
            <w:tcBorders>
              <w:top w:val="nil"/>
              <w:left w:val="nil"/>
              <w:bottom w:val="nil"/>
              <w:right w:val="nil"/>
            </w:tcBorders>
            <w:shd w:val="clear" w:color="auto" w:fill="auto"/>
            <w:noWrap/>
            <w:vAlign w:val="center"/>
            <w:hideMark/>
          </w:tcPr>
          <w:p w14:paraId="3FDA2FD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376 838 398,9</w:t>
            </w:r>
          </w:p>
        </w:tc>
        <w:tc>
          <w:tcPr>
            <w:tcW w:w="1180" w:type="dxa"/>
            <w:tcBorders>
              <w:top w:val="nil"/>
              <w:left w:val="nil"/>
              <w:bottom w:val="nil"/>
              <w:right w:val="nil"/>
            </w:tcBorders>
            <w:shd w:val="clear" w:color="auto" w:fill="auto"/>
            <w:noWrap/>
            <w:vAlign w:val="center"/>
            <w:hideMark/>
          </w:tcPr>
          <w:p w14:paraId="3069666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131,6</w:t>
            </w:r>
          </w:p>
        </w:tc>
      </w:tr>
      <w:tr w:rsidR="009F7FF6" w:rsidRPr="005C53F5" w14:paraId="0ACE7B19" w14:textId="77777777" w:rsidTr="009F6321">
        <w:trPr>
          <w:trHeight w:val="210"/>
        </w:trPr>
        <w:tc>
          <w:tcPr>
            <w:tcW w:w="4820" w:type="dxa"/>
            <w:tcBorders>
              <w:top w:val="nil"/>
              <w:left w:val="nil"/>
              <w:bottom w:val="nil"/>
              <w:right w:val="nil"/>
            </w:tcBorders>
            <w:shd w:val="clear" w:color="auto" w:fill="auto"/>
            <w:vAlign w:val="center"/>
            <w:hideMark/>
          </w:tcPr>
          <w:p w14:paraId="138A58EE"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ПОСТУПЛЕНИЯ ОТ ПРОДАЖИ ОСНОВНОГО КАПИТАЛА</w:t>
            </w:r>
          </w:p>
        </w:tc>
        <w:tc>
          <w:tcPr>
            <w:tcW w:w="1960" w:type="dxa"/>
            <w:tcBorders>
              <w:top w:val="nil"/>
              <w:left w:val="nil"/>
              <w:bottom w:val="nil"/>
              <w:right w:val="nil"/>
            </w:tcBorders>
            <w:shd w:val="clear" w:color="auto" w:fill="auto"/>
            <w:noWrap/>
            <w:vAlign w:val="center"/>
            <w:hideMark/>
          </w:tcPr>
          <w:p w14:paraId="3D8250B1"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96 254 219,8</w:t>
            </w:r>
          </w:p>
        </w:tc>
        <w:tc>
          <w:tcPr>
            <w:tcW w:w="1725" w:type="dxa"/>
            <w:tcBorders>
              <w:top w:val="nil"/>
              <w:left w:val="nil"/>
              <w:bottom w:val="nil"/>
              <w:right w:val="nil"/>
            </w:tcBorders>
            <w:shd w:val="clear" w:color="auto" w:fill="auto"/>
            <w:noWrap/>
            <w:vAlign w:val="center"/>
            <w:hideMark/>
          </w:tcPr>
          <w:p w14:paraId="4B5E72E9"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117 764 296,5</w:t>
            </w:r>
          </w:p>
        </w:tc>
        <w:tc>
          <w:tcPr>
            <w:tcW w:w="1180" w:type="dxa"/>
            <w:tcBorders>
              <w:top w:val="nil"/>
              <w:left w:val="nil"/>
              <w:bottom w:val="nil"/>
              <w:right w:val="nil"/>
            </w:tcBorders>
            <w:shd w:val="clear" w:color="auto" w:fill="auto"/>
            <w:noWrap/>
            <w:vAlign w:val="center"/>
            <w:hideMark/>
          </w:tcPr>
          <w:p w14:paraId="016B41F8"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122,3</w:t>
            </w:r>
          </w:p>
        </w:tc>
      </w:tr>
      <w:tr w:rsidR="009F7FF6" w:rsidRPr="005C53F5" w14:paraId="16D0919B" w14:textId="77777777" w:rsidTr="009F6321">
        <w:trPr>
          <w:trHeight w:val="225"/>
        </w:trPr>
        <w:tc>
          <w:tcPr>
            <w:tcW w:w="4820" w:type="dxa"/>
            <w:tcBorders>
              <w:top w:val="nil"/>
              <w:left w:val="nil"/>
              <w:bottom w:val="nil"/>
              <w:right w:val="nil"/>
            </w:tcBorders>
            <w:shd w:val="clear" w:color="auto" w:fill="auto"/>
            <w:vAlign w:val="center"/>
            <w:hideMark/>
          </w:tcPr>
          <w:p w14:paraId="2E5523CF"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от продажи основного капитала</w:t>
            </w:r>
          </w:p>
        </w:tc>
        <w:tc>
          <w:tcPr>
            <w:tcW w:w="1960" w:type="dxa"/>
            <w:tcBorders>
              <w:top w:val="nil"/>
              <w:left w:val="nil"/>
              <w:bottom w:val="nil"/>
              <w:right w:val="nil"/>
            </w:tcBorders>
            <w:shd w:val="clear" w:color="auto" w:fill="auto"/>
            <w:noWrap/>
            <w:vAlign w:val="center"/>
            <w:hideMark/>
          </w:tcPr>
          <w:p w14:paraId="134B843F"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96 254 219,8</w:t>
            </w:r>
          </w:p>
        </w:tc>
        <w:tc>
          <w:tcPr>
            <w:tcW w:w="1725" w:type="dxa"/>
            <w:tcBorders>
              <w:top w:val="nil"/>
              <w:left w:val="nil"/>
              <w:bottom w:val="nil"/>
              <w:right w:val="nil"/>
            </w:tcBorders>
            <w:shd w:val="clear" w:color="auto" w:fill="auto"/>
            <w:noWrap/>
            <w:vAlign w:val="center"/>
            <w:hideMark/>
          </w:tcPr>
          <w:p w14:paraId="531D1E0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117 764 296,5</w:t>
            </w:r>
          </w:p>
        </w:tc>
        <w:tc>
          <w:tcPr>
            <w:tcW w:w="1180" w:type="dxa"/>
            <w:tcBorders>
              <w:top w:val="nil"/>
              <w:left w:val="nil"/>
              <w:bottom w:val="nil"/>
              <w:right w:val="nil"/>
            </w:tcBorders>
            <w:shd w:val="clear" w:color="auto" w:fill="auto"/>
            <w:noWrap/>
            <w:vAlign w:val="center"/>
            <w:hideMark/>
          </w:tcPr>
          <w:p w14:paraId="1F157FB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122,3</w:t>
            </w:r>
          </w:p>
        </w:tc>
      </w:tr>
      <w:tr w:rsidR="009F7FF6" w:rsidRPr="005C53F5" w14:paraId="78443E46" w14:textId="77777777" w:rsidTr="009F6321">
        <w:trPr>
          <w:trHeight w:val="210"/>
        </w:trPr>
        <w:tc>
          <w:tcPr>
            <w:tcW w:w="4820" w:type="dxa"/>
            <w:tcBorders>
              <w:top w:val="nil"/>
              <w:left w:val="nil"/>
              <w:bottom w:val="nil"/>
              <w:right w:val="nil"/>
            </w:tcBorders>
            <w:shd w:val="clear" w:color="auto" w:fill="auto"/>
            <w:vAlign w:val="center"/>
            <w:hideMark/>
          </w:tcPr>
          <w:p w14:paraId="5A6E94CA"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ПОСТУПЛЕНИЯ ТРАНСФЕРТОВ</w:t>
            </w:r>
          </w:p>
        </w:tc>
        <w:tc>
          <w:tcPr>
            <w:tcW w:w="1960" w:type="dxa"/>
            <w:tcBorders>
              <w:top w:val="nil"/>
              <w:left w:val="nil"/>
              <w:bottom w:val="nil"/>
              <w:right w:val="nil"/>
            </w:tcBorders>
            <w:shd w:val="clear" w:color="auto" w:fill="auto"/>
            <w:noWrap/>
            <w:vAlign w:val="center"/>
            <w:hideMark/>
          </w:tcPr>
          <w:p w14:paraId="5F4EED09"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0,0</w:t>
            </w:r>
          </w:p>
        </w:tc>
        <w:tc>
          <w:tcPr>
            <w:tcW w:w="1725" w:type="dxa"/>
            <w:tcBorders>
              <w:top w:val="nil"/>
              <w:left w:val="nil"/>
              <w:bottom w:val="nil"/>
              <w:right w:val="nil"/>
            </w:tcBorders>
            <w:shd w:val="clear" w:color="auto" w:fill="auto"/>
            <w:noWrap/>
            <w:vAlign w:val="center"/>
            <w:hideMark/>
          </w:tcPr>
          <w:p w14:paraId="71E8626F"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319 577,0</w:t>
            </w:r>
          </w:p>
        </w:tc>
        <w:tc>
          <w:tcPr>
            <w:tcW w:w="1180" w:type="dxa"/>
            <w:tcBorders>
              <w:top w:val="nil"/>
              <w:left w:val="nil"/>
              <w:bottom w:val="nil"/>
              <w:right w:val="nil"/>
            </w:tcBorders>
            <w:shd w:val="clear" w:color="auto" w:fill="auto"/>
            <w:noWrap/>
            <w:vAlign w:val="center"/>
            <w:hideMark/>
          </w:tcPr>
          <w:p w14:paraId="7B15394D"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0,0</w:t>
            </w:r>
          </w:p>
        </w:tc>
      </w:tr>
      <w:tr w:rsidR="009F7FF6" w:rsidRPr="005C53F5" w14:paraId="43F0CC32" w14:textId="77777777" w:rsidTr="009F6321">
        <w:trPr>
          <w:trHeight w:val="225"/>
        </w:trPr>
        <w:tc>
          <w:tcPr>
            <w:tcW w:w="4820" w:type="dxa"/>
            <w:tcBorders>
              <w:top w:val="nil"/>
              <w:left w:val="nil"/>
              <w:bottom w:val="nil"/>
              <w:right w:val="nil"/>
            </w:tcBorders>
            <w:shd w:val="clear" w:color="auto" w:fill="auto"/>
            <w:vAlign w:val="center"/>
            <w:hideMark/>
          </w:tcPr>
          <w:p w14:paraId="6D15F4A5"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трансфертов</w:t>
            </w:r>
          </w:p>
        </w:tc>
        <w:tc>
          <w:tcPr>
            <w:tcW w:w="1960" w:type="dxa"/>
            <w:tcBorders>
              <w:top w:val="nil"/>
              <w:left w:val="nil"/>
              <w:bottom w:val="nil"/>
              <w:right w:val="nil"/>
            </w:tcBorders>
            <w:shd w:val="clear" w:color="auto" w:fill="auto"/>
            <w:noWrap/>
            <w:vAlign w:val="center"/>
            <w:hideMark/>
          </w:tcPr>
          <w:p w14:paraId="7E57497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0,0</w:t>
            </w:r>
          </w:p>
        </w:tc>
        <w:tc>
          <w:tcPr>
            <w:tcW w:w="1725" w:type="dxa"/>
            <w:tcBorders>
              <w:top w:val="nil"/>
              <w:left w:val="nil"/>
              <w:bottom w:val="nil"/>
              <w:right w:val="nil"/>
            </w:tcBorders>
            <w:shd w:val="clear" w:color="auto" w:fill="auto"/>
            <w:noWrap/>
            <w:vAlign w:val="center"/>
            <w:hideMark/>
          </w:tcPr>
          <w:p w14:paraId="75AA26E1"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319 577,0</w:t>
            </w:r>
          </w:p>
        </w:tc>
        <w:tc>
          <w:tcPr>
            <w:tcW w:w="1180" w:type="dxa"/>
            <w:tcBorders>
              <w:top w:val="nil"/>
              <w:left w:val="nil"/>
              <w:bottom w:val="nil"/>
              <w:right w:val="nil"/>
            </w:tcBorders>
            <w:shd w:val="clear" w:color="auto" w:fill="auto"/>
            <w:noWrap/>
            <w:vAlign w:val="center"/>
            <w:hideMark/>
          </w:tcPr>
          <w:p w14:paraId="1BA27F0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0,0</w:t>
            </w:r>
          </w:p>
        </w:tc>
      </w:tr>
      <w:tr w:rsidR="009F7FF6" w:rsidRPr="005C53F5" w14:paraId="1AAC217B" w14:textId="77777777" w:rsidTr="009F6321">
        <w:trPr>
          <w:trHeight w:val="420"/>
        </w:trPr>
        <w:tc>
          <w:tcPr>
            <w:tcW w:w="4820" w:type="dxa"/>
            <w:tcBorders>
              <w:top w:val="nil"/>
              <w:left w:val="nil"/>
              <w:bottom w:val="nil"/>
              <w:right w:val="nil"/>
            </w:tcBorders>
            <w:shd w:val="clear" w:color="auto" w:fill="auto"/>
            <w:vAlign w:val="center"/>
            <w:hideMark/>
          </w:tcPr>
          <w:p w14:paraId="07D67608"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Иные поступления и доходы, не запрещенные законодательством Республики Казахстан</w:t>
            </w:r>
          </w:p>
        </w:tc>
        <w:tc>
          <w:tcPr>
            <w:tcW w:w="1960" w:type="dxa"/>
            <w:tcBorders>
              <w:top w:val="nil"/>
              <w:left w:val="nil"/>
              <w:bottom w:val="nil"/>
              <w:right w:val="nil"/>
            </w:tcBorders>
            <w:shd w:val="clear" w:color="auto" w:fill="auto"/>
            <w:noWrap/>
            <w:vAlign w:val="center"/>
            <w:hideMark/>
          </w:tcPr>
          <w:p w14:paraId="497AB88B"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0,0</w:t>
            </w:r>
          </w:p>
        </w:tc>
        <w:tc>
          <w:tcPr>
            <w:tcW w:w="1725" w:type="dxa"/>
            <w:tcBorders>
              <w:top w:val="nil"/>
              <w:left w:val="nil"/>
              <w:bottom w:val="nil"/>
              <w:right w:val="nil"/>
            </w:tcBorders>
            <w:shd w:val="clear" w:color="auto" w:fill="auto"/>
            <w:noWrap/>
            <w:vAlign w:val="center"/>
            <w:hideMark/>
          </w:tcPr>
          <w:p w14:paraId="040689B6"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5 822 494,0</w:t>
            </w:r>
          </w:p>
        </w:tc>
        <w:tc>
          <w:tcPr>
            <w:tcW w:w="1180" w:type="dxa"/>
            <w:tcBorders>
              <w:top w:val="nil"/>
              <w:left w:val="nil"/>
              <w:bottom w:val="nil"/>
              <w:right w:val="nil"/>
            </w:tcBorders>
            <w:shd w:val="clear" w:color="auto" w:fill="auto"/>
            <w:noWrap/>
            <w:vAlign w:val="center"/>
            <w:hideMark/>
          </w:tcPr>
          <w:p w14:paraId="09DDBD19"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p>
        </w:tc>
      </w:tr>
      <w:tr w:rsidR="009F7FF6" w:rsidRPr="005C53F5" w14:paraId="54AF2200" w14:textId="77777777" w:rsidTr="009F6321">
        <w:trPr>
          <w:trHeight w:val="420"/>
        </w:trPr>
        <w:tc>
          <w:tcPr>
            <w:tcW w:w="4820" w:type="dxa"/>
            <w:tcBorders>
              <w:top w:val="nil"/>
              <w:left w:val="nil"/>
              <w:bottom w:val="nil"/>
              <w:right w:val="nil"/>
            </w:tcBorders>
            <w:shd w:val="clear" w:color="000000" w:fill="FFFFFF"/>
            <w:vAlign w:val="center"/>
            <w:hideMark/>
          </w:tcPr>
          <w:p w14:paraId="588D2467"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II. ИНВЕСТИЦИОННЫЕ ДОХОДЫ ОТ УПРАВЛЕНИЯ НАЦИОНАЛЬНЫМ ФОНДОМ</w:t>
            </w:r>
          </w:p>
        </w:tc>
        <w:tc>
          <w:tcPr>
            <w:tcW w:w="1960" w:type="dxa"/>
            <w:tcBorders>
              <w:top w:val="nil"/>
              <w:left w:val="nil"/>
              <w:bottom w:val="nil"/>
              <w:right w:val="nil"/>
            </w:tcBorders>
            <w:shd w:val="clear" w:color="auto" w:fill="auto"/>
            <w:noWrap/>
            <w:vAlign w:val="center"/>
            <w:hideMark/>
          </w:tcPr>
          <w:p w14:paraId="39BA7084"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2 522 315 717,0</w:t>
            </w:r>
          </w:p>
        </w:tc>
        <w:tc>
          <w:tcPr>
            <w:tcW w:w="1725" w:type="dxa"/>
            <w:tcBorders>
              <w:top w:val="nil"/>
              <w:left w:val="nil"/>
              <w:bottom w:val="nil"/>
              <w:right w:val="nil"/>
            </w:tcBorders>
            <w:shd w:val="clear" w:color="auto" w:fill="auto"/>
            <w:noWrap/>
            <w:vAlign w:val="center"/>
            <w:hideMark/>
          </w:tcPr>
          <w:p w14:paraId="407B3D69"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1 179 047 511,0</w:t>
            </w:r>
          </w:p>
        </w:tc>
        <w:tc>
          <w:tcPr>
            <w:tcW w:w="1180" w:type="dxa"/>
            <w:tcBorders>
              <w:top w:val="nil"/>
              <w:left w:val="nil"/>
              <w:bottom w:val="nil"/>
              <w:right w:val="nil"/>
            </w:tcBorders>
            <w:shd w:val="clear" w:color="auto" w:fill="auto"/>
            <w:noWrap/>
            <w:vAlign w:val="center"/>
            <w:hideMark/>
          </w:tcPr>
          <w:p w14:paraId="52EFCD98"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46,7</w:t>
            </w:r>
          </w:p>
        </w:tc>
      </w:tr>
      <w:tr w:rsidR="009F7FF6" w:rsidRPr="005C53F5" w14:paraId="5A298CB7" w14:textId="77777777" w:rsidTr="009F6321">
        <w:trPr>
          <w:trHeight w:val="210"/>
        </w:trPr>
        <w:tc>
          <w:tcPr>
            <w:tcW w:w="4820" w:type="dxa"/>
            <w:tcBorders>
              <w:top w:val="nil"/>
              <w:left w:val="nil"/>
              <w:bottom w:val="nil"/>
              <w:right w:val="nil"/>
            </w:tcBorders>
            <w:shd w:val="clear" w:color="auto" w:fill="auto"/>
            <w:vAlign w:val="center"/>
            <w:hideMark/>
          </w:tcPr>
          <w:p w14:paraId="5DB83569"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III. ЗАТРАТЫ</w:t>
            </w:r>
          </w:p>
        </w:tc>
        <w:tc>
          <w:tcPr>
            <w:tcW w:w="1960" w:type="dxa"/>
            <w:tcBorders>
              <w:top w:val="nil"/>
              <w:left w:val="nil"/>
              <w:bottom w:val="nil"/>
              <w:right w:val="nil"/>
            </w:tcBorders>
            <w:shd w:val="clear" w:color="auto" w:fill="auto"/>
            <w:noWrap/>
            <w:vAlign w:val="center"/>
            <w:hideMark/>
          </w:tcPr>
          <w:p w14:paraId="7EE5EE0F"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13 577 906 015,2</w:t>
            </w:r>
          </w:p>
        </w:tc>
        <w:tc>
          <w:tcPr>
            <w:tcW w:w="1725" w:type="dxa"/>
            <w:tcBorders>
              <w:top w:val="nil"/>
              <w:left w:val="nil"/>
              <w:bottom w:val="nil"/>
              <w:right w:val="nil"/>
            </w:tcBorders>
            <w:shd w:val="clear" w:color="auto" w:fill="auto"/>
            <w:noWrap/>
            <w:vAlign w:val="center"/>
            <w:hideMark/>
          </w:tcPr>
          <w:p w14:paraId="55EAAB63"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13 535 581 336,8</w:t>
            </w:r>
          </w:p>
        </w:tc>
        <w:tc>
          <w:tcPr>
            <w:tcW w:w="1180" w:type="dxa"/>
            <w:tcBorders>
              <w:top w:val="nil"/>
              <w:left w:val="nil"/>
              <w:bottom w:val="nil"/>
              <w:right w:val="nil"/>
            </w:tcBorders>
            <w:shd w:val="clear" w:color="auto" w:fill="auto"/>
            <w:noWrap/>
            <w:vAlign w:val="center"/>
            <w:hideMark/>
          </w:tcPr>
          <w:p w14:paraId="26BDCB36"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99,7</w:t>
            </w:r>
          </w:p>
        </w:tc>
      </w:tr>
      <w:tr w:rsidR="009F7FF6" w:rsidRPr="005C53F5" w14:paraId="3185931A" w14:textId="77777777" w:rsidTr="009F6321">
        <w:trPr>
          <w:trHeight w:val="225"/>
        </w:trPr>
        <w:tc>
          <w:tcPr>
            <w:tcW w:w="4820" w:type="dxa"/>
            <w:tcBorders>
              <w:top w:val="nil"/>
              <w:left w:val="nil"/>
              <w:bottom w:val="nil"/>
              <w:right w:val="nil"/>
            </w:tcBorders>
            <w:shd w:val="clear" w:color="auto" w:fill="auto"/>
            <w:vAlign w:val="center"/>
            <w:hideMark/>
          </w:tcPr>
          <w:p w14:paraId="070827DE"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Государственные услуги общего характера</w:t>
            </w:r>
          </w:p>
        </w:tc>
        <w:tc>
          <w:tcPr>
            <w:tcW w:w="1960" w:type="dxa"/>
            <w:tcBorders>
              <w:top w:val="nil"/>
              <w:left w:val="nil"/>
              <w:bottom w:val="nil"/>
              <w:right w:val="nil"/>
            </w:tcBorders>
            <w:shd w:val="clear" w:color="auto" w:fill="auto"/>
            <w:noWrap/>
            <w:vAlign w:val="center"/>
            <w:hideMark/>
          </w:tcPr>
          <w:p w14:paraId="5EEE2BE4"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745 424 984,2</w:t>
            </w:r>
          </w:p>
        </w:tc>
        <w:tc>
          <w:tcPr>
            <w:tcW w:w="1725" w:type="dxa"/>
            <w:tcBorders>
              <w:top w:val="nil"/>
              <w:left w:val="nil"/>
              <w:bottom w:val="nil"/>
              <w:right w:val="nil"/>
            </w:tcBorders>
            <w:shd w:val="clear" w:color="auto" w:fill="auto"/>
            <w:noWrap/>
            <w:vAlign w:val="center"/>
            <w:hideMark/>
          </w:tcPr>
          <w:p w14:paraId="7216A52A"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744 128 440,5</w:t>
            </w:r>
          </w:p>
        </w:tc>
        <w:tc>
          <w:tcPr>
            <w:tcW w:w="1180" w:type="dxa"/>
            <w:tcBorders>
              <w:top w:val="nil"/>
              <w:left w:val="nil"/>
              <w:bottom w:val="nil"/>
              <w:right w:val="nil"/>
            </w:tcBorders>
            <w:shd w:val="clear" w:color="auto" w:fill="auto"/>
            <w:noWrap/>
            <w:vAlign w:val="center"/>
            <w:hideMark/>
          </w:tcPr>
          <w:p w14:paraId="69CB2634"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99,8</w:t>
            </w:r>
          </w:p>
        </w:tc>
      </w:tr>
      <w:tr w:rsidR="009F7FF6" w:rsidRPr="005C53F5" w14:paraId="4719D199" w14:textId="77777777" w:rsidTr="009F6321">
        <w:trPr>
          <w:trHeight w:val="225"/>
        </w:trPr>
        <w:tc>
          <w:tcPr>
            <w:tcW w:w="4820" w:type="dxa"/>
            <w:tcBorders>
              <w:top w:val="nil"/>
              <w:left w:val="nil"/>
              <w:bottom w:val="nil"/>
              <w:right w:val="nil"/>
            </w:tcBorders>
            <w:shd w:val="clear" w:color="auto" w:fill="auto"/>
            <w:vAlign w:val="center"/>
            <w:hideMark/>
          </w:tcPr>
          <w:p w14:paraId="6C6909BC"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Оборона</w:t>
            </w:r>
          </w:p>
        </w:tc>
        <w:tc>
          <w:tcPr>
            <w:tcW w:w="1960" w:type="dxa"/>
            <w:tcBorders>
              <w:top w:val="nil"/>
              <w:left w:val="nil"/>
              <w:bottom w:val="nil"/>
              <w:right w:val="nil"/>
            </w:tcBorders>
            <w:shd w:val="clear" w:color="auto" w:fill="auto"/>
            <w:noWrap/>
            <w:vAlign w:val="center"/>
            <w:hideMark/>
          </w:tcPr>
          <w:p w14:paraId="14A7617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738 922 604,8</w:t>
            </w:r>
          </w:p>
        </w:tc>
        <w:tc>
          <w:tcPr>
            <w:tcW w:w="1725" w:type="dxa"/>
            <w:tcBorders>
              <w:top w:val="nil"/>
              <w:left w:val="nil"/>
              <w:bottom w:val="nil"/>
              <w:right w:val="nil"/>
            </w:tcBorders>
            <w:shd w:val="clear" w:color="auto" w:fill="auto"/>
            <w:noWrap/>
            <w:vAlign w:val="center"/>
            <w:hideMark/>
          </w:tcPr>
          <w:p w14:paraId="7452E8E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738 655 278,0</w:t>
            </w:r>
          </w:p>
        </w:tc>
        <w:tc>
          <w:tcPr>
            <w:tcW w:w="1180" w:type="dxa"/>
            <w:tcBorders>
              <w:top w:val="nil"/>
              <w:left w:val="nil"/>
              <w:bottom w:val="nil"/>
              <w:right w:val="nil"/>
            </w:tcBorders>
            <w:shd w:val="clear" w:color="auto" w:fill="auto"/>
            <w:noWrap/>
            <w:vAlign w:val="center"/>
            <w:hideMark/>
          </w:tcPr>
          <w:p w14:paraId="2BBE85A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1604BA1D" w14:textId="77777777" w:rsidTr="009F6321">
        <w:trPr>
          <w:trHeight w:val="450"/>
        </w:trPr>
        <w:tc>
          <w:tcPr>
            <w:tcW w:w="4820" w:type="dxa"/>
            <w:tcBorders>
              <w:top w:val="nil"/>
              <w:left w:val="nil"/>
              <w:bottom w:val="nil"/>
              <w:right w:val="nil"/>
            </w:tcBorders>
            <w:shd w:val="clear" w:color="auto" w:fill="auto"/>
            <w:vAlign w:val="center"/>
            <w:hideMark/>
          </w:tcPr>
          <w:p w14:paraId="448ABF70"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Общественный порядок, безопасность, правовая, судебная, уголовно-исполнительная деятельность</w:t>
            </w:r>
          </w:p>
        </w:tc>
        <w:tc>
          <w:tcPr>
            <w:tcW w:w="1960" w:type="dxa"/>
            <w:tcBorders>
              <w:top w:val="nil"/>
              <w:left w:val="nil"/>
              <w:bottom w:val="nil"/>
              <w:right w:val="nil"/>
            </w:tcBorders>
            <w:shd w:val="clear" w:color="auto" w:fill="auto"/>
            <w:noWrap/>
            <w:vAlign w:val="center"/>
            <w:hideMark/>
          </w:tcPr>
          <w:p w14:paraId="19DEF1E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833 815 344,9</w:t>
            </w:r>
          </w:p>
        </w:tc>
        <w:tc>
          <w:tcPr>
            <w:tcW w:w="1725" w:type="dxa"/>
            <w:tcBorders>
              <w:top w:val="nil"/>
              <w:left w:val="nil"/>
              <w:bottom w:val="nil"/>
              <w:right w:val="nil"/>
            </w:tcBorders>
            <w:shd w:val="clear" w:color="auto" w:fill="auto"/>
            <w:noWrap/>
            <w:vAlign w:val="center"/>
            <w:hideMark/>
          </w:tcPr>
          <w:p w14:paraId="18F2BF9A"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833 305 498,6</w:t>
            </w:r>
          </w:p>
        </w:tc>
        <w:tc>
          <w:tcPr>
            <w:tcW w:w="1180" w:type="dxa"/>
            <w:tcBorders>
              <w:top w:val="nil"/>
              <w:left w:val="nil"/>
              <w:bottom w:val="nil"/>
              <w:right w:val="nil"/>
            </w:tcBorders>
            <w:shd w:val="clear" w:color="auto" w:fill="auto"/>
            <w:noWrap/>
            <w:vAlign w:val="center"/>
            <w:hideMark/>
          </w:tcPr>
          <w:p w14:paraId="33AD2F84"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99,9</w:t>
            </w:r>
          </w:p>
        </w:tc>
      </w:tr>
      <w:tr w:rsidR="009F7FF6" w:rsidRPr="005C53F5" w14:paraId="35D2F74C" w14:textId="77777777" w:rsidTr="009F6321">
        <w:trPr>
          <w:trHeight w:val="225"/>
        </w:trPr>
        <w:tc>
          <w:tcPr>
            <w:tcW w:w="4820" w:type="dxa"/>
            <w:tcBorders>
              <w:top w:val="nil"/>
              <w:left w:val="nil"/>
              <w:bottom w:val="nil"/>
              <w:right w:val="nil"/>
            </w:tcBorders>
            <w:shd w:val="clear" w:color="auto" w:fill="auto"/>
            <w:vAlign w:val="center"/>
            <w:hideMark/>
          </w:tcPr>
          <w:p w14:paraId="4E64B83C"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Образование</w:t>
            </w:r>
          </w:p>
        </w:tc>
        <w:tc>
          <w:tcPr>
            <w:tcW w:w="1960" w:type="dxa"/>
            <w:tcBorders>
              <w:top w:val="nil"/>
              <w:left w:val="nil"/>
              <w:bottom w:val="nil"/>
              <w:right w:val="nil"/>
            </w:tcBorders>
            <w:shd w:val="clear" w:color="auto" w:fill="auto"/>
            <w:noWrap/>
            <w:vAlign w:val="center"/>
            <w:hideMark/>
          </w:tcPr>
          <w:p w14:paraId="08FCBD80"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2 336 436 611,7</w:t>
            </w:r>
          </w:p>
        </w:tc>
        <w:tc>
          <w:tcPr>
            <w:tcW w:w="1725" w:type="dxa"/>
            <w:tcBorders>
              <w:top w:val="nil"/>
              <w:left w:val="nil"/>
              <w:bottom w:val="nil"/>
              <w:right w:val="nil"/>
            </w:tcBorders>
            <w:shd w:val="clear" w:color="auto" w:fill="auto"/>
            <w:noWrap/>
            <w:vAlign w:val="center"/>
            <w:hideMark/>
          </w:tcPr>
          <w:p w14:paraId="62FE99F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2 332 035 354,1</w:t>
            </w:r>
          </w:p>
        </w:tc>
        <w:tc>
          <w:tcPr>
            <w:tcW w:w="1180" w:type="dxa"/>
            <w:tcBorders>
              <w:top w:val="nil"/>
              <w:left w:val="nil"/>
              <w:bottom w:val="nil"/>
              <w:right w:val="nil"/>
            </w:tcBorders>
            <w:shd w:val="clear" w:color="auto" w:fill="auto"/>
            <w:noWrap/>
            <w:vAlign w:val="center"/>
            <w:hideMark/>
          </w:tcPr>
          <w:p w14:paraId="5C6550A0"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99,8</w:t>
            </w:r>
          </w:p>
        </w:tc>
      </w:tr>
      <w:tr w:rsidR="009F7FF6" w:rsidRPr="005C53F5" w14:paraId="1F3A3C94" w14:textId="77777777" w:rsidTr="009F6321">
        <w:trPr>
          <w:trHeight w:val="225"/>
        </w:trPr>
        <w:tc>
          <w:tcPr>
            <w:tcW w:w="4820" w:type="dxa"/>
            <w:tcBorders>
              <w:top w:val="nil"/>
              <w:left w:val="nil"/>
              <w:bottom w:val="nil"/>
              <w:right w:val="nil"/>
            </w:tcBorders>
            <w:shd w:val="clear" w:color="auto" w:fill="auto"/>
            <w:vAlign w:val="center"/>
            <w:hideMark/>
          </w:tcPr>
          <w:p w14:paraId="7965EB08"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Здравоохранение</w:t>
            </w:r>
          </w:p>
        </w:tc>
        <w:tc>
          <w:tcPr>
            <w:tcW w:w="1960" w:type="dxa"/>
            <w:tcBorders>
              <w:top w:val="nil"/>
              <w:left w:val="nil"/>
              <w:bottom w:val="nil"/>
              <w:right w:val="nil"/>
            </w:tcBorders>
            <w:shd w:val="clear" w:color="auto" w:fill="auto"/>
            <w:noWrap/>
            <w:vAlign w:val="center"/>
            <w:hideMark/>
          </w:tcPr>
          <w:p w14:paraId="55F69C99"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1 293 562 720,3</w:t>
            </w:r>
          </w:p>
        </w:tc>
        <w:tc>
          <w:tcPr>
            <w:tcW w:w="1725" w:type="dxa"/>
            <w:tcBorders>
              <w:top w:val="nil"/>
              <w:left w:val="nil"/>
              <w:bottom w:val="nil"/>
              <w:right w:val="nil"/>
            </w:tcBorders>
            <w:shd w:val="clear" w:color="auto" w:fill="auto"/>
            <w:noWrap/>
            <w:vAlign w:val="center"/>
            <w:hideMark/>
          </w:tcPr>
          <w:p w14:paraId="70E27BCF"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1 291 789 059,7</w:t>
            </w:r>
          </w:p>
        </w:tc>
        <w:tc>
          <w:tcPr>
            <w:tcW w:w="1180" w:type="dxa"/>
            <w:tcBorders>
              <w:top w:val="nil"/>
              <w:left w:val="nil"/>
              <w:bottom w:val="nil"/>
              <w:right w:val="nil"/>
            </w:tcBorders>
            <w:shd w:val="clear" w:color="auto" w:fill="auto"/>
            <w:noWrap/>
            <w:vAlign w:val="center"/>
            <w:hideMark/>
          </w:tcPr>
          <w:p w14:paraId="3BB4B96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99,9</w:t>
            </w:r>
          </w:p>
        </w:tc>
      </w:tr>
      <w:tr w:rsidR="009F7FF6" w:rsidRPr="005C53F5" w14:paraId="67CA2677" w14:textId="77777777" w:rsidTr="009F6321">
        <w:trPr>
          <w:trHeight w:val="225"/>
        </w:trPr>
        <w:tc>
          <w:tcPr>
            <w:tcW w:w="4820" w:type="dxa"/>
            <w:tcBorders>
              <w:top w:val="nil"/>
              <w:left w:val="nil"/>
              <w:bottom w:val="nil"/>
              <w:right w:val="nil"/>
            </w:tcBorders>
            <w:shd w:val="clear" w:color="auto" w:fill="auto"/>
            <w:vAlign w:val="center"/>
            <w:hideMark/>
          </w:tcPr>
          <w:p w14:paraId="1832B32A"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Социальная помощь и социальное обеспечение</w:t>
            </w:r>
          </w:p>
        </w:tc>
        <w:tc>
          <w:tcPr>
            <w:tcW w:w="1960" w:type="dxa"/>
            <w:tcBorders>
              <w:top w:val="nil"/>
              <w:left w:val="nil"/>
              <w:bottom w:val="nil"/>
              <w:right w:val="nil"/>
            </w:tcBorders>
            <w:shd w:val="clear" w:color="auto" w:fill="auto"/>
            <w:noWrap/>
            <w:vAlign w:val="center"/>
            <w:hideMark/>
          </w:tcPr>
          <w:p w14:paraId="6C100AFA"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3 478 815 667,1</w:t>
            </w:r>
          </w:p>
        </w:tc>
        <w:tc>
          <w:tcPr>
            <w:tcW w:w="1725" w:type="dxa"/>
            <w:tcBorders>
              <w:top w:val="nil"/>
              <w:left w:val="nil"/>
              <w:bottom w:val="nil"/>
              <w:right w:val="nil"/>
            </w:tcBorders>
            <w:shd w:val="clear" w:color="auto" w:fill="auto"/>
            <w:noWrap/>
            <w:vAlign w:val="center"/>
            <w:hideMark/>
          </w:tcPr>
          <w:p w14:paraId="3E8205E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3 466 723 734,4</w:t>
            </w:r>
          </w:p>
        </w:tc>
        <w:tc>
          <w:tcPr>
            <w:tcW w:w="1180" w:type="dxa"/>
            <w:tcBorders>
              <w:top w:val="nil"/>
              <w:left w:val="nil"/>
              <w:bottom w:val="nil"/>
              <w:right w:val="nil"/>
            </w:tcBorders>
            <w:shd w:val="clear" w:color="auto" w:fill="auto"/>
            <w:noWrap/>
            <w:vAlign w:val="center"/>
            <w:hideMark/>
          </w:tcPr>
          <w:p w14:paraId="1D29CDD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99,7</w:t>
            </w:r>
          </w:p>
        </w:tc>
      </w:tr>
      <w:tr w:rsidR="009F7FF6" w:rsidRPr="005C53F5" w14:paraId="54B7D581" w14:textId="77777777" w:rsidTr="009F6321">
        <w:trPr>
          <w:trHeight w:val="225"/>
        </w:trPr>
        <w:tc>
          <w:tcPr>
            <w:tcW w:w="4820" w:type="dxa"/>
            <w:tcBorders>
              <w:top w:val="nil"/>
              <w:left w:val="nil"/>
              <w:bottom w:val="nil"/>
              <w:right w:val="nil"/>
            </w:tcBorders>
            <w:shd w:val="clear" w:color="auto" w:fill="auto"/>
            <w:vAlign w:val="center"/>
            <w:hideMark/>
          </w:tcPr>
          <w:p w14:paraId="51328503"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Жилищно-коммунальное хозяйство</w:t>
            </w:r>
          </w:p>
        </w:tc>
        <w:tc>
          <w:tcPr>
            <w:tcW w:w="1960" w:type="dxa"/>
            <w:tcBorders>
              <w:top w:val="nil"/>
              <w:left w:val="nil"/>
              <w:bottom w:val="nil"/>
              <w:right w:val="nil"/>
            </w:tcBorders>
            <w:shd w:val="clear" w:color="auto" w:fill="auto"/>
            <w:noWrap/>
            <w:vAlign w:val="center"/>
            <w:hideMark/>
          </w:tcPr>
          <w:p w14:paraId="1A259F81"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921 115 980,2</w:t>
            </w:r>
          </w:p>
        </w:tc>
        <w:tc>
          <w:tcPr>
            <w:tcW w:w="1725" w:type="dxa"/>
            <w:tcBorders>
              <w:top w:val="nil"/>
              <w:left w:val="nil"/>
              <w:bottom w:val="nil"/>
              <w:right w:val="nil"/>
            </w:tcBorders>
            <w:shd w:val="clear" w:color="auto" w:fill="auto"/>
            <w:noWrap/>
            <w:vAlign w:val="center"/>
            <w:hideMark/>
          </w:tcPr>
          <w:p w14:paraId="3064E26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913 650 203,9</w:t>
            </w:r>
          </w:p>
        </w:tc>
        <w:tc>
          <w:tcPr>
            <w:tcW w:w="1180" w:type="dxa"/>
            <w:tcBorders>
              <w:top w:val="nil"/>
              <w:left w:val="nil"/>
              <w:bottom w:val="nil"/>
              <w:right w:val="nil"/>
            </w:tcBorders>
            <w:shd w:val="clear" w:color="auto" w:fill="auto"/>
            <w:noWrap/>
            <w:vAlign w:val="center"/>
            <w:hideMark/>
          </w:tcPr>
          <w:p w14:paraId="294EF27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99,2</w:t>
            </w:r>
          </w:p>
        </w:tc>
      </w:tr>
      <w:tr w:rsidR="009F7FF6" w:rsidRPr="005C53F5" w14:paraId="5650C0DB" w14:textId="77777777" w:rsidTr="009F6321">
        <w:trPr>
          <w:trHeight w:val="225"/>
        </w:trPr>
        <w:tc>
          <w:tcPr>
            <w:tcW w:w="4820" w:type="dxa"/>
            <w:tcBorders>
              <w:top w:val="nil"/>
              <w:left w:val="nil"/>
              <w:bottom w:val="nil"/>
              <w:right w:val="nil"/>
            </w:tcBorders>
            <w:shd w:val="clear" w:color="auto" w:fill="auto"/>
            <w:vAlign w:val="center"/>
            <w:hideMark/>
          </w:tcPr>
          <w:p w14:paraId="2B86AAC1"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Культура, спорт, туризм и информационное пространство</w:t>
            </w:r>
          </w:p>
        </w:tc>
        <w:tc>
          <w:tcPr>
            <w:tcW w:w="1960" w:type="dxa"/>
            <w:tcBorders>
              <w:top w:val="nil"/>
              <w:left w:val="nil"/>
              <w:bottom w:val="nil"/>
              <w:right w:val="nil"/>
            </w:tcBorders>
            <w:shd w:val="clear" w:color="auto" w:fill="auto"/>
            <w:noWrap/>
            <w:vAlign w:val="center"/>
            <w:hideMark/>
          </w:tcPr>
          <w:p w14:paraId="68516F60"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457 414 677,8</w:t>
            </w:r>
          </w:p>
        </w:tc>
        <w:tc>
          <w:tcPr>
            <w:tcW w:w="1725" w:type="dxa"/>
            <w:tcBorders>
              <w:top w:val="nil"/>
              <w:left w:val="nil"/>
              <w:bottom w:val="nil"/>
              <w:right w:val="nil"/>
            </w:tcBorders>
            <w:shd w:val="clear" w:color="auto" w:fill="auto"/>
            <w:noWrap/>
            <w:vAlign w:val="center"/>
            <w:hideMark/>
          </w:tcPr>
          <w:p w14:paraId="172A97B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456 200 942,7</w:t>
            </w:r>
          </w:p>
        </w:tc>
        <w:tc>
          <w:tcPr>
            <w:tcW w:w="1180" w:type="dxa"/>
            <w:tcBorders>
              <w:top w:val="nil"/>
              <w:left w:val="nil"/>
              <w:bottom w:val="nil"/>
              <w:right w:val="nil"/>
            </w:tcBorders>
            <w:shd w:val="clear" w:color="auto" w:fill="auto"/>
            <w:noWrap/>
            <w:vAlign w:val="center"/>
            <w:hideMark/>
          </w:tcPr>
          <w:p w14:paraId="580BC350"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99,7</w:t>
            </w:r>
          </w:p>
        </w:tc>
      </w:tr>
      <w:tr w:rsidR="009F7FF6" w:rsidRPr="005C53F5" w14:paraId="49618B1F" w14:textId="77777777" w:rsidTr="009F6321">
        <w:trPr>
          <w:trHeight w:val="225"/>
        </w:trPr>
        <w:tc>
          <w:tcPr>
            <w:tcW w:w="4820" w:type="dxa"/>
            <w:tcBorders>
              <w:top w:val="nil"/>
              <w:left w:val="nil"/>
              <w:bottom w:val="nil"/>
              <w:right w:val="nil"/>
            </w:tcBorders>
            <w:shd w:val="clear" w:color="auto" w:fill="auto"/>
            <w:vAlign w:val="center"/>
            <w:hideMark/>
          </w:tcPr>
          <w:p w14:paraId="730387DE"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Топливно-энергетический комплекс и недропользование</w:t>
            </w:r>
          </w:p>
        </w:tc>
        <w:tc>
          <w:tcPr>
            <w:tcW w:w="1960" w:type="dxa"/>
            <w:tcBorders>
              <w:top w:val="nil"/>
              <w:left w:val="nil"/>
              <w:bottom w:val="nil"/>
              <w:right w:val="nil"/>
            </w:tcBorders>
            <w:shd w:val="clear" w:color="auto" w:fill="auto"/>
            <w:noWrap/>
            <w:vAlign w:val="center"/>
            <w:hideMark/>
          </w:tcPr>
          <w:p w14:paraId="6980489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128 069 857,4</w:t>
            </w:r>
          </w:p>
        </w:tc>
        <w:tc>
          <w:tcPr>
            <w:tcW w:w="1725" w:type="dxa"/>
            <w:tcBorders>
              <w:top w:val="nil"/>
              <w:left w:val="nil"/>
              <w:bottom w:val="nil"/>
              <w:right w:val="nil"/>
            </w:tcBorders>
            <w:shd w:val="clear" w:color="auto" w:fill="auto"/>
            <w:noWrap/>
            <w:vAlign w:val="center"/>
            <w:hideMark/>
          </w:tcPr>
          <w:p w14:paraId="796D5C8F"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127 871 751,4</w:t>
            </w:r>
          </w:p>
        </w:tc>
        <w:tc>
          <w:tcPr>
            <w:tcW w:w="1180" w:type="dxa"/>
            <w:tcBorders>
              <w:top w:val="nil"/>
              <w:left w:val="nil"/>
              <w:bottom w:val="nil"/>
              <w:right w:val="nil"/>
            </w:tcBorders>
            <w:shd w:val="clear" w:color="auto" w:fill="auto"/>
            <w:noWrap/>
            <w:vAlign w:val="center"/>
            <w:hideMark/>
          </w:tcPr>
          <w:p w14:paraId="7384D16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99,8</w:t>
            </w:r>
          </w:p>
        </w:tc>
      </w:tr>
      <w:tr w:rsidR="009F7FF6" w:rsidRPr="005C53F5" w14:paraId="2640912B" w14:textId="77777777" w:rsidTr="009F6321">
        <w:trPr>
          <w:trHeight w:val="675"/>
        </w:trPr>
        <w:tc>
          <w:tcPr>
            <w:tcW w:w="4820" w:type="dxa"/>
            <w:tcBorders>
              <w:top w:val="nil"/>
              <w:left w:val="nil"/>
              <w:bottom w:val="nil"/>
              <w:right w:val="nil"/>
            </w:tcBorders>
            <w:shd w:val="clear" w:color="auto" w:fill="auto"/>
            <w:vAlign w:val="center"/>
            <w:hideMark/>
          </w:tcPr>
          <w:p w14:paraId="3E22FB1B"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960" w:type="dxa"/>
            <w:tcBorders>
              <w:top w:val="nil"/>
              <w:left w:val="nil"/>
              <w:bottom w:val="nil"/>
              <w:right w:val="nil"/>
            </w:tcBorders>
            <w:shd w:val="clear" w:color="auto" w:fill="auto"/>
            <w:noWrap/>
            <w:vAlign w:val="center"/>
            <w:hideMark/>
          </w:tcPr>
          <w:p w14:paraId="5F08024A"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584 148 735,8</w:t>
            </w:r>
          </w:p>
        </w:tc>
        <w:tc>
          <w:tcPr>
            <w:tcW w:w="1725" w:type="dxa"/>
            <w:tcBorders>
              <w:top w:val="nil"/>
              <w:left w:val="nil"/>
              <w:bottom w:val="nil"/>
              <w:right w:val="nil"/>
            </w:tcBorders>
            <w:shd w:val="clear" w:color="auto" w:fill="auto"/>
            <w:noWrap/>
            <w:vAlign w:val="center"/>
            <w:hideMark/>
          </w:tcPr>
          <w:p w14:paraId="514CB5A9"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583 409 892,1</w:t>
            </w:r>
          </w:p>
        </w:tc>
        <w:tc>
          <w:tcPr>
            <w:tcW w:w="1180" w:type="dxa"/>
            <w:tcBorders>
              <w:top w:val="nil"/>
              <w:left w:val="nil"/>
              <w:bottom w:val="nil"/>
              <w:right w:val="nil"/>
            </w:tcBorders>
            <w:shd w:val="clear" w:color="auto" w:fill="auto"/>
            <w:noWrap/>
            <w:vAlign w:val="center"/>
            <w:hideMark/>
          </w:tcPr>
          <w:p w14:paraId="06E1FA00"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99,9</w:t>
            </w:r>
          </w:p>
        </w:tc>
      </w:tr>
      <w:tr w:rsidR="009F7FF6" w:rsidRPr="005C53F5" w14:paraId="7A59E45A" w14:textId="77777777" w:rsidTr="009F6321">
        <w:trPr>
          <w:trHeight w:val="450"/>
        </w:trPr>
        <w:tc>
          <w:tcPr>
            <w:tcW w:w="4820" w:type="dxa"/>
            <w:tcBorders>
              <w:top w:val="nil"/>
              <w:left w:val="nil"/>
              <w:bottom w:val="nil"/>
              <w:right w:val="nil"/>
            </w:tcBorders>
            <w:shd w:val="clear" w:color="auto" w:fill="auto"/>
            <w:vAlign w:val="center"/>
            <w:hideMark/>
          </w:tcPr>
          <w:p w14:paraId="160DD6D2"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Промышленность, архитектурная, градостроительная и строительная деятельность</w:t>
            </w:r>
          </w:p>
        </w:tc>
        <w:tc>
          <w:tcPr>
            <w:tcW w:w="1960" w:type="dxa"/>
            <w:tcBorders>
              <w:top w:val="nil"/>
              <w:left w:val="nil"/>
              <w:bottom w:val="nil"/>
              <w:right w:val="nil"/>
            </w:tcBorders>
            <w:shd w:val="clear" w:color="auto" w:fill="auto"/>
            <w:noWrap/>
            <w:vAlign w:val="center"/>
            <w:hideMark/>
          </w:tcPr>
          <w:p w14:paraId="2BF6F29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72 903 900,6</w:t>
            </w:r>
          </w:p>
        </w:tc>
        <w:tc>
          <w:tcPr>
            <w:tcW w:w="1725" w:type="dxa"/>
            <w:tcBorders>
              <w:top w:val="nil"/>
              <w:left w:val="nil"/>
              <w:bottom w:val="nil"/>
              <w:right w:val="nil"/>
            </w:tcBorders>
            <w:shd w:val="clear" w:color="auto" w:fill="auto"/>
            <w:noWrap/>
            <w:vAlign w:val="center"/>
            <w:hideMark/>
          </w:tcPr>
          <w:p w14:paraId="3BC6069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69 566 014,1</w:t>
            </w:r>
          </w:p>
        </w:tc>
        <w:tc>
          <w:tcPr>
            <w:tcW w:w="1180" w:type="dxa"/>
            <w:tcBorders>
              <w:top w:val="nil"/>
              <w:left w:val="nil"/>
              <w:bottom w:val="nil"/>
              <w:right w:val="nil"/>
            </w:tcBorders>
            <w:shd w:val="clear" w:color="auto" w:fill="auto"/>
            <w:noWrap/>
            <w:vAlign w:val="center"/>
            <w:hideMark/>
          </w:tcPr>
          <w:p w14:paraId="36F89AD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95,4</w:t>
            </w:r>
          </w:p>
        </w:tc>
      </w:tr>
      <w:tr w:rsidR="009F7FF6" w:rsidRPr="005C53F5" w14:paraId="28D3651D" w14:textId="77777777" w:rsidTr="009F6321">
        <w:trPr>
          <w:trHeight w:val="225"/>
        </w:trPr>
        <w:tc>
          <w:tcPr>
            <w:tcW w:w="4820" w:type="dxa"/>
            <w:tcBorders>
              <w:top w:val="nil"/>
              <w:left w:val="nil"/>
              <w:bottom w:val="nil"/>
              <w:right w:val="nil"/>
            </w:tcBorders>
            <w:shd w:val="clear" w:color="auto" w:fill="auto"/>
            <w:vAlign w:val="center"/>
            <w:hideMark/>
          </w:tcPr>
          <w:p w14:paraId="659A4941"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Транспорт и коммуникации</w:t>
            </w:r>
          </w:p>
        </w:tc>
        <w:tc>
          <w:tcPr>
            <w:tcW w:w="1960" w:type="dxa"/>
            <w:tcBorders>
              <w:top w:val="nil"/>
              <w:left w:val="nil"/>
              <w:bottom w:val="nil"/>
              <w:right w:val="nil"/>
            </w:tcBorders>
            <w:shd w:val="clear" w:color="auto" w:fill="auto"/>
            <w:noWrap/>
            <w:vAlign w:val="center"/>
            <w:hideMark/>
          </w:tcPr>
          <w:p w14:paraId="6AF9267E"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894 873 545,8</w:t>
            </w:r>
          </w:p>
        </w:tc>
        <w:tc>
          <w:tcPr>
            <w:tcW w:w="1725" w:type="dxa"/>
            <w:tcBorders>
              <w:top w:val="nil"/>
              <w:left w:val="nil"/>
              <w:bottom w:val="nil"/>
              <w:right w:val="nil"/>
            </w:tcBorders>
            <w:shd w:val="clear" w:color="auto" w:fill="auto"/>
            <w:noWrap/>
            <w:vAlign w:val="center"/>
            <w:hideMark/>
          </w:tcPr>
          <w:p w14:paraId="73468E7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893 622 429,0</w:t>
            </w:r>
          </w:p>
        </w:tc>
        <w:tc>
          <w:tcPr>
            <w:tcW w:w="1180" w:type="dxa"/>
            <w:tcBorders>
              <w:top w:val="nil"/>
              <w:left w:val="nil"/>
              <w:bottom w:val="nil"/>
              <w:right w:val="nil"/>
            </w:tcBorders>
            <w:shd w:val="clear" w:color="auto" w:fill="auto"/>
            <w:noWrap/>
            <w:vAlign w:val="center"/>
            <w:hideMark/>
          </w:tcPr>
          <w:p w14:paraId="74D4F54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99,9</w:t>
            </w:r>
          </w:p>
        </w:tc>
      </w:tr>
      <w:tr w:rsidR="009F7FF6" w:rsidRPr="005C53F5" w14:paraId="64B5CC6E" w14:textId="77777777" w:rsidTr="009F6321">
        <w:trPr>
          <w:trHeight w:val="225"/>
        </w:trPr>
        <w:tc>
          <w:tcPr>
            <w:tcW w:w="4820" w:type="dxa"/>
            <w:tcBorders>
              <w:top w:val="nil"/>
              <w:left w:val="nil"/>
              <w:bottom w:val="nil"/>
              <w:right w:val="nil"/>
            </w:tcBorders>
            <w:shd w:val="clear" w:color="auto" w:fill="auto"/>
            <w:vAlign w:val="center"/>
            <w:hideMark/>
          </w:tcPr>
          <w:p w14:paraId="50DAD0CB"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Прочие</w:t>
            </w:r>
          </w:p>
        </w:tc>
        <w:tc>
          <w:tcPr>
            <w:tcW w:w="1960" w:type="dxa"/>
            <w:tcBorders>
              <w:top w:val="nil"/>
              <w:left w:val="nil"/>
              <w:bottom w:val="nil"/>
              <w:right w:val="nil"/>
            </w:tcBorders>
            <w:shd w:val="clear" w:color="auto" w:fill="auto"/>
            <w:noWrap/>
            <w:vAlign w:val="center"/>
            <w:hideMark/>
          </w:tcPr>
          <w:p w14:paraId="7588CB9E"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410 211 288,1</w:t>
            </w:r>
          </w:p>
        </w:tc>
        <w:tc>
          <w:tcPr>
            <w:tcW w:w="1725" w:type="dxa"/>
            <w:tcBorders>
              <w:top w:val="nil"/>
              <w:left w:val="nil"/>
              <w:bottom w:val="nil"/>
              <w:right w:val="nil"/>
            </w:tcBorders>
            <w:shd w:val="clear" w:color="auto" w:fill="auto"/>
            <w:noWrap/>
            <w:vAlign w:val="center"/>
            <w:hideMark/>
          </w:tcPr>
          <w:p w14:paraId="1BF85E5E"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402 556 982,9</w:t>
            </w:r>
          </w:p>
        </w:tc>
        <w:tc>
          <w:tcPr>
            <w:tcW w:w="1180" w:type="dxa"/>
            <w:tcBorders>
              <w:top w:val="nil"/>
              <w:left w:val="nil"/>
              <w:bottom w:val="nil"/>
              <w:right w:val="nil"/>
            </w:tcBorders>
            <w:shd w:val="clear" w:color="auto" w:fill="auto"/>
            <w:noWrap/>
            <w:vAlign w:val="center"/>
            <w:hideMark/>
          </w:tcPr>
          <w:p w14:paraId="2248FA44"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98,1</w:t>
            </w:r>
          </w:p>
        </w:tc>
      </w:tr>
      <w:tr w:rsidR="009F7FF6" w:rsidRPr="005C53F5" w14:paraId="0B4704CF" w14:textId="77777777" w:rsidTr="009F6321">
        <w:trPr>
          <w:trHeight w:val="225"/>
        </w:trPr>
        <w:tc>
          <w:tcPr>
            <w:tcW w:w="4820" w:type="dxa"/>
            <w:tcBorders>
              <w:top w:val="nil"/>
              <w:left w:val="nil"/>
              <w:bottom w:val="nil"/>
              <w:right w:val="nil"/>
            </w:tcBorders>
            <w:shd w:val="clear" w:color="auto" w:fill="auto"/>
            <w:vAlign w:val="center"/>
            <w:hideMark/>
          </w:tcPr>
          <w:p w14:paraId="2D708DF9"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Обслуживание долга</w:t>
            </w:r>
          </w:p>
        </w:tc>
        <w:tc>
          <w:tcPr>
            <w:tcW w:w="1960" w:type="dxa"/>
            <w:tcBorders>
              <w:top w:val="nil"/>
              <w:left w:val="nil"/>
              <w:bottom w:val="nil"/>
              <w:right w:val="nil"/>
            </w:tcBorders>
            <w:shd w:val="clear" w:color="auto" w:fill="auto"/>
            <w:noWrap/>
            <w:vAlign w:val="center"/>
            <w:hideMark/>
          </w:tcPr>
          <w:p w14:paraId="52036684"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679 768 032,9</w:t>
            </w:r>
          </w:p>
        </w:tc>
        <w:tc>
          <w:tcPr>
            <w:tcW w:w="1725" w:type="dxa"/>
            <w:tcBorders>
              <w:top w:val="nil"/>
              <w:left w:val="nil"/>
              <w:bottom w:val="nil"/>
              <w:right w:val="nil"/>
            </w:tcBorders>
            <w:shd w:val="clear" w:color="auto" w:fill="auto"/>
            <w:noWrap/>
            <w:vAlign w:val="center"/>
            <w:hideMark/>
          </w:tcPr>
          <w:p w14:paraId="6780C6B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679 643 693,3</w:t>
            </w:r>
          </w:p>
        </w:tc>
        <w:tc>
          <w:tcPr>
            <w:tcW w:w="1180" w:type="dxa"/>
            <w:tcBorders>
              <w:top w:val="nil"/>
              <w:left w:val="nil"/>
              <w:bottom w:val="nil"/>
              <w:right w:val="nil"/>
            </w:tcBorders>
            <w:shd w:val="clear" w:color="auto" w:fill="auto"/>
            <w:noWrap/>
            <w:vAlign w:val="center"/>
            <w:hideMark/>
          </w:tcPr>
          <w:p w14:paraId="525468D8"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2EFAF087" w14:textId="77777777" w:rsidTr="009F6321">
        <w:trPr>
          <w:trHeight w:val="225"/>
        </w:trPr>
        <w:tc>
          <w:tcPr>
            <w:tcW w:w="4820" w:type="dxa"/>
            <w:tcBorders>
              <w:top w:val="nil"/>
              <w:left w:val="nil"/>
              <w:bottom w:val="nil"/>
              <w:right w:val="nil"/>
            </w:tcBorders>
            <w:shd w:val="clear" w:color="auto" w:fill="auto"/>
            <w:vAlign w:val="center"/>
            <w:hideMark/>
          </w:tcPr>
          <w:p w14:paraId="3E90209D"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Трансферты</w:t>
            </w:r>
          </w:p>
        </w:tc>
        <w:tc>
          <w:tcPr>
            <w:tcW w:w="1960" w:type="dxa"/>
            <w:tcBorders>
              <w:top w:val="nil"/>
              <w:left w:val="nil"/>
              <w:bottom w:val="nil"/>
              <w:right w:val="nil"/>
            </w:tcBorders>
            <w:shd w:val="clear" w:color="auto" w:fill="auto"/>
            <w:noWrap/>
            <w:vAlign w:val="center"/>
            <w:hideMark/>
          </w:tcPr>
          <w:p w14:paraId="3A3FEF5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2 422 063,6</w:t>
            </w:r>
          </w:p>
        </w:tc>
        <w:tc>
          <w:tcPr>
            <w:tcW w:w="1725" w:type="dxa"/>
            <w:tcBorders>
              <w:top w:val="nil"/>
              <w:left w:val="nil"/>
              <w:bottom w:val="nil"/>
              <w:right w:val="nil"/>
            </w:tcBorders>
            <w:shd w:val="clear" w:color="auto" w:fill="auto"/>
            <w:noWrap/>
            <w:vAlign w:val="center"/>
            <w:hideMark/>
          </w:tcPr>
          <w:p w14:paraId="41CDC14F"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2 422 061,9</w:t>
            </w:r>
          </w:p>
        </w:tc>
        <w:tc>
          <w:tcPr>
            <w:tcW w:w="1180" w:type="dxa"/>
            <w:tcBorders>
              <w:top w:val="nil"/>
              <w:left w:val="nil"/>
              <w:bottom w:val="nil"/>
              <w:right w:val="nil"/>
            </w:tcBorders>
            <w:shd w:val="clear" w:color="auto" w:fill="auto"/>
            <w:noWrap/>
            <w:vAlign w:val="center"/>
            <w:hideMark/>
          </w:tcPr>
          <w:p w14:paraId="0D7DD25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39FE449C" w14:textId="77777777" w:rsidTr="009F6321">
        <w:trPr>
          <w:trHeight w:val="630"/>
        </w:trPr>
        <w:tc>
          <w:tcPr>
            <w:tcW w:w="4820" w:type="dxa"/>
            <w:tcBorders>
              <w:top w:val="nil"/>
              <w:left w:val="nil"/>
              <w:bottom w:val="nil"/>
              <w:right w:val="nil"/>
            </w:tcBorders>
            <w:shd w:val="clear" w:color="auto" w:fill="auto"/>
            <w:vAlign w:val="center"/>
            <w:hideMark/>
          </w:tcPr>
          <w:p w14:paraId="6BEA493A"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IV.  ПОКРЫТИЕ РАСХОДОВ, СВЯЗАННЫХ С УПРАВЛЕНИЕМ НАЦИОНАЛЬНЫМ ФОНДОМ И ПРОВЕДЕНИЕМ ЕЖЕГОДНОГО ВНЕШНЕГО АУДИТА</w:t>
            </w:r>
          </w:p>
        </w:tc>
        <w:tc>
          <w:tcPr>
            <w:tcW w:w="1960" w:type="dxa"/>
            <w:tcBorders>
              <w:top w:val="nil"/>
              <w:left w:val="nil"/>
              <w:bottom w:val="nil"/>
              <w:right w:val="nil"/>
            </w:tcBorders>
            <w:shd w:val="clear" w:color="auto" w:fill="auto"/>
            <w:noWrap/>
            <w:vAlign w:val="center"/>
            <w:hideMark/>
          </w:tcPr>
          <w:p w14:paraId="16081C46"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18 074 427,0</w:t>
            </w:r>
          </w:p>
        </w:tc>
        <w:tc>
          <w:tcPr>
            <w:tcW w:w="1725" w:type="dxa"/>
            <w:tcBorders>
              <w:top w:val="nil"/>
              <w:left w:val="nil"/>
              <w:bottom w:val="nil"/>
              <w:right w:val="nil"/>
            </w:tcBorders>
            <w:shd w:val="clear" w:color="auto" w:fill="auto"/>
            <w:noWrap/>
            <w:vAlign w:val="center"/>
            <w:hideMark/>
          </w:tcPr>
          <w:p w14:paraId="503179FA"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13 987 307,0</w:t>
            </w:r>
          </w:p>
        </w:tc>
        <w:tc>
          <w:tcPr>
            <w:tcW w:w="1180" w:type="dxa"/>
            <w:tcBorders>
              <w:top w:val="nil"/>
              <w:left w:val="nil"/>
              <w:bottom w:val="nil"/>
              <w:right w:val="nil"/>
            </w:tcBorders>
            <w:shd w:val="clear" w:color="auto" w:fill="auto"/>
            <w:noWrap/>
            <w:vAlign w:val="center"/>
            <w:hideMark/>
          </w:tcPr>
          <w:p w14:paraId="15214FC7"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77,4</w:t>
            </w:r>
          </w:p>
        </w:tc>
      </w:tr>
      <w:tr w:rsidR="009F7FF6" w:rsidRPr="005C53F5" w14:paraId="096A7A9B" w14:textId="77777777" w:rsidTr="009F6321">
        <w:trPr>
          <w:trHeight w:val="225"/>
        </w:trPr>
        <w:tc>
          <w:tcPr>
            <w:tcW w:w="4820" w:type="dxa"/>
            <w:tcBorders>
              <w:top w:val="nil"/>
              <w:left w:val="nil"/>
              <w:bottom w:val="nil"/>
              <w:right w:val="nil"/>
            </w:tcBorders>
            <w:shd w:val="clear" w:color="auto" w:fill="auto"/>
            <w:vAlign w:val="center"/>
            <w:hideMark/>
          </w:tcPr>
          <w:p w14:paraId="6A9ADACD"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V.  ЧИСТОЕ БЮДЖЕТНОЕ КРЕДИТОВАНИЕ</w:t>
            </w:r>
          </w:p>
        </w:tc>
        <w:tc>
          <w:tcPr>
            <w:tcW w:w="1960" w:type="dxa"/>
            <w:tcBorders>
              <w:top w:val="nil"/>
              <w:left w:val="nil"/>
              <w:bottom w:val="nil"/>
              <w:right w:val="nil"/>
            </w:tcBorders>
            <w:shd w:val="clear" w:color="auto" w:fill="auto"/>
            <w:noWrap/>
            <w:vAlign w:val="center"/>
            <w:hideMark/>
          </w:tcPr>
          <w:p w14:paraId="51C8EB46"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267 124 872,7</w:t>
            </w:r>
          </w:p>
        </w:tc>
        <w:tc>
          <w:tcPr>
            <w:tcW w:w="1725" w:type="dxa"/>
            <w:tcBorders>
              <w:top w:val="nil"/>
              <w:left w:val="nil"/>
              <w:bottom w:val="nil"/>
              <w:right w:val="nil"/>
            </w:tcBorders>
            <w:shd w:val="clear" w:color="auto" w:fill="auto"/>
            <w:noWrap/>
            <w:vAlign w:val="center"/>
            <w:hideMark/>
          </w:tcPr>
          <w:p w14:paraId="23F6BF7D"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262 880 837,2</w:t>
            </w:r>
          </w:p>
        </w:tc>
        <w:tc>
          <w:tcPr>
            <w:tcW w:w="1180" w:type="dxa"/>
            <w:tcBorders>
              <w:top w:val="nil"/>
              <w:left w:val="nil"/>
              <w:bottom w:val="nil"/>
              <w:right w:val="nil"/>
            </w:tcBorders>
            <w:shd w:val="clear" w:color="auto" w:fill="auto"/>
            <w:noWrap/>
            <w:vAlign w:val="center"/>
            <w:hideMark/>
          </w:tcPr>
          <w:p w14:paraId="4C1CD6D5"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p>
        </w:tc>
      </w:tr>
      <w:tr w:rsidR="009F7FF6" w:rsidRPr="005C53F5" w14:paraId="2F74819C" w14:textId="77777777" w:rsidTr="009F6321">
        <w:trPr>
          <w:trHeight w:val="210"/>
        </w:trPr>
        <w:tc>
          <w:tcPr>
            <w:tcW w:w="4820" w:type="dxa"/>
            <w:tcBorders>
              <w:top w:val="nil"/>
              <w:left w:val="nil"/>
              <w:bottom w:val="nil"/>
              <w:right w:val="nil"/>
            </w:tcBorders>
            <w:shd w:val="clear" w:color="auto" w:fill="auto"/>
            <w:vAlign w:val="center"/>
            <w:hideMark/>
          </w:tcPr>
          <w:p w14:paraId="54EE3BE3"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БЮДЖЕТНЫЕ КРЕДИТЫ</w:t>
            </w:r>
          </w:p>
        </w:tc>
        <w:tc>
          <w:tcPr>
            <w:tcW w:w="1960" w:type="dxa"/>
            <w:tcBorders>
              <w:top w:val="nil"/>
              <w:left w:val="nil"/>
              <w:bottom w:val="nil"/>
              <w:right w:val="nil"/>
            </w:tcBorders>
            <w:shd w:val="clear" w:color="auto" w:fill="auto"/>
            <w:noWrap/>
            <w:vAlign w:val="center"/>
            <w:hideMark/>
          </w:tcPr>
          <w:p w14:paraId="527C5A6A"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392 966 624,3</w:t>
            </w:r>
          </w:p>
        </w:tc>
        <w:tc>
          <w:tcPr>
            <w:tcW w:w="1725" w:type="dxa"/>
            <w:tcBorders>
              <w:top w:val="nil"/>
              <w:left w:val="nil"/>
              <w:bottom w:val="nil"/>
              <w:right w:val="nil"/>
            </w:tcBorders>
            <w:shd w:val="clear" w:color="auto" w:fill="auto"/>
            <w:noWrap/>
            <w:vAlign w:val="center"/>
            <w:hideMark/>
          </w:tcPr>
          <w:p w14:paraId="07A58461"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392 948 149,1</w:t>
            </w:r>
          </w:p>
        </w:tc>
        <w:tc>
          <w:tcPr>
            <w:tcW w:w="1180" w:type="dxa"/>
            <w:tcBorders>
              <w:top w:val="nil"/>
              <w:left w:val="nil"/>
              <w:bottom w:val="nil"/>
              <w:right w:val="nil"/>
            </w:tcBorders>
            <w:shd w:val="clear" w:color="auto" w:fill="auto"/>
            <w:noWrap/>
            <w:vAlign w:val="center"/>
            <w:hideMark/>
          </w:tcPr>
          <w:p w14:paraId="73D437FB"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100,0</w:t>
            </w:r>
          </w:p>
        </w:tc>
      </w:tr>
      <w:tr w:rsidR="009F7FF6" w:rsidRPr="005C53F5" w14:paraId="2FB12078" w14:textId="77777777" w:rsidTr="009F6321">
        <w:trPr>
          <w:trHeight w:val="225"/>
        </w:trPr>
        <w:tc>
          <w:tcPr>
            <w:tcW w:w="4820" w:type="dxa"/>
            <w:tcBorders>
              <w:top w:val="nil"/>
              <w:left w:val="nil"/>
              <w:bottom w:val="nil"/>
              <w:right w:val="nil"/>
            </w:tcBorders>
            <w:shd w:val="clear" w:color="auto" w:fill="auto"/>
            <w:vAlign w:val="center"/>
            <w:hideMark/>
          </w:tcPr>
          <w:p w14:paraId="239D0707"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Социальная помощь и социальное обеспечение</w:t>
            </w:r>
          </w:p>
        </w:tc>
        <w:tc>
          <w:tcPr>
            <w:tcW w:w="1960" w:type="dxa"/>
            <w:tcBorders>
              <w:top w:val="nil"/>
              <w:left w:val="nil"/>
              <w:bottom w:val="nil"/>
              <w:right w:val="nil"/>
            </w:tcBorders>
            <w:shd w:val="clear" w:color="auto" w:fill="auto"/>
            <w:noWrap/>
            <w:vAlign w:val="center"/>
            <w:hideMark/>
          </w:tcPr>
          <w:p w14:paraId="5A236AB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1 898 406,0</w:t>
            </w:r>
          </w:p>
        </w:tc>
        <w:tc>
          <w:tcPr>
            <w:tcW w:w="1725" w:type="dxa"/>
            <w:tcBorders>
              <w:top w:val="nil"/>
              <w:left w:val="nil"/>
              <w:bottom w:val="nil"/>
              <w:right w:val="nil"/>
            </w:tcBorders>
            <w:shd w:val="clear" w:color="auto" w:fill="auto"/>
            <w:noWrap/>
            <w:vAlign w:val="center"/>
            <w:hideMark/>
          </w:tcPr>
          <w:p w14:paraId="1BC1B9C9"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1 898 405,9</w:t>
            </w:r>
          </w:p>
        </w:tc>
        <w:tc>
          <w:tcPr>
            <w:tcW w:w="1180" w:type="dxa"/>
            <w:tcBorders>
              <w:top w:val="nil"/>
              <w:left w:val="nil"/>
              <w:bottom w:val="nil"/>
              <w:right w:val="nil"/>
            </w:tcBorders>
            <w:shd w:val="clear" w:color="auto" w:fill="auto"/>
            <w:noWrap/>
            <w:vAlign w:val="center"/>
            <w:hideMark/>
          </w:tcPr>
          <w:p w14:paraId="72011C8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5D66B66B" w14:textId="77777777" w:rsidTr="009F6321">
        <w:trPr>
          <w:trHeight w:val="225"/>
        </w:trPr>
        <w:tc>
          <w:tcPr>
            <w:tcW w:w="4820" w:type="dxa"/>
            <w:tcBorders>
              <w:top w:val="nil"/>
              <w:left w:val="nil"/>
              <w:bottom w:val="nil"/>
              <w:right w:val="nil"/>
            </w:tcBorders>
            <w:shd w:val="clear" w:color="auto" w:fill="auto"/>
            <w:vAlign w:val="center"/>
            <w:hideMark/>
          </w:tcPr>
          <w:p w14:paraId="39376DF1"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Жилищно-коммунальное хозяйство</w:t>
            </w:r>
          </w:p>
        </w:tc>
        <w:tc>
          <w:tcPr>
            <w:tcW w:w="1960" w:type="dxa"/>
            <w:tcBorders>
              <w:top w:val="nil"/>
              <w:left w:val="nil"/>
              <w:bottom w:val="nil"/>
              <w:right w:val="nil"/>
            </w:tcBorders>
            <w:shd w:val="clear" w:color="auto" w:fill="auto"/>
            <w:noWrap/>
            <w:vAlign w:val="center"/>
            <w:hideMark/>
          </w:tcPr>
          <w:p w14:paraId="1E8181EE"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41 813 356,0</w:t>
            </w:r>
          </w:p>
        </w:tc>
        <w:tc>
          <w:tcPr>
            <w:tcW w:w="1725" w:type="dxa"/>
            <w:tcBorders>
              <w:top w:val="nil"/>
              <w:left w:val="nil"/>
              <w:bottom w:val="nil"/>
              <w:right w:val="nil"/>
            </w:tcBorders>
            <w:shd w:val="clear" w:color="auto" w:fill="auto"/>
            <w:noWrap/>
            <w:vAlign w:val="center"/>
            <w:hideMark/>
          </w:tcPr>
          <w:p w14:paraId="696256F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41 813 355,0</w:t>
            </w:r>
          </w:p>
        </w:tc>
        <w:tc>
          <w:tcPr>
            <w:tcW w:w="1180" w:type="dxa"/>
            <w:tcBorders>
              <w:top w:val="nil"/>
              <w:left w:val="nil"/>
              <w:bottom w:val="nil"/>
              <w:right w:val="nil"/>
            </w:tcBorders>
            <w:shd w:val="clear" w:color="auto" w:fill="auto"/>
            <w:noWrap/>
            <w:vAlign w:val="center"/>
            <w:hideMark/>
          </w:tcPr>
          <w:p w14:paraId="7CAEEA7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66B68BB3" w14:textId="77777777" w:rsidTr="009F6321">
        <w:trPr>
          <w:trHeight w:val="225"/>
        </w:trPr>
        <w:tc>
          <w:tcPr>
            <w:tcW w:w="4820" w:type="dxa"/>
            <w:tcBorders>
              <w:top w:val="nil"/>
              <w:left w:val="nil"/>
              <w:bottom w:val="nil"/>
              <w:right w:val="nil"/>
            </w:tcBorders>
            <w:shd w:val="clear" w:color="auto" w:fill="auto"/>
            <w:vAlign w:val="center"/>
            <w:hideMark/>
          </w:tcPr>
          <w:p w14:paraId="48710E32"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Топливно-энергетический комплекс и недропользование</w:t>
            </w:r>
          </w:p>
        </w:tc>
        <w:tc>
          <w:tcPr>
            <w:tcW w:w="1960" w:type="dxa"/>
            <w:tcBorders>
              <w:top w:val="nil"/>
              <w:left w:val="nil"/>
              <w:bottom w:val="nil"/>
              <w:right w:val="nil"/>
            </w:tcBorders>
            <w:shd w:val="clear" w:color="auto" w:fill="auto"/>
            <w:noWrap/>
            <w:vAlign w:val="center"/>
            <w:hideMark/>
          </w:tcPr>
          <w:p w14:paraId="343A8083"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23 546 000,0</w:t>
            </w:r>
          </w:p>
        </w:tc>
        <w:tc>
          <w:tcPr>
            <w:tcW w:w="1725" w:type="dxa"/>
            <w:tcBorders>
              <w:top w:val="nil"/>
              <w:left w:val="nil"/>
              <w:bottom w:val="nil"/>
              <w:right w:val="nil"/>
            </w:tcBorders>
            <w:shd w:val="clear" w:color="auto" w:fill="auto"/>
            <w:noWrap/>
            <w:vAlign w:val="center"/>
            <w:hideMark/>
          </w:tcPr>
          <w:p w14:paraId="4360EE1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23 546 000,0</w:t>
            </w:r>
          </w:p>
        </w:tc>
        <w:tc>
          <w:tcPr>
            <w:tcW w:w="1180" w:type="dxa"/>
            <w:tcBorders>
              <w:top w:val="nil"/>
              <w:left w:val="nil"/>
              <w:bottom w:val="nil"/>
              <w:right w:val="nil"/>
            </w:tcBorders>
            <w:shd w:val="clear" w:color="auto" w:fill="auto"/>
            <w:noWrap/>
            <w:vAlign w:val="center"/>
            <w:hideMark/>
          </w:tcPr>
          <w:p w14:paraId="789AD3A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793665F2" w14:textId="77777777" w:rsidTr="009F6321">
        <w:trPr>
          <w:trHeight w:val="675"/>
        </w:trPr>
        <w:tc>
          <w:tcPr>
            <w:tcW w:w="4820" w:type="dxa"/>
            <w:tcBorders>
              <w:top w:val="nil"/>
              <w:left w:val="nil"/>
              <w:bottom w:val="nil"/>
              <w:right w:val="nil"/>
            </w:tcBorders>
            <w:shd w:val="clear" w:color="auto" w:fill="auto"/>
            <w:vAlign w:val="center"/>
            <w:hideMark/>
          </w:tcPr>
          <w:p w14:paraId="041A50BC"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960" w:type="dxa"/>
            <w:tcBorders>
              <w:top w:val="nil"/>
              <w:left w:val="nil"/>
              <w:bottom w:val="nil"/>
              <w:right w:val="nil"/>
            </w:tcBorders>
            <w:shd w:val="clear" w:color="auto" w:fill="auto"/>
            <w:noWrap/>
            <w:vAlign w:val="center"/>
            <w:hideMark/>
          </w:tcPr>
          <w:p w14:paraId="0097F5B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147 310 498,3</w:t>
            </w:r>
          </w:p>
        </w:tc>
        <w:tc>
          <w:tcPr>
            <w:tcW w:w="1725" w:type="dxa"/>
            <w:tcBorders>
              <w:top w:val="nil"/>
              <w:left w:val="nil"/>
              <w:bottom w:val="nil"/>
              <w:right w:val="nil"/>
            </w:tcBorders>
            <w:shd w:val="clear" w:color="auto" w:fill="auto"/>
            <w:noWrap/>
            <w:vAlign w:val="center"/>
            <w:hideMark/>
          </w:tcPr>
          <w:p w14:paraId="60B9666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147 294 625,2</w:t>
            </w:r>
          </w:p>
        </w:tc>
        <w:tc>
          <w:tcPr>
            <w:tcW w:w="1180" w:type="dxa"/>
            <w:tcBorders>
              <w:top w:val="nil"/>
              <w:left w:val="nil"/>
              <w:bottom w:val="nil"/>
              <w:right w:val="nil"/>
            </w:tcBorders>
            <w:shd w:val="clear" w:color="auto" w:fill="auto"/>
            <w:noWrap/>
            <w:vAlign w:val="center"/>
            <w:hideMark/>
          </w:tcPr>
          <w:p w14:paraId="4399AAB3"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22D896AF" w14:textId="77777777" w:rsidTr="009F6321">
        <w:trPr>
          <w:trHeight w:val="450"/>
        </w:trPr>
        <w:tc>
          <w:tcPr>
            <w:tcW w:w="4820" w:type="dxa"/>
            <w:tcBorders>
              <w:top w:val="nil"/>
              <w:left w:val="nil"/>
              <w:bottom w:val="nil"/>
              <w:right w:val="nil"/>
            </w:tcBorders>
            <w:shd w:val="clear" w:color="auto" w:fill="auto"/>
            <w:vAlign w:val="center"/>
            <w:hideMark/>
          </w:tcPr>
          <w:p w14:paraId="36F1FBB6"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Промышленность, архитектурная, градостроительная и строительная деятельность</w:t>
            </w:r>
          </w:p>
        </w:tc>
        <w:tc>
          <w:tcPr>
            <w:tcW w:w="1960" w:type="dxa"/>
            <w:tcBorders>
              <w:top w:val="nil"/>
              <w:left w:val="nil"/>
              <w:bottom w:val="nil"/>
              <w:right w:val="nil"/>
            </w:tcBorders>
            <w:shd w:val="clear" w:color="auto" w:fill="auto"/>
            <w:noWrap/>
            <w:vAlign w:val="center"/>
            <w:hideMark/>
          </w:tcPr>
          <w:p w14:paraId="7C524643"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10 000 000,0</w:t>
            </w:r>
          </w:p>
        </w:tc>
        <w:tc>
          <w:tcPr>
            <w:tcW w:w="1725" w:type="dxa"/>
            <w:tcBorders>
              <w:top w:val="nil"/>
              <w:left w:val="nil"/>
              <w:bottom w:val="nil"/>
              <w:right w:val="nil"/>
            </w:tcBorders>
            <w:shd w:val="clear" w:color="auto" w:fill="auto"/>
            <w:noWrap/>
            <w:vAlign w:val="center"/>
            <w:hideMark/>
          </w:tcPr>
          <w:p w14:paraId="7B5E6DA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10 000 000,0</w:t>
            </w:r>
          </w:p>
        </w:tc>
        <w:tc>
          <w:tcPr>
            <w:tcW w:w="1180" w:type="dxa"/>
            <w:tcBorders>
              <w:top w:val="nil"/>
              <w:left w:val="nil"/>
              <w:bottom w:val="nil"/>
              <w:right w:val="nil"/>
            </w:tcBorders>
            <w:shd w:val="clear" w:color="auto" w:fill="auto"/>
            <w:noWrap/>
            <w:vAlign w:val="center"/>
            <w:hideMark/>
          </w:tcPr>
          <w:p w14:paraId="70A27111"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69B57E69" w14:textId="77777777" w:rsidTr="009F6321">
        <w:trPr>
          <w:trHeight w:val="225"/>
        </w:trPr>
        <w:tc>
          <w:tcPr>
            <w:tcW w:w="4820" w:type="dxa"/>
            <w:tcBorders>
              <w:top w:val="nil"/>
              <w:left w:val="nil"/>
              <w:bottom w:val="nil"/>
              <w:right w:val="nil"/>
            </w:tcBorders>
            <w:shd w:val="clear" w:color="auto" w:fill="auto"/>
            <w:vAlign w:val="center"/>
            <w:hideMark/>
          </w:tcPr>
          <w:p w14:paraId="6A1974A3"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Транспорт и коммуникации</w:t>
            </w:r>
          </w:p>
        </w:tc>
        <w:tc>
          <w:tcPr>
            <w:tcW w:w="1960" w:type="dxa"/>
            <w:tcBorders>
              <w:top w:val="nil"/>
              <w:left w:val="nil"/>
              <w:bottom w:val="nil"/>
              <w:right w:val="nil"/>
            </w:tcBorders>
            <w:shd w:val="clear" w:color="auto" w:fill="auto"/>
            <w:noWrap/>
            <w:vAlign w:val="center"/>
            <w:hideMark/>
          </w:tcPr>
          <w:p w14:paraId="6D9C92D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30 000 000,0</w:t>
            </w:r>
          </w:p>
        </w:tc>
        <w:tc>
          <w:tcPr>
            <w:tcW w:w="1725" w:type="dxa"/>
            <w:tcBorders>
              <w:top w:val="nil"/>
              <w:left w:val="nil"/>
              <w:bottom w:val="nil"/>
              <w:right w:val="nil"/>
            </w:tcBorders>
            <w:shd w:val="clear" w:color="auto" w:fill="auto"/>
            <w:noWrap/>
            <w:vAlign w:val="center"/>
            <w:hideMark/>
          </w:tcPr>
          <w:p w14:paraId="2ABA251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30 000 000,0</w:t>
            </w:r>
          </w:p>
        </w:tc>
        <w:tc>
          <w:tcPr>
            <w:tcW w:w="1180" w:type="dxa"/>
            <w:tcBorders>
              <w:top w:val="nil"/>
              <w:left w:val="nil"/>
              <w:bottom w:val="nil"/>
              <w:right w:val="nil"/>
            </w:tcBorders>
            <w:shd w:val="clear" w:color="auto" w:fill="auto"/>
            <w:noWrap/>
            <w:vAlign w:val="center"/>
            <w:hideMark/>
          </w:tcPr>
          <w:p w14:paraId="422D94E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21EE22D0" w14:textId="77777777" w:rsidTr="009F6321">
        <w:trPr>
          <w:trHeight w:val="225"/>
        </w:trPr>
        <w:tc>
          <w:tcPr>
            <w:tcW w:w="4820" w:type="dxa"/>
            <w:tcBorders>
              <w:top w:val="nil"/>
              <w:left w:val="nil"/>
              <w:bottom w:val="nil"/>
              <w:right w:val="nil"/>
            </w:tcBorders>
            <w:shd w:val="clear" w:color="auto" w:fill="auto"/>
            <w:vAlign w:val="center"/>
            <w:hideMark/>
          </w:tcPr>
          <w:p w14:paraId="72BF79F4"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Прочие</w:t>
            </w:r>
          </w:p>
        </w:tc>
        <w:tc>
          <w:tcPr>
            <w:tcW w:w="1960" w:type="dxa"/>
            <w:tcBorders>
              <w:top w:val="nil"/>
              <w:left w:val="nil"/>
              <w:bottom w:val="nil"/>
              <w:right w:val="nil"/>
            </w:tcBorders>
            <w:shd w:val="clear" w:color="auto" w:fill="auto"/>
            <w:noWrap/>
            <w:vAlign w:val="center"/>
            <w:hideMark/>
          </w:tcPr>
          <w:p w14:paraId="36B6707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138 398 364,0</w:t>
            </w:r>
          </w:p>
        </w:tc>
        <w:tc>
          <w:tcPr>
            <w:tcW w:w="1725" w:type="dxa"/>
            <w:tcBorders>
              <w:top w:val="nil"/>
              <w:left w:val="nil"/>
              <w:bottom w:val="nil"/>
              <w:right w:val="nil"/>
            </w:tcBorders>
            <w:shd w:val="clear" w:color="auto" w:fill="auto"/>
            <w:noWrap/>
            <w:vAlign w:val="center"/>
            <w:hideMark/>
          </w:tcPr>
          <w:p w14:paraId="1006462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138 395 763,0</w:t>
            </w:r>
          </w:p>
        </w:tc>
        <w:tc>
          <w:tcPr>
            <w:tcW w:w="1180" w:type="dxa"/>
            <w:tcBorders>
              <w:top w:val="nil"/>
              <w:left w:val="nil"/>
              <w:bottom w:val="nil"/>
              <w:right w:val="nil"/>
            </w:tcBorders>
            <w:shd w:val="clear" w:color="auto" w:fill="auto"/>
            <w:noWrap/>
            <w:vAlign w:val="center"/>
            <w:hideMark/>
          </w:tcPr>
          <w:p w14:paraId="5BBDF85E"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7E8EB6BB" w14:textId="77777777" w:rsidTr="009F6321">
        <w:trPr>
          <w:trHeight w:val="210"/>
        </w:trPr>
        <w:tc>
          <w:tcPr>
            <w:tcW w:w="4820" w:type="dxa"/>
            <w:tcBorders>
              <w:top w:val="nil"/>
              <w:left w:val="nil"/>
              <w:bottom w:val="nil"/>
              <w:right w:val="nil"/>
            </w:tcBorders>
            <w:shd w:val="clear" w:color="auto" w:fill="auto"/>
            <w:vAlign w:val="center"/>
            <w:hideMark/>
          </w:tcPr>
          <w:p w14:paraId="47BA5848"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ПОГАШЕНИЕ БЮДЖЕТНЫХ КРЕДИТОВ</w:t>
            </w:r>
          </w:p>
        </w:tc>
        <w:tc>
          <w:tcPr>
            <w:tcW w:w="1960" w:type="dxa"/>
            <w:tcBorders>
              <w:top w:val="nil"/>
              <w:left w:val="nil"/>
              <w:bottom w:val="nil"/>
              <w:right w:val="nil"/>
            </w:tcBorders>
            <w:shd w:val="clear" w:color="auto" w:fill="auto"/>
            <w:noWrap/>
            <w:vAlign w:val="center"/>
            <w:hideMark/>
          </w:tcPr>
          <w:p w14:paraId="52D9B060"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125 841 751,6</w:t>
            </w:r>
          </w:p>
        </w:tc>
        <w:tc>
          <w:tcPr>
            <w:tcW w:w="1725" w:type="dxa"/>
            <w:tcBorders>
              <w:top w:val="nil"/>
              <w:left w:val="nil"/>
              <w:bottom w:val="nil"/>
              <w:right w:val="nil"/>
            </w:tcBorders>
            <w:shd w:val="clear" w:color="auto" w:fill="auto"/>
            <w:noWrap/>
            <w:vAlign w:val="center"/>
            <w:hideMark/>
          </w:tcPr>
          <w:p w14:paraId="04503423"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130 067 311,9</w:t>
            </w:r>
          </w:p>
        </w:tc>
        <w:tc>
          <w:tcPr>
            <w:tcW w:w="1180" w:type="dxa"/>
            <w:tcBorders>
              <w:top w:val="nil"/>
              <w:left w:val="nil"/>
              <w:bottom w:val="nil"/>
              <w:right w:val="nil"/>
            </w:tcBorders>
            <w:shd w:val="clear" w:color="auto" w:fill="auto"/>
            <w:noWrap/>
            <w:vAlign w:val="center"/>
            <w:hideMark/>
          </w:tcPr>
          <w:p w14:paraId="13ECCD5A"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103,4</w:t>
            </w:r>
          </w:p>
        </w:tc>
      </w:tr>
      <w:tr w:rsidR="009F7FF6" w:rsidRPr="005C53F5" w14:paraId="272C8102" w14:textId="77777777" w:rsidTr="009F6321">
        <w:trPr>
          <w:trHeight w:val="225"/>
        </w:trPr>
        <w:tc>
          <w:tcPr>
            <w:tcW w:w="4820" w:type="dxa"/>
            <w:tcBorders>
              <w:top w:val="nil"/>
              <w:left w:val="nil"/>
              <w:bottom w:val="nil"/>
              <w:right w:val="nil"/>
            </w:tcBorders>
            <w:shd w:val="clear" w:color="auto" w:fill="auto"/>
            <w:vAlign w:val="center"/>
            <w:hideMark/>
          </w:tcPr>
          <w:p w14:paraId="44051740"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Погашение бюджетных кредитов</w:t>
            </w:r>
          </w:p>
        </w:tc>
        <w:tc>
          <w:tcPr>
            <w:tcW w:w="1960" w:type="dxa"/>
            <w:tcBorders>
              <w:top w:val="nil"/>
              <w:left w:val="nil"/>
              <w:bottom w:val="nil"/>
              <w:right w:val="nil"/>
            </w:tcBorders>
            <w:shd w:val="clear" w:color="auto" w:fill="auto"/>
            <w:noWrap/>
            <w:vAlign w:val="center"/>
            <w:hideMark/>
          </w:tcPr>
          <w:p w14:paraId="1259BAB5"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125 841 751,6</w:t>
            </w:r>
          </w:p>
        </w:tc>
        <w:tc>
          <w:tcPr>
            <w:tcW w:w="1725" w:type="dxa"/>
            <w:tcBorders>
              <w:top w:val="nil"/>
              <w:left w:val="nil"/>
              <w:bottom w:val="nil"/>
              <w:right w:val="nil"/>
            </w:tcBorders>
            <w:shd w:val="clear" w:color="auto" w:fill="auto"/>
            <w:noWrap/>
            <w:vAlign w:val="center"/>
            <w:hideMark/>
          </w:tcPr>
          <w:p w14:paraId="175C7E09"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130 067 311,9</w:t>
            </w:r>
          </w:p>
        </w:tc>
        <w:tc>
          <w:tcPr>
            <w:tcW w:w="1180" w:type="dxa"/>
            <w:tcBorders>
              <w:top w:val="nil"/>
              <w:left w:val="nil"/>
              <w:bottom w:val="nil"/>
              <w:right w:val="nil"/>
            </w:tcBorders>
            <w:shd w:val="clear" w:color="auto" w:fill="auto"/>
            <w:noWrap/>
            <w:vAlign w:val="center"/>
            <w:hideMark/>
          </w:tcPr>
          <w:p w14:paraId="525BCF4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103,4</w:t>
            </w:r>
          </w:p>
        </w:tc>
      </w:tr>
      <w:tr w:rsidR="009F7FF6" w:rsidRPr="005C53F5" w14:paraId="42131993" w14:textId="77777777" w:rsidTr="009F6321">
        <w:trPr>
          <w:trHeight w:val="225"/>
        </w:trPr>
        <w:tc>
          <w:tcPr>
            <w:tcW w:w="4820" w:type="dxa"/>
            <w:tcBorders>
              <w:top w:val="nil"/>
              <w:left w:val="nil"/>
              <w:bottom w:val="nil"/>
              <w:right w:val="nil"/>
            </w:tcBorders>
            <w:shd w:val="clear" w:color="auto" w:fill="auto"/>
            <w:vAlign w:val="center"/>
            <w:hideMark/>
          </w:tcPr>
          <w:p w14:paraId="715E00DE"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VI.  САЛЬДО ПО ОПЕРАЦИЯМ С ФИНАНСОВЫМИ АКТИВАМИ</w:t>
            </w:r>
          </w:p>
        </w:tc>
        <w:tc>
          <w:tcPr>
            <w:tcW w:w="1960" w:type="dxa"/>
            <w:tcBorders>
              <w:top w:val="nil"/>
              <w:left w:val="nil"/>
              <w:bottom w:val="nil"/>
              <w:right w:val="nil"/>
            </w:tcBorders>
            <w:shd w:val="clear" w:color="auto" w:fill="auto"/>
            <w:noWrap/>
            <w:vAlign w:val="center"/>
            <w:hideMark/>
          </w:tcPr>
          <w:p w14:paraId="3E542801"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232 876 799,7</w:t>
            </w:r>
          </w:p>
        </w:tc>
        <w:tc>
          <w:tcPr>
            <w:tcW w:w="1725" w:type="dxa"/>
            <w:tcBorders>
              <w:top w:val="nil"/>
              <w:left w:val="nil"/>
              <w:bottom w:val="nil"/>
              <w:right w:val="nil"/>
            </w:tcBorders>
            <w:shd w:val="clear" w:color="auto" w:fill="auto"/>
            <w:noWrap/>
            <w:vAlign w:val="center"/>
            <w:hideMark/>
          </w:tcPr>
          <w:p w14:paraId="3D8F82CF"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227 447 498,7</w:t>
            </w:r>
          </w:p>
        </w:tc>
        <w:tc>
          <w:tcPr>
            <w:tcW w:w="1180" w:type="dxa"/>
            <w:tcBorders>
              <w:top w:val="nil"/>
              <w:left w:val="nil"/>
              <w:bottom w:val="nil"/>
              <w:right w:val="nil"/>
            </w:tcBorders>
            <w:shd w:val="clear" w:color="auto" w:fill="auto"/>
            <w:noWrap/>
            <w:vAlign w:val="center"/>
            <w:hideMark/>
          </w:tcPr>
          <w:p w14:paraId="459A0DE0"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p>
        </w:tc>
      </w:tr>
      <w:tr w:rsidR="009F7FF6" w:rsidRPr="005C53F5" w14:paraId="719C2D19" w14:textId="77777777" w:rsidTr="009F6321">
        <w:trPr>
          <w:trHeight w:val="210"/>
        </w:trPr>
        <w:tc>
          <w:tcPr>
            <w:tcW w:w="4820" w:type="dxa"/>
            <w:tcBorders>
              <w:top w:val="nil"/>
              <w:left w:val="nil"/>
              <w:bottom w:val="nil"/>
              <w:right w:val="nil"/>
            </w:tcBorders>
            <w:shd w:val="clear" w:color="auto" w:fill="auto"/>
            <w:vAlign w:val="center"/>
            <w:hideMark/>
          </w:tcPr>
          <w:p w14:paraId="71C8F604"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ПРИОБРЕТЕНИЕ ФИНАНСОВЫХ АКТИВОВ</w:t>
            </w:r>
          </w:p>
        </w:tc>
        <w:tc>
          <w:tcPr>
            <w:tcW w:w="1960" w:type="dxa"/>
            <w:tcBorders>
              <w:top w:val="nil"/>
              <w:left w:val="nil"/>
              <w:bottom w:val="nil"/>
              <w:right w:val="nil"/>
            </w:tcBorders>
            <w:shd w:val="clear" w:color="auto" w:fill="auto"/>
            <w:noWrap/>
            <w:vAlign w:val="center"/>
            <w:hideMark/>
          </w:tcPr>
          <w:p w14:paraId="4592DA95"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252 295 963,7</w:t>
            </w:r>
          </w:p>
        </w:tc>
        <w:tc>
          <w:tcPr>
            <w:tcW w:w="1725" w:type="dxa"/>
            <w:tcBorders>
              <w:top w:val="nil"/>
              <w:left w:val="nil"/>
              <w:bottom w:val="nil"/>
              <w:right w:val="nil"/>
            </w:tcBorders>
            <w:shd w:val="clear" w:color="auto" w:fill="auto"/>
            <w:noWrap/>
            <w:vAlign w:val="center"/>
            <w:hideMark/>
          </w:tcPr>
          <w:p w14:paraId="2DD86BF5"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252 016 354,4</w:t>
            </w:r>
          </w:p>
        </w:tc>
        <w:tc>
          <w:tcPr>
            <w:tcW w:w="1180" w:type="dxa"/>
            <w:tcBorders>
              <w:top w:val="nil"/>
              <w:left w:val="nil"/>
              <w:bottom w:val="nil"/>
              <w:right w:val="nil"/>
            </w:tcBorders>
            <w:shd w:val="clear" w:color="auto" w:fill="auto"/>
            <w:noWrap/>
            <w:vAlign w:val="center"/>
            <w:hideMark/>
          </w:tcPr>
          <w:p w14:paraId="62B26A12"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99,9</w:t>
            </w:r>
          </w:p>
        </w:tc>
      </w:tr>
      <w:tr w:rsidR="009F7FF6" w:rsidRPr="005C53F5" w14:paraId="001F6831" w14:textId="77777777" w:rsidTr="009F6321">
        <w:trPr>
          <w:trHeight w:val="225"/>
        </w:trPr>
        <w:tc>
          <w:tcPr>
            <w:tcW w:w="4820" w:type="dxa"/>
            <w:tcBorders>
              <w:top w:val="nil"/>
              <w:left w:val="nil"/>
              <w:bottom w:val="nil"/>
              <w:right w:val="nil"/>
            </w:tcBorders>
            <w:shd w:val="clear" w:color="auto" w:fill="auto"/>
            <w:vAlign w:val="center"/>
            <w:hideMark/>
          </w:tcPr>
          <w:p w14:paraId="0F7AFBE4"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Государственные услуги общего характера</w:t>
            </w:r>
          </w:p>
        </w:tc>
        <w:tc>
          <w:tcPr>
            <w:tcW w:w="1960" w:type="dxa"/>
            <w:tcBorders>
              <w:top w:val="nil"/>
              <w:left w:val="nil"/>
              <w:bottom w:val="nil"/>
              <w:right w:val="nil"/>
            </w:tcBorders>
            <w:shd w:val="clear" w:color="auto" w:fill="auto"/>
            <w:noWrap/>
            <w:vAlign w:val="center"/>
            <w:hideMark/>
          </w:tcPr>
          <w:p w14:paraId="7C1E0B34"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11 310 746,0</w:t>
            </w:r>
          </w:p>
        </w:tc>
        <w:tc>
          <w:tcPr>
            <w:tcW w:w="1725" w:type="dxa"/>
            <w:tcBorders>
              <w:top w:val="nil"/>
              <w:left w:val="nil"/>
              <w:bottom w:val="nil"/>
              <w:right w:val="nil"/>
            </w:tcBorders>
            <w:shd w:val="clear" w:color="auto" w:fill="auto"/>
            <w:noWrap/>
            <w:vAlign w:val="center"/>
            <w:hideMark/>
          </w:tcPr>
          <w:p w14:paraId="27A0BEA1"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11 310 745,7</w:t>
            </w:r>
          </w:p>
        </w:tc>
        <w:tc>
          <w:tcPr>
            <w:tcW w:w="1180" w:type="dxa"/>
            <w:tcBorders>
              <w:top w:val="nil"/>
              <w:left w:val="nil"/>
              <w:bottom w:val="nil"/>
              <w:right w:val="nil"/>
            </w:tcBorders>
            <w:shd w:val="clear" w:color="auto" w:fill="auto"/>
            <w:noWrap/>
            <w:vAlign w:val="center"/>
            <w:hideMark/>
          </w:tcPr>
          <w:p w14:paraId="5CBE0053"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6B18BB74" w14:textId="77777777" w:rsidTr="009F6321">
        <w:trPr>
          <w:trHeight w:val="225"/>
        </w:trPr>
        <w:tc>
          <w:tcPr>
            <w:tcW w:w="4820" w:type="dxa"/>
            <w:tcBorders>
              <w:top w:val="nil"/>
              <w:left w:val="nil"/>
              <w:bottom w:val="nil"/>
              <w:right w:val="nil"/>
            </w:tcBorders>
            <w:shd w:val="clear" w:color="auto" w:fill="auto"/>
            <w:vAlign w:val="center"/>
            <w:hideMark/>
          </w:tcPr>
          <w:p w14:paraId="4FECD2D4"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Жилищно-коммунальное хозяйство</w:t>
            </w:r>
          </w:p>
        </w:tc>
        <w:tc>
          <w:tcPr>
            <w:tcW w:w="1960" w:type="dxa"/>
            <w:tcBorders>
              <w:top w:val="nil"/>
              <w:left w:val="nil"/>
              <w:bottom w:val="nil"/>
              <w:right w:val="nil"/>
            </w:tcBorders>
            <w:shd w:val="clear" w:color="auto" w:fill="auto"/>
            <w:noWrap/>
            <w:vAlign w:val="center"/>
            <w:hideMark/>
          </w:tcPr>
          <w:p w14:paraId="4B60DD3E"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309 000,0</w:t>
            </w:r>
          </w:p>
        </w:tc>
        <w:tc>
          <w:tcPr>
            <w:tcW w:w="1725" w:type="dxa"/>
            <w:tcBorders>
              <w:top w:val="nil"/>
              <w:left w:val="nil"/>
              <w:bottom w:val="nil"/>
              <w:right w:val="nil"/>
            </w:tcBorders>
            <w:shd w:val="clear" w:color="auto" w:fill="auto"/>
            <w:noWrap/>
            <w:vAlign w:val="center"/>
            <w:hideMark/>
          </w:tcPr>
          <w:p w14:paraId="5E146DA9"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309 000,0</w:t>
            </w:r>
          </w:p>
        </w:tc>
        <w:tc>
          <w:tcPr>
            <w:tcW w:w="1180" w:type="dxa"/>
            <w:tcBorders>
              <w:top w:val="nil"/>
              <w:left w:val="nil"/>
              <w:bottom w:val="nil"/>
              <w:right w:val="nil"/>
            </w:tcBorders>
            <w:shd w:val="clear" w:color="auto" w:fill="auto"/>
            <w:noWrap/>
            <w:vAlign w:val="center"/>
            <w:hideMark/>
          </w:tcPr>
          <w:p w14:paraId="50BFD9F0"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1F1B8CBB" w14:textId="77777777" w:rsidTr="009F6321">
        <w:trPr>
          <w:trHeight w:val="675"/>
        </w:trPr>
        <w:tc>
          <w:tcPr>
            <w:tcW w:w="4820" w:type="dxa"/>
            <w:tcBorders>
              <w:top w:val="nil"/>
              <w:left w:val="nil"/>
              <w:bottom w:val="nil"/>
              <w:right w:val="nil"/>
            </w:tcBorders>
            <w:shd w:val="clear" w:color="auto" w:fill="auto"/>
            <w:vAlign w:val="center"/>
            <w:hideMark/>
          </w:tcPr>
          <w:p w14:paraId="2EDC473B"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960" w:type="dxa"/>
            <w:tcBorders>
              <w:top w:val="nil"/>
              <w:left w:val="nil"/>
              <w:bottom w:val="nil"/>
              <w:right w:val="nil"/>
            </w:tcBorders>
            <w:shd w:val="clear" w:color="auto" w:fill="auto"/>
            <w:noWrap/>
            <w:vAlign w:val="center"/>
            <w:hideMark/>
          </w:tcPr>
          <w:p w14:paraId="53A56019"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60 359 717,0</w:t>
            </w:r>
          </w:p>
        </w:tc>
        <w:tc>
          <w:tcPr>
            <w:tcW w:w="1725" w:type="dxa"/>
            <w:tcBorders>
              <w:top w:val="nil"/>
              <w:left w:val="nil"/>
              <w:bottom w:val="nil"/>
              <w:right w:val="nil"/>
            </w:tcBorders>
            <w:shd w:val="clear" w:color="auto" w:fill="auto"/>
            <w:noWrap/>
            <w:vAlign w:val="center"/>
            <w:hideMark/>
          </w:tcPr>
          <w:p w14:paraId="0A648BB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60 359 714,9</w:t>
            </w:r>
          </w:p>
        </w:tc>
        <w:tc>
          <w:tcPr>
            <w:tcW w:w="1180" w:type="dxa"/>
            <w:tcBorders>
              <w:top w:val="nil"/>
              <w:left w:val="nil"/>
              <w:bottom w:val="nil"/>
              <w:right w:val="nil"/>
            </w:tcBorders>
            <w:shd w:val="clear" w:color="auto" w:fill="auto"/>
            <w:noWrap/>
            <w:vAlign w:val="center"/>
            <w:hideMark/>
          </w:tcPr>
          <w:p w14:paraId="4E5146F2"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6C6A4C3E" w14:textId="77777777" w:rsidTr="009F6321">
        <w:trPr>
          <w:trHeight w:val="450"/>
        </w:trPr>
        <w:tc>
          <w:tcPr>
            <w:tcW w:w="4820" w:type="dxa"/>
            <w:tcBorders>
              <w:top w:val="nil"/>
              <w:left w:val="nil"/>
              <w:bottom w:val="nil"/>
              <w:right w:val="nil"/>
            </w:tcBorders>
            <w:shd w:val="clear" w:color="auto" w:fill="auto"/>
            <w:vAlign w:val="center"/>
            <w:hideMark/>
          </w:tcPr>
          <w:p w14:paraId="7EF29B1A"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Промышленность, архитектурная, градостроительная и строительная деятельность</w:t>
            </w:r>
          </w:p>
        </w:tc>
        <w:tc>
          <w:tcPr>
            <w:tcW w:w="1960" w:type="dxa"/>
            <w:tcBorders>
              <w:top w:val="nil"/>
              <w:left w:val="nil"/>
              <w:bottom w:val="nil"/>
              <w:right w:val="nil"/>
            </w:tcBorders>
            <w:shd w:val="clear" w:color="auto" w:fill="auto"/>
            <w:noWrap/>
            <w:vAlign w:val="center"/>
            <w:hideMark/>
          </w:tcPr>
          <w:p w14:paraId="3C3524F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73 000 000,0</w:t>
            </w:r>
          </w:p>
        </w:tc>
        <w:tc>
          <w:tcPr>
            <w:tcW w:w="1725" w:type="dxa"/>
            <w:tcBorders>
              <w:top w:val="nil"/>
              <w:left w:val="nil"/>
              <w:bottom w:val="nil"/>
              <w:right w:val="nil"/>
            </w:tcBorders>
            <w:shd w:val="clear" w:color="auto" w:fill="auto"/>
            <w:noWrap/>
            <w:vAlign w:val="center"/>
            <w:hideMark/>
          </w:tcPr>
          <w:p w14:paraId="5DD8D12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73 000 000,0</w:t>
            </w:r>
          </w:p>
        </w:tc>
        <w:tc>
          <w:tcPr>
            <w:tcW w:w="1180" w:type="dxa"/>
            <w:tcBorders>
              <w:top w:val="nil"/>
              <w:left w:val="nil"/>
              <w:bottom w:val="nil"/>
              <w:right w:val="nil"/>
            </w:tcBorders>
            <w:shd w:val="clear" w:color="auto" w:fill="auto"/>
            <w:noWrap/>
            <w:vAlign w:val="center"/>
            <w:hideMark/>
          </w:tcPr>
          <w:p w14:paraId="61DCBDC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49EAAEFF" w14:textId="77777777" w:rsidTr="009F6321">
        <w:trPr>
          <w:trHeight w:val="225"/>
        </w:trPr>
        <w:tc>
          <w:tcPr>
            <w:tcW w:w="4820" w:type="dxa"/>
            <w:tcBorders>
              <w:top w:val="nil"/>
              <w:left w:val="nil"/>
              <w:bottom w:val="nil"/>
              <w:right w:val="nil"/>
            </w:tcBorders>
            <w:shd w:val="clear" w:color="auto" w:fill="auto"/>
            <w:vAlign w:val="center"/>
            <w:hideMark/>
          </w:tcPr>
          <w:p w14:paraId="44FBE082"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Транспорт и коммуникации</w:t>
            </w:r>
          </w:p>
        </w:tc>
        <w:tc>
          <w:tcPr>
            <w:tcW w:w="1960" w:type="dxa"/>
            <w:tcBorders>
              <w:top w:val="nil"/>
              <w:left w:val="nil"/>
              <w:bottom w:val="nil"/>
              <w:right w:val="nil"/>
            </w:tcBorders>
            <w:shd w:val="clear" w:color="auto" w:fill="auto"/>
            <w:noWrap/>
            <w:vAlign w:val="center"/>
            <w:hideMark/>
          </w:tcPr>
          <w:p w14:paraId="0DE0A9F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26 206 041,0</w:t>
            </w:r>
          </w:p>
        </w:tc>
        <w:tc>
          <w:tcPr>
            <w:tcW w:w="1725" w:type="dxa"/>
            <w:tcBorders>
              <w:top w:val="nil"/>
              <w:left w:val="nil"/>
              <w:bottom w:val="nil"/>
              <w:right w:val="nil"/>
            </w:tcBorders>
            <w:shd w:val="clear" w:color="auto" w:fill="auto"/>
            <w:noWrap/>
            <w:vAlign w:val="center"/>
            <w:hideMark/>
          </w:tcPr>
          <w:p w14:paraId="7EE5B1F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26 206 041,0</w:t>
            </w:r>
          </w:p>
        </w:tc>
        <w:tc>
          <w:tcPr>
            <w:tcW w:w="1180" w:type="dxa"/>
            <w:tcBorders>
              <w:top w:val="nil"/>
              <w:left w:val="nil"/>
              <w:bottom w:val="nil"/>
              <w:right w:val="nil"/>
            </w:tcBorders>
            <w:shd w:val="clear" w:color="auto" w:fill="auto"/>
            <w:noWrap/>
            <w:vAlign w:val="center"/>
            <w:hideMark/>
          </w:tcPr>
          <w:p w14:paraId="4CEA0C6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5C53F5" w14:paraId="75BD64F1" w14:textId="77777777" w:rsidTr="009F6321">
        <w:trPr>
          <w:trHeight w:val="225"/>
        </w:trPr>
        <w:tc>
          <w:tcPr>
            <w:tcW w:w="4820" w:type="dxa"/>
            <w:tcBorders>
              <w:top w:val="nil"/>
              <w:left w:val="nil"/>
              <w:bottom w:val="nil"/>
              <w:right w:val="nil"/>
            </w:tcBorders>
            <w:shd w:val="clear" w:color="auto" w:fill="auto"/>
            <w:vAlign w:val="center"/>
            <w:hideMark/>
          </w:tcPr>
          <w:p w14:paraId="4B4855D6"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Прочие</w:t>
            </w:r>
          </w:p>
        </w:tc>
        <w:tc>
          <w:tcPr>
            <w:tcW w:w="1960" w:type="dxa"/>
            <w:tcBorders>
              <w:top w:val="nil"/>
              <w:left w:val="nil"/>
              <w:bottom w:val="nil"/>
              <w:right w:val="nil"/>
            </w:tcBorders>
            <w:shd w:val="clear" w:color="auto" w:fill="auto"/>
            <w:noWrap/>
            <w:vAlign w:val="center"/>
            <w:hideMark/>
          </w:tcPr>
          <w:p w14:paraId="3111CD7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81 110 459,7</w:t>
            </w:r>
          </w:p>
        </w:tc>
        <w:tc>
          <w:tcPr>
            <w:tcW w:w="1725" w:type="dxa"/>
            <w:tcBorders>
              <w:top w:val="nil"/>
              <w:left w:val="nil"/>
              <w:bottom w:val="nil"/>
              <w:right w:val="nil"/>
            </w:tcBorders>
            <w:shd w:val="clear" w:color="auto" w:fill="auto"/>
            <w:noWrap/>
            <w:vAlign w:val="center"/>
            <w:hideMark/>
          </w:tcPr>
          <w:p w14:paraId="1304C040"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80 830 852,9</w:t>
            </w:r>
          </w:p>
        </w:tc>
        <w:tc>
          <w:tcPr>
            <w:tcW w:w="1180" w:type="dxa"/>
            <w:tcBorders>
              <w:top w:val="nil"/>
              <w:left w:val="nil"/>
              <w:bottom w:val="nil"/>
              <w:right w:val="nil"/>
            </w:tcBorders>
            <w:shd w:val="clear" w:color="auto" w:fill="auto"/>
            <w:noWrap/>
            <w:vAlign w:val="center"/>
            <w:hideMark/>
          </w:tcPr>
          <w:p w14:paraId="3850258D"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99,7</w:t>
            </w:r>
          </w:p>
        </w:tc>
      </w:tr>
      <w:tr w:rsidR="009F7FF6" w:rsidRPr="005C53F5" w14:paraId="0F94A5CD" w14:textId="77777777" w:rsidTr="009F6321">
        <w:trPr>
          <w:trHeight w:val="420"/>
        </w:trPr>
        <w:tc>
          <w:tcPr>
            <w:tcW w:w="4820" w:type="dxa"/>
            <w:tcBorders>
              <w:top w:val="nil"/>
              <w:left w:val="nil"/>
              <w:bottom w:val="nil"/>
              <w:right w:val="nil"/>
            </w:tcBorders>
            <w:shd w:val="clear" w:color="auto" w:fill="auto"/>
            <w:vAlign w:val="center"/>
            <w:hideMark/>
          </w:tcPr>
          <w:p w14:paraId="7DD65FC4"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ПОСТУПЛЕНИЯ ОТ ПРОДАЖИ ФИНАНСОВЫХ АКТИВОВ ГОСУДАРСТВА</w:t>
            </w:r>
          </w:p>
        </w:tc>
        <w:tc>
          <w:tcPr>
            <w:tcW w:w="1960" w:type="dxa"/>
            <w:tcBorders>
              <w:top w:val="nil"/>
              <w:left w:val="nil"/>
              <w:bottom w:val="nil"/>
              <w:right w:val="nil"/>
            </w:tcBorders>
            <w:shd w:val="clear" w:color="auto" w:fill="auto"/>
            <w:noWrap/>
            <w:vAlign w:val="center"/>
            <w:hideMark/>
          </w:tcPr>
          <w:p w14:paraId="2424E9E6"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19 419 164,0</w:t>
            </w:r>
          </w:p>
        </w:tc>
        <w:tc>
          <w:tcPr>
            <w:tcW w:w="1725" w:type="dxa"/>
            <w:tcBorders>
              <w:top w:val="nil"/>
              <w:left w:val="nil"/>
              <w:bottom w:val="nil"/>
              <w:right w:val="nil"/>
            </w:tcBorders>
            <w:shd w:val="clear" w:color="auto" w:fill="auto"/>
            <w:noWrap/>
            <w:vAlign w:val="center"/>
            <w:hideMark/>
          </w:tcPr>
          <w:p w14:paraId="372DF499"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24 568 855,7</w:t>
            </w:r>
          </w:p>
        </w:tc>
        <w:tc>
          <w:tcPr>
            <w:tcW w:w="1180" w:type="dxa"/>
            <w:tcBorders>
              <w:top w:val="nil"/>
              <w:left w:val="nil"/>
              <w:bottom w:val="nil"/>
              <w:right w:val="nil"/>
            </w:tcBorders>
            <w:shd w:val="clear" w:color="auto" w:fill="auto"/>
            <w:noWrap/>
            <w:vAlign w:val="center"/>
            <w:hideMark/>
          </w:tcPr>
          <w:p w14:paraId="790D5577"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126,5</w:t>
            </w:r>
          </w:p>
        </w:tc>
      </w:tr>
      <w:tr w:rsidR="009F7FF6" w:rsidRPr="005C53F5" w14:paraId="6C6746FB" w14:textId="77777777" w:rsidTr="009F6321">
        <w:trPr>
          <w:trHeight w:val="225"/>
        </w:trPr>
        <w:tc>
          <w:tcPr>
            <w:tcW w:w="4820" w:type="dxa"/>
            <w:tcBorders>
              <w:top w:val="nil"/>
              <w:left w:val="nil"/>
              <w:bottom w:val="nil"/>
              <w:right w:val="nil"/>
            </w:tcBorders>
            <w:shd w:val="clear" w:color="auto" w:fill="auto"/>
            <w:vAlign w:val="center"/>
            <w:hideMark/>
          </w:tcPr>
          <w:p w14:paraId="54A96EC8"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от продажи финансовых активов государства</w:t>
            </w:r>
          </w:p>
        </w:tc>
        <w:tc>
          <w:tcPr>
            <w:tcW w:w="1960" w:type="dxa"/>
            <w:tcBorders>
              <w:top w:val="nil"/>
              <w:left w:val="nil"/>
              <w:bottom w:val="nil"/>
              <w:right w:val="nil"/>
            </w:tcBorders>
            <w:shd w:val="clear" w:color="auto" w:fill="auto"/>
            <w:noWrap/>
            <w:vAlign w:val="center"/>
            <w:hideMark/>
          </w:tcPr>
          <w:p w14:paraId="030BC92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19 419 164,0</w:t>
            </w:r>
          </w:p>
        </w:tc>
        <w:tc>
          <w:tcPr>
            <w:tcW w:w="1725" w:type="dxa"/>
            <w:tcBorders>
              <w:top w:val="nil"/>
              <w:left w:val="nil"/>
              <w:bottom w:val="nil"/>
              <w:right w:val="nil"/>
            </w:tcBorders>
            <w:shd w:val="clear" w:color="auto" w:fill="auto"/>
            <w:noWrap/>
            <w:vAlign w:val="center"/>
            <w:hideMark/>
          </w:tcPr>
          <w:p w14:paraId="763160A4"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24 568 855,7</w:t>
            </w:r>
          </w:p>
        </w:tc>
        <w:tc>
          <w:tcPr>
            <w:tcW w:w="1180" w:type="dxa"/>
            <w:tcBorders>
              <w:top w:val="nil"/>
              <w:left w:val="nil"/>
              <w:bottom w:val="nil"/>
              <w:right w:val="nil"/>
            </w:tcBorders>
            <w:shd w:val="clear" w:color="auto" w:fill="auto"/>
            <w:noWrap/>
            <w:vAlign w:val="center"/>
            <w:hideMark/>
          </w:tcPr>
          <w:p w14:paraId="5F55749B"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126,5</w:t>
            </w:r>
          </w:p>
        </w:tc>
      </w:tr>
      <w:tr w:rsidR="009F7FF6" w:rsidRPr="005C53F5" w14:paraId="551297A9" w14:textId="77777777" w:rsidTr="009F6321">
        <w:trPr>
          <w:trHeight w:val="210"/>
        </w:trPr>
        <w:tc>
          <w:tcPr>
            <w:tcW w:w="4820" w:type="dxa"/>
            <w:tcBorders>
              <w:top w:val="nil"/>
              <w:left w:val="nil"/>
              <w:bottom w:val="nil"/>
              <w:right w:val="nil"/>
            </w:tcBorders>
            <w:shd w:val="clear" w:color="auto" w:fill="auto"/>
            <w:vAlign w:val="center"/>
            <w:hideMark/>
          </w:tcPr>
          <w:p w14:paraId="511B01DF"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VII. ДЕФИЦИТ (ПРОФИЦИТ) БЮДЖЕТА</w:t>
            </w:r>
          </w:p>
        </w:tc>
        <w:tc>
          <w:tcPr>
            <w:tcW w:w="1960" w:type="dxa"/>
            <w:tcBorders>
              <w:top w:val="nil"/>
              <w:left w:val="nil"/>
              <w:bottom w:val="nil"/>
              <w:right w:val="nil"/>
            </w:tcBorders>
            <w:shd w:val="clear" w:color="auto" w:fill="auto"/>
            <w:noWrap/>
            <w:vAlign w:val="center"/>
            <w:hideMark/>
          </w:tcPr>
          <w:p w14:paraId="14239710"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779 012 642,4</w:t>
            </w:r>
          </w:p>
        </w:tc>
        <w:tc>
          <w:tcPr>
            <w:tcW w:w="1725" w:type="dxa"/>
            <w:tcBorders>
              <w:top w:val="nil"/>
              <w:left w:val="nil"/>
              <w:bottom w:val="nil"/>
              <w:right w:val="nil"/>
            </w:tcBorders>
            <w:shd w:val="clear" w:color="auto" w:fill="auto"/>
            <w:noWrap/>
            <w:vAlign w:val="center"/>
            <w:hideMark/>
          </w:tcPr>
          <w:p w14:paraId="34670C7E"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-306 423 534,4</w:t>
            </w:r>
          </w:p>
        </w:tc>
        <w:tc>
          <w:tcPr>
            <w:tcW w:w="1180" w:type="dxa"/>
            <w:tcBorders>
              <w:top w:val="nil"/>
              <w:left w:val="nil"/>
              <w:bottom w:val="nil"/>
              <w:right w:val="nil"/>
            </w:tcBorders>
            <w:shd w:val="clear" w:color="auto" w:fill="auto"/>
            <w:noWrap/>
            <w:vAlign w:val="center"/>
            <w:hideMark/>
          </w:tcPr>
          <w:p w14:paraId="705702C8"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p>
        </w:tc>
      </w:tr>
      <w:tr w:rsidR="009F7FF6" w:rsidRPr="005C53F5" w14:paraId="1F8C3BA4" w14:textId="77777777" w:rsidTr="009F6321">
        <w:trPr>
          <w:trHeight w:val="420"/>
        </w:trPr>
        <w:tc>
          <w:tcPr>
            <w:tcW w:w="4820" w:type="dxa"/>
            <w:tcBorders>
              <w:top w:val="nil"/>
              <w:left w:val="nil"/>
              <w:bottom w:val="nil"/>
              <w:right w:val="nil"/>
            </w:tcBorders>
            <w:shd w:val="clear" w:color="auto" w:fill="auto"/>
            <w:vAlign w:val="center"/>
            <w:hideMark/>
          </w:tcPr>
          <w:p w14:paraId="4551028A"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VIII. ФИНАНСИРОВАНИЕ ДЕФИЦИТА (ИСПОЛЬЗОВАНИЕ ПРОФИЦИТА) БЮДЖЕТА</w:t>
            </w:r>
          </w:p>
        </w:tc>
        <w:tc>
          <w:tcPr>
            <w:tcW w:w="1960" w:type="dxa"/>
            <w:tcBorders>
              <w:top w:val="nil"/>
              <w:left w:val="nil"/>
              <w:bottom w:val="nil"/>
              <w:right w:val="nil"/>
            </w:tcBorders>
            <w:shd w:val="clear" w:color="auto" w:fill="auto"/>
            <w:noWrap/>
            <w:vAlign w:val="center"/>
            <w:hideMark/>
          </w:tcPr>
          <w:p w14:paraId="4FDB414C"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-779 012 642,4</w:t>
            </w:r>
          </w:p>
        </w:tc>
        <w:tc>
          <w:tcPr>
            <w:tcW w:w="1725" w:type="dxa"/>
            <w:tcBorders>
              <w:top w:val="nil"/>
              <w:left w:val="nil"/>
              <w:bottom w:val="nil"/>
              <w:right w:val="nil"/>
            </w:tcBorders>
            <w:shd w:val="clear" w:color="auto" w:fill="auto"/>
            <w:noWrap/>
            <w:vAlign w:val="center"/>
            <w:hideMark/>
          </w:tcPr>
          <w:p w14:paraId="2964E04B"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306 423 534,4</w:t>
            </w:r>
          </w:p>
        </w:tc>
        <w:tc>
          <w:tcPr>
            <w:tcW w:w="1180" w:type="dxa"/>
            <w:tcBorders>
              <w:top w:val="nil"/>
              <w:left w:val="nil"/>
              <w:bottom w:val="nil"/>
              <w:right w:val="nil"/>
            </w:tcBorders>
            <w:shd w:val="clear" w:color="auto" w:fill="auto"/>
            <w:noWrap/>
            <w:vAlign w:val="center"/>
            <w:hideMark/>
          </w:tcPr>
          <w:p w14:paraId="1DFD755D"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p>
        </w:tc>
      </w:tr>
      <w:tr w:rsidR="009F7FF6" w:rsidRPr="005C53F5" w14:paraId="61E645EA" w14:textId="77777777" w:rsidTr="009F6321">
        <w:trPr>
          <w:trHeight w:val="210"/>
        </w:trPr>
        <w:tc>
          <w:tcPr>
            <w:tcW w:w="4820" w:type="dxa"/>
            <w:tcBorders>
              <w:top w:val="nil"/>
              <w:left w:val="nil"/>
              <w:bottom w:val="nil"/>
              <w:right w:val="nil"/>
            </w:tcBorders>
            <w:shd w:val="clear" w:color="auto" w:fill="auto"/>
            <w:vAlign w:val="center"/>
            <w:hideMark/>
          </w:tcPr>
          <w:p w14:paraId="61D8C7A9"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ПОСТУПЛЕНИЕ ЗАЙМОВ</w:t>
            </w:r>
          </w:p>
        </w:tc>
        <w:tc>
          <w:tcPr>
            <w:tcW w:w="1960" w:type="dxa"/>
            <w:tcBorders>
              <w:top w:val="nil"/>
              <w:left w:val="nil"/>
              <w:bottom w:val="nil"/>
              <w:right w:val="nil"/>
            </w:tcBorders>
            <w:shd w:val="clear" w:color="auto" w:fill="auto"/>
            <w:noWrap/>
            <w:vAlign w:val="center"/>
            <w:hideMark/>
          </w:tcPr>
          <w:p w14:paraId="54708A5E"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2 009 842 752,3</w:t>
            </w:r>
          </w:p>
        </w:tc>
        <w:tc>
          <w:tcPr>
            <w:tcW w:w="1725" w:type="dxa"/>
            <w:tcBorders>
              <w:top w:val="nil"/>
              <w:left w:val="nil"/>
              <w:bottom w:val="nil"/>
              <w:right w:val="nil"/>
            </w:tcBorders>
            <w:shd w:val="clear" w:color="auto" w:fill="auto"/>
            <w:noWrap/>
            <w:vAlign w:val="center"/>
            <w:hideMark/>
          </w:tcPr>
          <w:p w14:paraId="7C79082B"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2 012 813 684,4</w:t>
            </w:r>
          </w:p>
        </w:tc>
        <w:tc>
          <w:tcPr>
            <w:tcW w:w="1180" w:type="dxa"/>
            <w:tcBorders>
              <w:top w:val="nil"/>
              <w:left w:val="nil"/>
              <w:bottom w:val="nil"/>
              <w:right w:val="nil"/>
            </w:tcBorders>
            <w:shd w:val="clear" w:color="auto" w:fill="auto"/>
            <w:noWrap/>
            <w:vAlign w:val="center"/>
            <w:hideMark/>
          </w:tcPr>
          <w:p w14:paraId="4A3B5986"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100,1</w:t>
            </w:r>
          </w:p>
        </w:tc>
      </w:tr>
      <w:tr w:rsidR="009F7FF6" w:rsidRPr="005C53F5" w14:paraId="4F4C8037" w14:textId="77777777" w:rsidTr="009F6321">
        <w:trPr>
          <w:trHeight w:val="225"/>
        </w:trPr>
        <w:tc>
          <w:tcPr>
            <w:tcW w:w="4820" w:type="dxa"/>
            <w:tcBorders>
              <w:top w:val="nil"/>
              <w:left w:val="nil"/>
              <w:bottom w:val="nil"/>
              <w:right w:val="nil"/>
            </w:tcBorders>
            <w:shd w:val="clear" w:color="auto" w:fill="auto"/>
            <w:vAlign w:val="center"/>
            <w:hideMark/>
          </w:tcPr>
          <w:p w14:paraId="5A1512D9"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Поступления займов</w:t>
            </w:r>
          </w:p>
        </w:tc>
        <w:tc>
          <w:tcPr>
            <w:tcW w:w="1960" w:type="dxa"/>
            <w:tcBorders>
              <w:top w:val="nil"/>
              <w:left w:val="nil"/>
              <w:bottom w:val="nil"/>
              <w:right w:val="nil"/>
            </w:tcBorders>
            <w:shd w:val="clear" w:color="auto" w:fill="auto"/>
            <w:noWrap/>
            <w:vAlign w:val="center"/>
            <w:hideMark/>
          </w:tcPr>
          <w:p w14:paraId="7580FDC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2 009 842 752,3</w:t>
            </w:r>
          </w:p>
        </w:tc>
        <w:tc>
          <w:tcPr>
            <w:tcW w:w="1725" w:type="dxa"/>
            <w:tcBorders>
              <w:top w:val="nil"/>
              <w:left w:val="nil"/>
              <w:bottom w:val="nil"/>
              <w:right w:val="nil"/>
            </w:tcBorders>
            <w:shd w:val="clear" w:color="auto" w:fill="auto"/>
            <w:noWrap/>
            <w:vAlign w:val="center"/>
            <w:hideMark/>
          </w:tcPr>
          <w:p w14:paraId="70957BAF"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2 012 813 684,4</w:t>
            </w:r>
          </w:p>
        </w:tc>
        <w:tc>
          <w:tcPr>
            <w:tcW w:w="1180" w:type="dxa"/>
            <w:tcBorders>
              <w:top w:val="nil"/>
              <w:left w:val="nil"/>
              <w:bottom w:val="nil"/>
              <w:right w:val="nil"/>
            </w:tcBorders>
            <w:shd w:val="clear" w:color="auto" w:fill="auto"/>
            <w:noWrap/>
            <w:vAlign w:val="center"/>
            <w:hideMark/>
          </w:tcPr>
          <w:p w14:paraId="31B6DD17"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100,1</w:t>
            </w:r>
          </w:p>
        </w:tc>
      </w:tr>
      <w:tr w:rsidR="009F7FF6" w:rsidRPr="005C53F5" w14:paraId="6EF59E90" w14:textId="77777777" w:rsidTr="009F6321">
        <w:trPr>
          <w:trHeight w:val="210"/>
        </w:trPr>
        <w:tc>
          <w:tcPr>
            <w:tcW w:w="4820" w:type="dxa"/>
            <w:tcBorders>
              <w:top w:val="nil"/>
              <w:left w:val="nil"/>
              <w:bottom w:val="nil"/>
              <w:right w:val="nil"/>
            </w:tcBorders>
            <w:shd w:val="clear" w:color="auto" w:fill="auto"/>
            <w:vAlign w:val="center"/>
            <w:hideMark/>
          </w:tcPr>
          <w:p w14:paraId="44DF950C"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ПОГАШЕНИЕ ЗАЙМОВ</w:t>
            </w:r>
          </w:p>
        </w:tc>
        <w:tc>
          <w:tcPr>
            <w:tcW w:w="1960" w:type="dxa"/>
            <w:tcBorders>
              <w:top w:val="nil"/>
              <w:left w:val="nil"/>
              <w:bottom w:val="nil"/>
              <w:right w:val="nil"/>
            </w:tcBorders>
            <w:shd w:val="clear" w:color="auto" w:fill="auto"/>
            <w:noWrap/>
            <w:vAlign w:val="center"/>
            <w:hideMark/>
          </w:tcPr>
          <w:p w14:paraId="5065C9BF"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774 917 373,0</w:t>
            </w:r>
          </w:p>
        </w:tc>
        <w:tc>
          <w:tcPr>
            <w:tcW w:w="1725" w:type="dxa"/>
            <w:tcBorders>
              <w:top w:val="nil"/>
              <w:left w:val="nil"/>
              <w:bottom w:val="nil"/>
              <w:right w:val="nil"/>
            </w:tcBorders>
            <w:shd w:val="clear" w:color="auto" w:fill="auto"/>
            <w:noWrap/>
            <w:vAlign w:val="center"/>
            <w:hideMark/>
          </w:tcPr>
          <w:p w14:paraId="6BF97CCD"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774 895 072,4</w:t>
            </w:r>
          </w:p>
        </w:tc>
        <w:tc>
          <w:tcPr>
            <w:tcW w:w="1180" w:type="dxa"/>
            <w:tcBorders>
              <w:top w:val="nil"/>
              <w:left w:val="nil"/>
              <w:bottom w:val="nil"/>
              <w:right w:val="nil"/>
            </w:tcBorders>
            <w:shd w:val="clear" w:color="auto" w:fill="auto"/>
            <w:noWrap/>
            <w:vAlign w:val="center"/>
            <w:hideMark/>
          </w:tcPr>
          <w:p w14:paraId="5D35AB33"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100,0</w:t>
            </w:r>
          </w:p>
        </w:tc>
      </w:tr>
      <w:tr w:rsidR="009F7FF6" w:rsidRPr="005C53F5" w14:paraId="57363BAD" w14:textId="77777777" w:rsidTr="009F6321">
        <w:trPr>
          <w:trHeight w:val="225"/>
        </w:trPr>
        <w:tc>
          <w:tcPr>
            <w:tcW w:w="4820" w:type="dxa"/>
            <w:tcBorders>
              <w:top w:val="nil"/>
              <w:left w:val="nil"/>
              <w:bottom w:val="nil"/>
              <w:right w:val="nil"/>
            </w:tcBorders>
            <w:shd w:val="clear" w:color="auto" w:fill="auto"/>
            <w:vAlign w:val="center"/>
            <w:hideMark/>
          </w:tcPr>
          <w:p w14:paraId="5FD0EEC0" w14:textId="77777777" w:rsidR="009F7FF6" w:rsidRPr="005C53F5" w:rsidRDefault="009F7FF6" w:rsidP="00057BE5">
            <w:pPr>
              <w:spacing w:after="0" w:line="240" w:lineRule="auto"/>
              <w:rPr>
                <w:rFonts w:ascii="Times New Roman" w:eastAsia="Times New Roman" w:hAnsi="Times New Roman" w:cs="Times New Roman"/>
                <w:i/>
                <w:iCs/>
                <w:sz w:val="16"/>
                <w:szCs w:val="16"/>
                <w:lang w:eastAsia="ru-RU"/>
              </w:rPr>
            </w:pPr>
            <w:r w:rsidRPr="005C53F5">
              <w:rPr>
                <w:rFonts w:ascii="Times New Roman" w:eastAsia="Times New Roman" w:hAnsi="Times New Roman" w:cs="Times New Roman"/>
                <w:i/>
                <w:iCs/>
                <w:sz w:val="16"/>
                <w:szCs w:val="16"/>
                <w:lang w:eastAsia="ru-RU"/>
              </w:rPr>
              <w:t>Погашение займов</w:t>
            </w:r>
          </w:p>
        </w:tc>
        <w:tc>
          <w:tcPr>
            <w:tcW w:w="1960" w:type="dxa"/>
            <w:tcBorders>
              <w:top w:val="nil"/>
              <w:left w:val="nil"/>
              <w:bottom w:val="nil"/>
              <w:right w:val="nil"/>
            </w:tcBorders>
            <w:shd w:val="clear" w:color="auto" w:fill="auto"/>
            <w:noWrap/>
            <w:vAlign w:val="center"/>
            <w:hideMark/>
          </w:tcPr>
          <w:p w14:paraId="6D642014"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774 917 373,0</w:t>
            </w:r>
          </w:p>
        </w:tc>
        <w:tc>
          <w:tcPr>
            <w:tcW w:w="1725" w:type="dxa"/>
            <w:tcBorders>
              <w:top w:val="nil"/>
              <w:left w:val="nil"/>
              <w:bottom w:val="nil"/>
              <w:right w:val="nil"/>
            </w:tcBorders>
            <w:shd w:val="clear" w:color="auto" w:fill="auto"/>
            <w:noWrap/>
            <w:vAlign w:val="center"/>
            <w:hideMark/>
          </w:tcPr>
          <w:p w14:paraId="352F816C"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774 895 072,4</w:t>
            </w:r>
          </w:p>
        </w:tc>
        <w:tc>
          <w:tcPr>
            <w:tcW w:w="1180" w:type="dxa"/>
            <w:tcBorders>
              <w:top w:val="nil"/>
              <w:left w:val="nil"/>
              <w:bottom w:val="nil"/>
              <w:right w:val="nil"/>
            </w:tcBorders>
            <w:shd w:val="clear" w:color="auto" w:fill="auto"/>
            <w:noWrap/>
            <w:vAlign w:val="center"/>
            <w:hideMark/>
          </w:tcPr>
          <w:p w14:paraId="7A84E446" w14:textId="77777777" w:rsidR="009F7FF6" w:rsidRPr="005C53F5" w:rsidRDefault="009F7FF6" w:rsidP="00057BE5">
            <w:pPr>
              <w:spacing w:after="0" w:line="240" w:lineRule="auto"/>
              <w:jc w:val="right"/>
              <w:rPr>
                <w:rFonts w:ascii="Times New Roman" w:eastAsia="Times New Roman" w:hAnsi="Times New Roman" w:cs="Times New Roman"/>
                <w:sz w:val="16"/>
                <w:szCs w:val="16"/>
                <w:lang w:eastAsia="ru-RU"/>
              </w:rPr>
            </w:pPr>
            <w:r w:rsidRPr="005C53F5">
              <w:rPr>
                <w:rFonts w:ascii="Times New Roman" w:eastAsia="Times New Roman" w:hAnsi="Times New Roman" w:cs="Times New Roman"/>
                <w:sz w:val="16"/>
                <w:szCs w:val="16"/>
                <w:lang w:eastAsia="ru-RU"/>
              </w:rPr>
              <w:t>100,0</w:t>
            </w:r>
          </w:p>
        </w:tc>
      </w:tr>
      <w:tr w:rsidR="009F7FF6" w:rsidRPr="009F7FF6" w14:paraId="4CEB9B22" w14:textId="77777777" w:rsidTr="009F6321">
        <w:trPr>
          <w:trHeight w:val="225"/>
        </w:trPr>
        <w:tc>
          <w:tcPr>
            <w:tcW w:w="4820" w:type="dxa"/>
            <w:tcBorders>
              <w:top w:val="nil"/>
              <w:left w:val="nil"/>
              <w:bottom w:val="nil"/>
              <w:right w:val="nil"/>
            </w:tcBorders>
            <w:shd w:val="clear" w:color="auto" w:fill="auto"/>
            <w:vAlign w:val="center"/>
            <w:hideMark/>
          </w:tcPr>
          <w:p w14:paraId="569C4B91" w14:textId="77777777" w:rsidR="009F7FF6" w:rsidRPr="005C53F5" w:rsidRDefault="009F7FF6" w:rsidP="00057BE5">
            <w:pPr>
              <w:spacing w:after="0" w:line="240" w:lineRule="auto"/>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ИСПОЛЬЗУЕМЫЕ ОСТАТКИ БЮДЖЕТНЫХ СРЕДСТВ</w:t>
            </w:r>
          </w:p>
        </w:tc>
        <w:tc>
          <w:tcPr>
            <w:tcW w:w="1960" w:type="dxa"/>
            <w:tcBorders>
              <w:top w:val="nil"/>
              <w:left w:val="nil"/>
              <w:bottom w:val="nil"/>
              <w:right w:val="nil"/>
            </w:tcBorders>
            <w:shd w:val="clear" w:color="auto" w:fill="auto"/>
            <w:noWrap/>
            <w:vAlign w:val="center"/>
            <w:hideMark/>
          </w:tcPr>
          <w:p w14:paraId="450BCCD9" w14:textId="77777777" w:rsidR="009F7FF6" w:rsidRPr="005C53F5"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-2 013 938 021,7</w:t>
            </w:r>
          </w:p>
        </w:tc>
        <w:tc>
          <w:tcPr>
            <w:tcW w:w="1725" w:type="dxa"/>
            <w:tcBorders>
              <w:top w:val="nil"/>
              <w:left w:val="nil"/>
              <w:bottom w:val="nil"/>
              <w:right w:val="nil"/>
            </w:tcBorders>
            <w:shd w:val="clear" w:color="auto" w:fill="auto"/>
            <w:noWrap/>
            <w:vAlign w:val="center"/>
            <w:hideMark/>
          </w:tcPr>
          <w:p w14:paraId="70BE6C22" w14:textId="77777777" w:rsidR="009F7FF6" w:rsidRPr="009F7FF6" w:rsidRDefault="009F7FF6" w:rsidP="00057BE5">
            <w:pPr>
              <w:spacing w:after="0" w:line="240" w:lineRule="auto"/>
              <w:jc w:val="right"/>
              <w:rPr>
                <w:rFonts w:ascii="Times New Roman" w:eastAsia="Times New Roman" w:hAnsi="Times New Roman" w:cs="Times New Roman"/>
                <w:b/>
                <w:bCs/>
                <w:sz w:val="16"/>
                <w:szCs w:val="16"/>
                <w:lang w:eastAsia="ru-RU"/>
              </w:rPr>
            </w:pPr>
            <w:r w:rsidRPr="005C53F5">
              <w:rPr>
                <w:rFonts w:ascii="Times New Roman" w:eastAsia="Times New Roman" w:hAnsi="Times New Roman" w:cs="Times New Roman"/>
                <w:b/>
                <w:bCs/>
                <w:sz w:val="16"/>
                <w:szCs w:val="16"/>
                <w:lang w:eastAsia="ru-RU"/>
              </w:rPr>
              <w:t>-931 495 077,6</w:t>
            </w:r>
          </w:p>
        </w:tc>
        <w:tc>
          <w:tcPr>
            <w:tcW w:w="1180" w:type="dxa"/>
            <w:tcBorders>
              <w:top w:val="nil"/>
              <w:left w:val="nil"/>
              <w:bottom w:val="nil"/>
              <w:right w:val="nil"/>
            </w:tcBorders>
            <w:shd w:val="clear" w:color="auto" w:fill="auto"/>
            <w:noWrap/>
            <w:vAlign w:val="center"/>
            <w:hideMark/>
          </w:tcPr>
          <w:p w14:paraId="5447433F" w14:textId="77777777" w:rsidR="009F7FF6" w:rsidRPr="009F7FF6" w:rsidRDefault="009F7FF6" w:rsidP="00057BE5">
            <w:pPr>
              <w:spacing w:after="0" w:line="240" w:lineRule="auto"/>
              <w:jc w:val="right"/>
              <w:rPr>
                <w:rFonts w:ascii="Times New Roman" w:eastAsia="Times New Roman" w:hAnsi="Times New Roman" w:cs="Times New Roman"/>
                <w:b/>
                <w:bCs/>
                <w:sz w:val="16"/>
                <w:szCs w:val="16"/>
                <w:lang w:eastAsia="ru-RU"/>
              </w:rPr>
            </w:pPr>
          </w:p>
        </w:tc>
      </w:tr>
    </w:tbl>
    <w:p w14:paraId="7B2B41FE" w14:textId="3090C17F" w:rsidR="002E7F96" w:rsidRPr="0037162F" w:rsidRDefault="002E7F96" w:rsidP="00057BE5">
      <w:pPr>
        <w:spacing w:after="0" w:line="240" w:lineRule="auto"/>
        <w:rPr>
          <w:rFonts w:ascii="Times New Roman" w:hAnsi="Times New Roman" w:cs="Times New Roman"/>
          <w:sz w:val="24"/>
          <w:szCs w:val="24"/>
        </w:rPr>
      </w:pPr>
    </w:p>
    <w:p w14:paraId="3E6029C3" w14:textId="6992262F" w:rsidR="00FB46E2" w:rsidRDefault="00FB46E2" w:rsidP="00057BE5">
      <w:pPr>
        <w:spacing w:after="0" w:line="240" w:lineRule="auto"/>
      </w:pPr>
    </w:p>
    <w:p w14:paraId="41A6CAD5" w14:textId="77777777" w:rsidR="00FB46E2" w:rsidRPr="00FB46E2" w:rsidRDefault="00FB46E2" w:rsidP="00057BE5">
      <w:pPr>
        <w:spacing w:after="0" w:line="240" w:lineRule="auto"/>
      </w:pPr>
    </w:p>
    <w:p w14:paraId="0722E4B2" w14:textId="77777777" w:rsidR="00FB46E2" w:rsidRPr="003A2326" w:rsidRDefault="00FB46E2" w:rsidP="00057BE5">
      <w:pPr>
        <w:spacing w:after="0" w:line="240" w:lineRule="auto"/>
      </w:pPr>
    </w:p>
    <w:p w14:paraId="26CFCF8A" w14:textId="6F4CBE8A" w:rsidR="00FB46E2" w:rsidRDefault="00FB46E2" w:rsidP="00057BE5">
      <w:pPr>
        <w:spacing w:after="0" w:line="240" w:lineRule="auto"/>
      </w:pPr>
    </w:p>
    <w:p w14:paraId="6E369B28" w14:textId="7F23F6E8" w:rsidR="003C46DC" w:rsidRPr="00FB46E2" w:rsidRDefault="00FB46E2" w:rsidP="00057BE5">
      <w:pPr>
        <w:tabs>
          <w:tab w:val="left" w:pos="2228"/>
        </w:tabs>
        <w:spacing w:after="0" w:line="240" w:lineRule="auto"/>
      </w:pPr>
      <w:r>
        <w:tab/>
      </w:r>
    </w:p>
    <w:sectPr w:rsidR="003C46DC" w:rsidRPr="00FB46E2" w:rsidSect="006C05FC">
      <w:footerReference w:type="default" r:id="rId21"/>
      <w:headerReference w:type="first" r:id="rId22"/>
      <w:footerReference w:type="first" r:id="rId23"/>
      <w:pgSz w:w="11906" w:h="16838"/>
      <w:pgMar w:top="1418" w:right="851"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D66AB" w14:textId="77777777" w:rsidR="008E3998" w:rsidRDefault="008E3998" w:rsidP="00BB3483">
      <w:pPr>
        <w:spacing w:after="0" w:line="240" w:lineRule="auto"/>
      </w:pPr>
      <w:r>
        <w:separator/>
      </w:r>
    </w:p>
  </w:endnote>
  <w:endnote w:type="continuationSeparator" w:id="0">
    <w:p w14:paraId="6631894C" w14:textId="77777777" w:rsidR="008E3998" w:rsidRDefault="008E3998" w:rsidP="00BB3483">
      <w:pPr>
        <w:spacing w:after="0" w:line="240" w:lineRule="auto"/>
      </w:pPr>
      <w:r>
        <w:continuationSeparator/>
      </w:r>
    </w:p>
  </w:endnote>
  <w:endnote w:type="continuationNotice" w:id="1">
    <w:p w14:paraId="15D51B7B" w14:textId="77777777" w:rsidR="008E3998" w:rsidRDefault="008E39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igCity Grotesque Pro Book">
    <w:altName w:val="Cambria Math"/>
    <w:panose1 w:val="00000000000000000000"/>
    <w:charset w:val="00"/>
    <w:family w:val="roman"/>
    <w:notTrueType/>
    <w:pitch w:val="variable"/>
    <w:sig w:usb0="80000207" w:usb1="00000002" w:usb2="00000000" w:usb3="00000000" w:csb0="00000197"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727637765"/>
      <w:docPartObj>
        <w:docPartGallery w:val="Page Numbers (Bottom of Page)"/>
        <w:docPartUnique/>
      </w:docPartObj>
    </w:sdtPr>
    <w:sdtEndPr/>
    <w:sdtContent>
      <w:p w14:paraId="6B4615CD" w14:textId="613FAB55" w:rsidR="00E00AD2" w:rsidRPr="00061897" w:rsidRDefault="00E00AD2">
        <w:pPr>
          <w:pStyle w:val="af6"/>
          <w:jc w:val="center"/>
          <w:rPr>
            <w:rFonts w:ascii="Times New Roman" w:hAnsi="Times New Roman" w:cs="Times New Roman"/>
            <w:sz w:val="24"/>
            <w:szCs w:val="24"/>
          </w:rPr>
        </w:pPr>
        <w:r w:rsidRPr="00061897">
          <w:rPr>
            <w:rFonts w:ascii="Times New Roman" w:hAnsi="Times New Roman" w:cs="Times New Roman"/>
            <w:sz w:val="24"/>
            <w:szCs w:val="24"/>
          </w:rPr>
          <w:fldChar w:fldCharType="begin"/>
        </w:r>
        <w:r w:rsidRPr="00061897">
          <w:rPr>
            <w:rFonts w:ascii="Times New Roman" w:hAnsi="Times New Roman" w:cs="Times New Roman"/>
            <w:sz w:val="24"/>
            <w:szCs w:val="24"/>
          </w:rPr>
          <w:instrText>PAGE   \* MERGEFORMAT</w:instrText>
        </w:r>
        <w:r w:rsidRPr="00061897">
          <w:rPr>
            <w:rFonts w:ascii="Times New Roman" w:hAnsi="Times New Roman" w:cs="Times New Roman"/>
            <w:sz w:val="24"/>
            <w:szCs w:val="24"/>
          </w:rPr>
          <w:fldChar w:fldCharType="separate"/>
        </w:r>
        <w:r w:rsidR="00A3605D">
          <w:rPr>
            <w:rFonts w:ascii="Times New Roman" w:hAnsi="Times New Roman" w:cs="Times New Roman"/>
            <w:noProof/>
            <w:sz w:val="24"/>
            <w:szCs w:val="24"/>
          </w:rPr>
          <w:t>4</w:t>
        </w:r>
        <w:r w:rsidRPr="00061897">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699B4" w14:textId="4C3A5A6D" w:rsidR="00E00AD2" w:rsidRDefault="00E00AD2">
    <w:pPr>
      <w:pStyle w:val="af6"/>
      <w:jc w:val="center"/>
    </w:pPr>
  </w:p>
  <w:p w14:paraId="2AB3A2BB" w14:textId="77777777" w:rsidR="00E00AD2" w:rsidRDefault="00E00AD2">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9F2C6" w14:textId="77777777" w:rsidR="008E3998" w:rsidRDefault="008E3998" w:rsidP="00BB3483">
      <w:pPr>
        <w:spacing w:after="0" w:line="240" w:lineRule="auto"/>
      </w:pPr>
      <w:r>
        <w:separator/>
      </w:r>
    </w:p>
  </w:footnote>
  <w:footnote w:type="continuationSeparator" w:id="0">
    <w:p w14:paraId="77397021" w14:textId="77777777" w:rsidR="008E3998" w:rsidRDefault="008E3998" w:rsidP="00BB3483">
      <w:pPr>
        <w:spacing w:after="0" w:line="240" w:lineRule="auto"/>
      </w:pPr>
      <w:r>
        <w:continuationSeparator/>
      </w:r>
    </w:p>
  </w:footnote>
  <w:footnote w:type="continuationNotice" w:id="1">
    <w:p w14:paraId="2B37870A" w14:textId="77777777" w:rsidR="008E3998" w:rsidRDefault="008E3998">
      <w:pPr>
        <w:spacing w:after="0" w:line="240" w:lineRule="auto"/>
      </w:pPr>
    </w:p>
  </w:footnote>
  <w:footnote w:id="2">
    <w:p w14:paraId="73E0478E" w14:textId="7FD3FDCE" w:rsidR="00E00AD2" w:rsidRPr="006D5B2F" w:rsidRDefault="00E00AD2" w:rsidP="000B1393">
      <w:pPr>
        <w:pStyle w:val="af3"/>
        <w:jc w:val="both"/>
        <w:rPr>
          <w:rFonts w:ascii="Times New Roman" w:hAnsi="Times New Roman" w:cs="Times New Roman"/>
        </w:rPr>
      </w:pPr>
      <w:r w:rsidRPr="006D5B2F">
        <w:rPr>
          <w:rStyle w:val="af5"/>
          <w:rFonts w:ascii="Times New Roman" w:hAnsi="Times New Roman" w:cs="Times New Roman"/>
        </w:rPr>
        <w:footnoteRef/>
      </w:r>
      <w:r w:rsidRPr="006D5B2F">
        <w:rPr>
          <w:rFonts w:ascii="Times New Roman" w:hAnsi="Times New Roman" w:cs="Times New Roman"/>
        </w:rPr>
        <w:t xml:space="preserve"> В связи с тем, что годовой отчет об исполнении консолидированного бюджета </w:t>
      </w:r>
      <w:r>
        <w:rPr>
          <w:rFonts w:ascii="Times New Roman" w:hAnsi="Times New Roman" w:cs="Times New Roman"/>
        </w:rPr>
        <w:t xml:space="preserve">Республики Казахстан </w:t>
      </w:r>
      <w:r w:rsidRPr="006D5B2F">
        <w:rPr>
          <w:rFonts w:ascii="Times New Roman" w:hAnsi="Times New Roman" w:cs="Times New Roman"/>
        </w:rPr>
        <w:t xml:space="preserve">за 2019 год на дату </w:t>
      </w:r>
      <w:r>
        <w:rPr>
          <w:rFonts w:ascii="Times New Roman" w:hAnsi="Times New Roman" w:cs="Times New Roman"/>
        </w:rPr>
        <w:t>утверждения</w:t>
      </w:r>
      <w:r w:rsidRPr="006D5B2F">
        <w:rPr>
          <w:rFonts w:ascii="Times New Roman" w:hAnsi="Times New Roman" w:cs="Times New Roman"/>
        </w:rPr>
        <w:t xml:space="preserve"> Проспекта </w:t>
      </w:r>
      <w:r>
        <w:rPr>
          <w:rFonts w:ascii="Times New Roman" w:hAnsi="Times New Roman" w:cs="Times New Roman"/>
        </w:rPr>
        <w:t xml:space="preserve">ценных бумаг </w:t>
      </w:r>
      <w:r w:rsidRPr="006D5B2F">
        <w:rPr>
          <w:rFonts w:ascii="Times New Roman" w:hAnsi="Times New Roman" w:cs="Times New Roman"/>
        </w:rPr>
        <w:t>не подготовлен</w:t>
      </w:r>
      <w:r>
        <w:rPr>
          <w:rFonts w:ascii="Times New Roman" w:hAnsi="Times New Roman" w:cs="Times New Roman"/>
        </w:rPr>
        <w:t xml:space="preserve"> (поскольку </w:t>
      </w:r>
      <w:r w:rsidRPr="005D68EB">
        <w:rPr>
          <w:rFonts w:ascii="Times New Roman" w:hAnsi="Times New Roman" w:cs="Times New Roman"/>
        </w:rPr>
        <w:t>годовые отчеты об исполнении республиканского и местных бюджетов Республики Казахстан за 2019 год по состоянию на дату утверждения Проспекта ценных бумаг не утверждены соответствующими уполномоченными органами Республики Казахстан)</w:t>
      </w:r>
      <w:r w:rsidRPr="006D5B2F">
        <w:rPr>
          <w:rFonts w:ascii="Times New Roman" w:hAnsi="Times New Roman" w:cs="Times New Roman"/>
        </w:rPr>
        <w:t xml:space="preserve">, данные за 2019 год приводятся на основании отчета об исполнении консолидированного бюджета </w:t>
      </w:r>
      <w:r>
        <w:rPr>
          <w:rFonts w:ascii="Times New Roman" w:hAnsi="Times New Roman" w:cs="Times New Roman"/>
        </w:rPr>
        <w:t>Республики Казахстан</w:t>
      </w:r>
      <w:r w:rsidRPr="006D5B2F">
        <w:rPr>
          <w:rFonts w:ascii="Times New Roman" w:hAnsi="Times New Roman" w:cs="Times New Roman"/>
        </w:rPr>
        <w:t xml:space="preserve"> на 1 января 2020 года</w:t>
      </w:r>
      <w:r w:rsidRPr="005D68EB">
        <w:rPr>
          <w:rFonts w:ascii="Times New Roman" w:hAnsi="Times New Roman" w:cs="Times New Roman"/>
        </w:rPr>
        <w:t>. Сроки для утверждения годовых отчетов об исполнении республиканского и местных бюджетов Республики Казахстан за 2019 год на дату утверждения Проспекта ценных бумаг не истекли.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A56DF" w14:textId="77777777" w:rsidR="00E00AD2" w:rsidRDefault="00E00AD2" w:rsidP="00970208">
    <w:pPr>
      <w:pStyle w:val="af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2AAC"/>
    <w:multiLevelType w:val="hybridMultilevel"/>
    <w:tmpl w:val="66904112"/>
    <w:lvl w:ilvl="0" w:tplc="75E66A7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42B72"/>
    <w:multiLevelType w:val="hybridMultilevel"/>
    <w:tmpl w:val="66904112"/>
    <w:lvl w:ilvl="0" w:tplc="75E66A7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C2025"/>
    <w:multiLevelType w:val="hybridMultilevel"/>
    <w:tmpl w:val="CDD4ED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CD7D2A"/>
    <w:multiLevelType w:val="hybridMultilevel"/>
    <w:tmpl w:val="08BEB6D6"/>
    <w:lvl w:ilvl="0" w:tplc="04090011">
      <w:start w:val="1"/>
      <w:numFmt w:val="decimal"/>
      <w:lvlText w:val="%1)"/>
      <w:lvlJc w:val="left"/>
      <w:pPr>
        <w:ind w:left="1259" w:hanging="360"/>
      </w:pPr>
      <w:rPr>
        <w:rFonts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 w15:restartNumberingAfterBreak="0">
    <w:nsid w:val="1BDC7565"/>
    <w:multiLevelType w:val="hybridMultilevel"/>
    <w:tmpl w:val="DE02A8C4"/>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 w15:restartNumberingAfterBreak="0">
    <w:nsid w:val="1E54450F"/>
    <w:multiLevelType w:val="hybridMultilevel"/>
    <w:tmpl w:val="39F830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E7524B7"/>
    <w:multiLevelType w:val="hybridMultilevel"/>
    <w:tmpl w:val="6E3202A8"/>
    <w:lvl w:ilvl="0" w:tplc="FE583358">
      <w:start w:val="1"/>
      <w:numFmt w:val="decimal"/>
      <w:lvlText w:val="%1)"/>
      <w:lvlJc w:val="left"/>
      <w:pPr>
        <w:ind w:left="12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3B5E26"/>
    <w:multiLevelType w:val="hybridMultilevel"/>
    <w:tmpl w:val="186EADFC"/>
    <w:lvl w:ilvl="0" w:tplc="75E66A72">
      <w:start w:val="1"/>
      <w:numFmt w:val="lowerRoman"/>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A5032A"/>
    <w:multiLevelType w:val="hybridMultilevel"/>
    <w:tmpl w:val="26AAAACE"/>
    <w:lvl w:ilvl="0" w:tplc="04090011">
      <w:start w:val="1"/>
      <w:numFmt w:val="decimal"/>
      <w:lvlText w:val="%1)"/>
      <w:lvlJc w:val="left"/>
      <w:pPr>
        <w:ind w:left="1259" w:hanging="360"/>
      </w:pPr>
      <w:rPr>
        <w:rFonts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 w15:restartNumberingAfterBreak="0">
    <w:nsid w:val="21056215"/>
    <w:multiLevelType w:val="hybridMultilevel"/>
    <w:tmpl w:val="F7D68412"/>
    <w:lvl w:ilvl="0" w:tplc="C82602F2">
      <w:start w:val="1"/>
      <w:numFmt w:val="decimal"/>
      <w:lvlText w:val="%1)"/>
      <w:lvlJc w:val="left"/>
      <w:pPr>
        <w:ind w:left="126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8D282C"/>
    <w:multiLevelType w:val="hybridMultilevel"/>
    <w:tmpl w:val="39F830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236C0DFB"/>
    <w:multiLevelType w:val="hybridMultilevel"/>
    <w:tmpl w:val="EEF4C0DA"/>
    <w:lvl w:ilvl="0" w:tplc="DBE6C77A">
      <w:start w:val="1"/>
      <w:numFmt w:val="decimal"/>
      <w:lvlText w:val="%1)"/>
      <w:lvlJc w:val="left"/>
      <w:pPr>
        <w:ind w:left="12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513B80"/>
    <w:multiLevelType w:val="hybridMultilevel"/>
    <w:tmpl w:val="BA0CD5B8"/>
    <w:lvl w:ilvl="0" w:tplc="04090011">
      <w:start w:val="1"/>
      <w:numFmt w:val="decimal"/>
      <w:lvlText w:val="%1)"/>
      <w:lvlJc w:val="left"/>
      <w:pPr>
        <w:ind w:left="1259" w:hanging="360"/>
      </w:pPr>
      <w:rPr>
        <w:rFonts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 w15:restartNumberingAfterBreak="0">
    <w:nsid w:val="2AB51FCA"/>
    <w:multiLevelType w:val="hybridMultilevel"/>
    <w:tmpl w:val="6D4ECAEE"/>
    <w:lvl w:ilvl="0" w:tplc="04090011">
      <w:start w:val="1"/>
      <w:numFmt w:val="decimal"/>
      <w:lvlText w:val="%1)"/>
      <w:lvlJc w:val="left"/>
      <w:pPr>
        <w:ind w:left="1259" w:hanging="360"/>
      </w:pPr>
      <w:rPr>
        <w:rFonts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 w15:restartNumberingAfterBreak="0">
    <w:nsid w:val="327021A5"/>
    <w:multiLevelType w:val="hybridMultilevel"/>
    <w:tmpl w:val="EEF4C0DA"/>
    <w:lvl w:ilvl="0" w:tplc="DBE6C77A">
      <w:start w:val="1"/>
      <w:numFmt w:val="decimal"/>
      <w:lvlText w:val="%1)"/>
      <w:lvlJc w:val="left"/>
      <w:pPr>
        <w:ind w:left="126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7D52438"/>
    <w:multiLevelType w:val="hybridMultilevel"/>
    <w:tmpl w:val="39F830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9041152"/>
    <w:multiLevelType w:val="hybridMultilevel"/>
    <w:tmpl w:val="39B091CE"/>
    <w:lvl w:ilvl="0" w:tplc="D494BF24">
      <w:start w:val="1"/>
      <w:numFmt w:val="decimal"/>
      <w:lvlText w:val="%1)"/>
      <w:lvlJc w:val="left"/>
      <w:pPr>
        <w:ind w:left="126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011D4"/>
    <w:multiLevelType w:val="hybridMultilevel"/>
    <w:tmpl w:val="6E3202A8"/>
    <w:lvl w:ilvl="0" w:tplc="FE583358">
      <w:start w:val="1"/>
      <w:numFmt w:val="decimal"/>
      <w:lvlText w:val="%1)"/>
      <w:lvlJc w:val="left"/>
      <w:pPr>
        <w:ind w:left="12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6E1EBB"/>
    <w:multiLevelType w:val="hybridMultilevel"/>
    <w:tmpl w:val="4A3A22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4F51D7"/>
    <w:multiLevelType w:val="hybridMultilevel"/>
    <w:tmpl w:val="39F830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CC55F5D"/>
    <w:multiLevelType w:val="hybridMultilevel"/>
    <w:tmpl w:val="A05A2B00"/>
    <w:lvl w:ilvl="0" w:tplc="04090001">
      <w:start w:val="1"/>
      <w:numFmt w:val="bullet"/>
      <w:lvlText w:val=""/>
      <w:lvlJc w:val="left"/>
      <w:pPr>
        <w:ind w:left="1429" w:hanging="360"/>
      </w:pPr>
      <w:rPr>
        <w:rFonts w:ascii="Symbol" w:hAnsi="Symbol" w:cs="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cs="Wingdings" w:hint="default"/>
      </w:rPr>
    </w:lvl>
    <w:lvl w:ilvl="3" w:tplc="04090001" w:tentative="1">
      <w:start w:val="1"/>
      <w:numFmt w:val="bullet"/>
      <w:lvlText w:val=""/>
      <w:lvlJc w:val="left"/>
      <w:pPr>
        <w:ind w:left="3589" w:hanging="360"/>
      </w:pPr>
      <w:rPr>
        <w:rFonts w:ascii="Symbol" w:hAnsi="Symbol" w:cs="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cs="Wingdings" w:hint="default"/>
      </w:rPr>
    </w:lvl>
    <w:lvl w:ilvl="6" w:tplc="04090001" w:tentative="1">
      <w:start w:val="1"/>
      <w:numFmt w:val="bullet"/>
      <w:lvlText w:val=""/>
      <w:lvlJc w:val="left"/>
      <w:pPr>
        <w:ind w:left="5749" w:hanging="360"/>
      </w:pPr>
      <w:rPr>
        <w:rFonts w:ascii="Symbol" w:hAnsi="Symbol" w:cs="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cs="Wingdings" w:hint="default"/>
      </w:rPr>
    </w:lvl>
  </w:abstractNum>
  <w:abstractNum w:abstractNumId="21" w15:restartNumberingAfterBreak="0">
    <w:nsid w:val="5159056E"/>
    <w:multiLevelType w:val="hybridMultilevel"/>
    <w:tmpl w:val="0598E9D2"/>
    <w:lvl w:ilvl="0" w:tplc="A33EFC96">
      <w:start w:val="1"/>
      <w:numFmt w:val="decimal"/>
      <w:lvlText w:val="%1)"/>
      <w:lvlJc w:val="left"/>
      <w:pPr>
        <w:ind w:left="126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1A7363"/>
    <w:multiLevelType w:val="hybridMultilevel"/>
    <w:tmpl w:val="301E7670"/>
    <w:lvl w:ilvl="0" w:tplc="1B141F6E">
      <w:start w:val="1"/>
      <w:numFmt w:val="decimal"/>
      <w:lvlText w:val="%1."/>
      <w:lvlJc w:val="left"/>
      <w:pPr>
        <w:ind w:left="1110" w:hanging="48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23" w15:restartNumberingAfterBreak="0">
    <w:nsid w:val="524C6426"/>
    <w:multiLevelType w:val="hybridMultilevel"/>
    <w:tmpl w:val="9A6820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7C2965"/>
    <w:multiLevelType w:val="hybridMultilevel"/>
    <w:tmpl w:val="A5789406"/>
    <w:lvl w:ilvl="0" w:tplc="04190001">
      <w:start w:val="1"/>
      <w:numFmt w:val="bullet"/>
      <w:lvlText w:val=""/>
      <w:lvlJc w:val="left"/>
      <w:pPr>
        <w:ind w:left="126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46739D1"/>
    <w:multiLevelType w:val="hybridMultilevel"/>
    <w:tmpl w:val="9B964D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A832F50"/>
    <w:multiLevelType w:val="hybridMultilevel"/>
    <w:tmpl w:val="39F830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B5C315F"/>
    <w:multiLevelType w:val="hybridMultilevel"/>
    <w:tmpl w:val="39F830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5CCA7759"/>
    <w:multiLevelType w:val="hybridMultilevel"/>
    <w:tmpl w:val="EEF4C0DA"/>
    <w:lvl w:ilvl="0" w:tplc="DBE6C77A">
      <w:start w:val="1"/>
      <w:numFmt w:val="decimal"/>
      <w:lvlText w:val="%1)"/>
      <w:lvlJc w:val="left"/>
      <w:pPr>
        <w:ind w:left="126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41B2ED1"/>
    <w:multiLevelType w:val="hybridMultilevel"/>
    <w:tmpl w:val="AC1092D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657A4C07"/>
    <w:multiLevelType w:val="hybridMultilevel"/>
    <w:tmpl w:val="AF1E8564"/>
    <w:lvl w:ilvl="0" w:tplc="D040AB1A">
      <w:start w:val="1"/>
      <w:numFmt w:val="lowerRoman"/>
      <w:lvlText w:val="(%1)"/>
      <w:lvlJc w:val="right"/>
      <w:pPr>
        <w:ind w:left="1429" w:hanging="360"/>
      </w:pPr>
      <w:rPr>
        <w:rFonts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660B71C8"/>
    <w:multiLevelType w:val="hybridMultilevel"/>
    <w:tmpl w:val="A7D67026"/>
    <w:lvl w:ilvl="0" w:tplc="519893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237C83"/>
    <w:multiLevelType w:val="hybridMultilevel"/>
    <w:tmpl w:val="39F830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6FE877E3"/>
    <w:multiLevelType w:val="hybridMultilevel"/>
    <w:tmpl w:val="3DA69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332EF7"/>
    <w:multiLevelType w:val="multilevel"/>
    <w:tmpl w:val="1BB6854C"/>
    <w:lvl w:ilvl="0">
      <w:start w:val="9"/>
      <w:numFmt w:val="decimal"/>
      <w:lvlText w:val="%1."/>
      <w:lvlJc w:val="left"/>
      <w:pPr>
        <w:ind w:left="360" w:hanging="360"/>
      </w:pPr>
      <w:rPr>
        <w:rFonts w:hint="default"/>
      </w:rPr>
    </w:lvl>
    <w:lvl w:ilvl="1">
      <w:start w:val="1"/>
      <w:numFmt w:val="decimal"/>
      <w:lvlText w:val="8.1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27E2BB6"/>
    <w:multiLevelType w:val="hybridMultilevel"/>
    <w:tmpl w:val="552C04E6"/>
    <w:lvl w:ilvl="0" w:tplc="58729864">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FB1D97"/>
    <w:multiLevelType w:val="hybridMultilevel"/>
    <w:tmpl w:val="BCF6C8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89A0A2A"/>
    <w:multiLevelType w:val="hybridMultilevel"/>
    <w:tmpl w:val="48EE2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E56116"/>
    <w:multiLevelType w:val="hybridMultilevel"/>
    <w:tmpl w:val="BCAE174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15:restartNumberingAfterBreak="0">
    <w:nsid w:val="7E7354DC"/>
    <w:multiLevelType w:val="hybridMultilevel"/>
    <w:tmpl w:val="39F830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7E90232F"/>
    <w:multiLevelType w:val="hybridMultilevel"/>
    <w:tmpl w:val="1AA489E6"/>
    <w:lvl w:ilvl="0" w:tplc="5D1A45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38"/>
  </w:num>
  <w:num w:numId="3">
    <w:abstractNumId w:val="37"/>
  </w:num>
  <w:num w:numId="4">
    <w:abstractNumId w:val="11"/>
  </w:num>
  <w:num w:numId="5">
    <w:abstractNumId w:val="34"/>
  </w:num>
  <w:num w:numId="6">
    <w:abstractNumId w:val="25"/>
  </w:num>
  <w:num w:numId="7">
    <w:abstractNumId w:val="23"/>
  </w:num>
  <w:num w:numId="8">
    <w:abstractNumId w:val="18"/>
  </w:num>
  <w:num w:numId="9">
    <w:abstractNumId w:val="2"/>
  </w:num>
  <w:num w:numId="10">
    <w:abstractNumId w:val="35"/>
  </w:num>
  <w:num w:numId="11">
    <w:abstractNumId w:val="33"/>
  </w:num>
  <w:num w:numId="12">
    <w:abstractNumId w:val="24"/>
  </w:num>
  <w:num w:numId="13">
    <w:abstractNumId w:val="40"/>
  </w:num>
  <w:num w:numId="14">
    <w:abstractNumId w:val="31"/>
  </w:num>
  <w:num w:numId="15">
    <w:abstractNumId w:val="36"/>
  </w:num>
  <w:num w:numId="16">
    <w:abstractNumId w:val="14"/>
  </w:num>
  <w:num w:numId="17">
    <w:abstractNumId w:val="4"/>
  </w:num>
  <w:num w:numId="18">
    <w:abstractNumId w:val="28"/>
  </w:num>
  <w:num w:numId="19">
    <w:abstractNumId w:val="6"/>
  </w:num>
  <w:num w:numId="20">
    <w:abstractNumId w:val="13"/>
  </w:num>
  <w:num w:numId="21">
    <w:abstractNumId w:val="8"/>
  </w:num>
  <w:num w:numId="22">
    <w:abstractNumId w:val="12"/>
  </w:num>
  <w:num w:numId="23">
    <w:abstractNumId w:val="3"/>
  </w:num>
  <w:num w:numId="24">
    <w:abstractNumId w:val="5"/>
  </w:num>
  <w:num w:numId="25">
    <w:abstractNumId w:val="19"/>
  </w:num>
  <w:num w:numId="26">
    <w:abstractNumId w:val="39"/>
  </w:num>
  <w:num w:numId="27">
    <w:abstractNumId w:val="32"/>
  </w:num>
  <w:num w:numId="28">
    <w:abstractNumId w:val="21"/>
  </w:num>
  <w:num w:numId="29">
    <w:abstractNumId w:val="16"/>
  </w:num>
  <w:num w:numId="30">
    <w:abstractNumId w:val="9"/>
  </w:num>
  <w:num w:numId="31">
    <w:abstractNumId w:val="20"/>
  </w:num>
  <w:num w:numId="32">
    <w:abstractNumId w:val="17"/>
  </w:num>
  <w:num w:numId="33">
    <w:abstractNumId w:val="22"/>
  </w:num>
  <w:num w:numId="34">
    <w:abstractNumId w:val="15"/>
  </w:num>
  <w:num w:numId="35">
    <w:abstractNumId w:val="10"/>
  </w:num>
  <w:num w:numId="36">
    <w:abstractNumId w:val="26"/>
  </w:num>
  <w:num w:numId="37">
    <w:abstractNumId w:val="27"/>
  </w:num>
  <w:num w:numId="38">
    <w:abstractNumId w:val="7"/>
  </w:num>
  <w:num w:numId="39">
    <w:abstractNumId w:val="0"/>
  </w:num>
  <w:num w:numId="40">
    <w:abstractNumId w:val="1"/>
  </w:num>
  <w:num w:numId="41">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F06"/>
    <w:rsid w:val="000006BE"/>
    <w:rsid w:val="00000BC1"/>
    <w:rsid w:val="00001B03"/>
    <w:rsid w:val="00002089"/>
    <w:rsid w:val="000026C3"/>
    <w:rsid w:val="00002B97"/>
    <w:rsid w:val="0000400B"/>
    <w:rsid w:val="0000410F"/>
    <w:rsid w:val="0000453F"/>
    <w:rsid w:val="00005183"/>
    <w:rsid w:val="00006C2C"/>
    <w:rsid w:val="00007AF3"/>
    <w:rsid w:val="000125E4"/>
    <w:rsid w:val="00015915"/>
    <w:rsid w:val="00016641"/>
    <w:rsid w:val="000169E4"/>
    <w:rsid w:val="00016A9F"/>
    <w:rsid w:val="00017522"/>
    <w:rsid w:val="00017AED"/>
    <w:rsid w:val="000203C2"/>
    <w:rsid w:val="0002075F"/>
    <w:rsid w:val="0002309F"/>
    <w:rsid w:val="00023563"/>
    <w:rsid w:val="0002415B"/>
    <w:rsid w:val="00024772"/>
    <w:rsid w:val="00026713"/>
    <w:rsid w:val="00033FC3"/>
    <w:rsid w:val="000350BB"/>
    <w:rsid w:val="000358EE"/>
    <w:rsid w:val="0003725D"/>
    <w:rsid w:val="0003761E"/>
    <w:rsid w:val="000379A8"/>
    <w:rsid w:val="000402E6"/>
    <w:rsid w:val="00042550"/>
    <w:rsid w:val="000428BA"/>
    <w:rsid w:val="00044A51"/>
    <w:rsid w:val="000459B5"/>
    <w:rsid w:val="000464FB"/>
    <w:rsid w:val="00046EA0"/>
    <w:rsid w:val="00046F4B"/>
    <w:rsid w:val="0005031B"/>
    <w:rsid w:val="000535DD"/>
    <w:rsid w:val="00053C67"/>
    <w:rsid w:val="000559D4"/>
    <w:rsid w:val="00057BE5"/>
    <w:rsid w:val="000607D0"/>
    <w:rsid w:val="0006159B"/>
    <w:rsid w:val="00061897"/>
    <w:rsid w:val="00061E52"/>
    <w:rsid w:val="00061ECE"/>
    <w:rsid w:val="0006294A"/>
    <w:rsid w:val="00062F74"/>
    <w:rsid w:val="00064DA9"/>
    <w:rsid w:val="000718D8"/>
    <w:rsid w:val="00075B51"/>
    <w:rsid w:val="0008069A"/>
    <w:rsid w:val="00081811"/>
    <w:rsid w:val="0008212D"/>
    <w:rsid w:val="0008219F"/>
    <w:rsid w:val="00083BBF"/>
    <w:rsid w:val="00083F4D"/>
    <w:rsid w:val="000854DB"/>
    <w:rsid w:val="00090CAF"/>
    <w:rsid w:val="00091605"/>
    <w:rsid w:val="00091F46"/>
    <w:rsid w:val="000920D7"/>
    <w:rsid w:val="00092C23"/>
    <w:rsid w:val="00093D2B"/>
    <w:rsid w:val="00095A70"/>
    <w:rsid w:val="000A1C39"/>
    <w:rsid w:val="000A55DC"/>
    <w:rsid w:val="000A6432"/>
    <w:rsid w:val="000B0AD7"/>
    <w:rsid w:val="000B1393"/>
    <w:rsid w:val="000B309B"/>
    <w:rsid w:val="000B561D"/>
    <w:rsid w:val="000B5A99"/>
    <w:rsid w:val="000C0782"/>
    <w:rsid w:val="000C2B2C"/>
    <w:rsid w:val="000C3975"/>
    <w:rsid w:val="000C3C68"/>
    <w:rsid w:val="000C4BA0"/>
    <w:rsid w:val="000C525E"/>
    <w:rsid w:val="000C5492"/>
    <w:rsid w:val="000C7593"/>
    <w:rsid w:val="000D086A"/>
    <w:rsid w:val="000D2257"/>
    <w:rsid w:val="000D2D4A"/>
    <w:rsid w:val="000D60FD"/>
    <w:rsid w:val="000D7AAE"/>
    <w:rsid w:val="000E1C54"/>
    <w:rsid w:val="000E33F9"/>
    <w:rsid w:val="000E39D9"/>
    <w:rsid w:val="000E3D90"/>
    <w:rsid w:val="000E5593"/>
    <w:rsid w:val="000E6145"/>
    <w:rsid w:val="000E68F0"/>
    <w:rsid w:val="000E69AB"/>
    <w:rsid w:val="000E6D59"/>
    <w:rsid w:val="000E7C37"/>
    <w:rsid w:val="000F0B56"/>
    <w:rsid w:val="000F19B7"/>
    <w:rsid w:val="000F27E3"/>
    <w:rsid w:val="000F41FC"/>
    <w:rsid w:val="000F514B"/>
    <w:rsid w:val="000F59FA"/>
    <w:rsid w:val="000F5CC0"/>
    <w:rsid w:val="000F7C5F"/>
    <w:rsid w:val="00101B32"/>
    <w:rsid w:val="00103EB7"/>
    <w:rsid w:val="00104BDA"/>
    <w:rsid w:val="00104CED"/>
    <w:rsid w:val="00106ECC"/>
    <w:rsid w:val="001073CD"/>
    <w:rsid w:val="00110314"/>
    <w:rsid w:val="00111579"/>
    <w:rsid w:val="0011181C"/>
    <w:rsid w:val="00111CB6"/>
    <w:rsid w:val="00112A18"/>
    <w:rsid w:val="00113078"/>
    <w:rsid w:val="001135EF"/>
    <w:rsid w:val="001147A2"/>
    <w:rsid w:val="00115624"/>
    <w:rsid w:val="00115E6F"/>
    <w:rsid w:val="00116C68"/>
    <w:rsid w:val="00123496"/>
    <w:rsid w:val="0012566F"/>
    <w:rsid w:val="00130267"/>
    <w:rsid w:val="00130294"/>
    <w:rsid w:val="00130971"/>
    <w:rsid w:val="00130A98"/>
    <w:rsid w:val="001310BD"/>
    <w:rsid w:val="00132978"/>
    <w:rsid w:val="00133D55"/>
    <w:rsid w:val="001344C4"/>
    <w:rsid w:val="001346D2"/>
    <w:rsid w:val="00135287"/>
    <w:rsid w:val="001374C0"/>
    <w:rsid w:val="001378E7"/>
    <w:rsid w:val="00144111"/>
    <w:rsid w:val="00146C9B"/>
    <w:rsid w:val="00151E79"/>
    <w:rsid w:val="00154680"/>
    <w:rsid w:val="001613F0"/>
    <w:rsid w:val="00161846"/>
    <w:rsid w:val="00161931"/>
    <w:rsid w:val="00161B02"/>
    <w:rsid w:val="001629A3"/>
    <w:rsid w:val="00162FE8"/>
    <w:rsid w:val="00163BA6"/>
    <w:rsid w:val="00163D5A"/>
    <w:rsid w:val="00166882"/>
    <w:rsid w:val="00171154"/>
    <w:rsid w:val="00171BF0"/>
    <w:rsid w:val="0017536E"/>
    <w:rsid w:val="00176685"/>
    <w:rsid w:val="0017691E"/>
    <w:rsid w:val="0018027D"/>
    <w:rsid w:val="00183B27"/>
    <w:rsid w:val="001850B9"/>
    <w:rsid w:val="001854F9"/>
    <w:rsid w:val="00186A2C"/>
    <w:rsid w:val="00186BD5"/>
    <w:rsid w:val="00191A5D"/>
    <w:rsid w:val="00194D78"/>
    <w:rsid w:val="001A0341"/>
    <w:rsid w:val="001A075A"/>
    <w:rsid w:val="001A094D"/>
    <w:rsid w:val="001A0CC0"/>
    <w:rsid w:val="001A0FEA"/>
    <w:rsid w:val="001A2920"/>
    <w:rsid w:val="001A32B9"/>
    <w:rsid w:val="001A5D89"/>
    <w:rsid w:val="001A61CC"/>
    <w:rsid w:val="001A6421"/>
    <w:rsid w:val="001A718F"/>
    <w:rsid w:val="001B1CDF"/>
    <w:rsid w:val="001B2752"/>
    <w:rsid w:val="001B30B5"/>
    <w:rsid w:val="001B4B58"/>
    <w:rsid w:val="001B6DD9"/>
    <w:rsid w:val="001B6FBF"/>
    <w:rsid w:val="001C17AF"/>
    <w:rsid w:val="001C438F"/>
    <w:rsid w:val="001C47B6"/>
    <w:rsid w:val="001C5155"/>
    <w:rsid w:val="001C59E6"/>
    <w:rsid w:val="001C5C17"/>
    <w:rsid w:val="001C6004"/>
    <w:rsid w:val="001C79DC"/>
    <w:rsid w:val="001D024E"/>
    <w:rsid w:val="001D0A76"/>
    <w:rsid w:val="001D15F2"/>
    <w:rsid w:val="001D36A8"/>
    <w:rsid w:val="001D47B7"/>
    <w:rsid w:val="001D481F"/>
    <w:rsid w:val="001D4CBD"/>
    <w:rsid w:val="001D5297"/>
    <w:rsid w:val="001D6E4D"/>
    <w:rsid w:val="001E2E55"/>
    <w:rsid w:val="001E4161"/>
    <w:rsid w:val="001E462D"/>
    <w:rsid w:val="001E4B26"/>
    <w:rsid w:val="001E6B3D"/>
    <w:rsid w:val="001E6E48"/>
    <w:rsid w:val="001E7E45"/>
    <w:rsid w:val="001F068A"/>
    <w:rsid w:val="001F0FB3"/>
    <w:rsid w:val="001F21F2"/>
    <w:rsid w:val="001F2238"/>
    <w:rsid w:val="001F4E83"/>
    <w:rsid w:val="001F637A"/>
    <w:rsid w:val="00201571"/>
    <w:rsid w:val="00201954"/>
    <w:rsid w:val="00203107"/>
    <w:rsid w:val="00203C50"/>
    <w:rsid w:val="00206B02"/>
    <w:rsid w:val="00206CC8"/>
    <w:rsid w:val="002102B8"/>
    <w:rsid w:val="00210379"/>
    <w:rsid w:val="00210750"/>
    <w:rsid w:val="002112DD"/>
    <w:rsid w:val="00212B45"/>
    <w:rsid w:val="0021358E"/>
    <w:rsid w:val="00213DE9"/>
    <w:rsid w:val="00213EC8"/>
    <w:rsid w:val="00214F82"/>
    <w:rsid w:val="00215233"/>
    <w:rsid w:val="00216E14"/>
    <w:rsid w:val="00217994"/>
    <w:rsid w:val="00220165"/>
    <w:rsid w:val="0022026B"/>
    <w:rsid w:val="0022091B"/>
    <w:rsid w:val="0022158F"/>
    <w:rsid w:val="00222063"/>
    <w:rsid w:val="00222310"/>
    <w:rsid w:val="00222D7E"/>
    <w:rsid w:val="00222F59"/>
    <w:rsid w:val="0023205A"/>
    <w:rsid w:val="002343B7"/>
    <w:rsid w:val="002374D1"/>
    <w:rsid w:val="00242B53"/>
    <w:rsid w:val="00242CB8"/>
    <w:rsid w:val="0024596B"/>
    <w:rsid w:val="00253836"/>
    <w:rsid w:val="00253D0C"/>
    <w:rsid w:val="002542F8"/>
    <w:rsid w:val="002546CF"/>
    <w:rsid w:val="00255D66"/>
    <w:rsid w:val="00257196"/>
    <w:rsid w:val="0025729E"/>
    <w:rsid w:val="00260EFA"/>
    <w:rsid w:val="00262E28"/>
    <w:rsid w:val="00267A8E"/>
    <w:rsid w:val="00271CF5"/>
    <w:rsid w:val="00272E80"/>
    <w:rsid w:val="00273154"/>
    <w:rsid w:val="00273D92"/>
    <w:rsid w:val="00274685"/>
    <w:rsid w:val="00275963"/>
    <w:rsid w:val="00275BEA"/>
    <w:rsid w:val="00275C65"/>
    <w:rsid w:val="00281820"/>
    <w:rsid w:val="00283E8C"/>
    <w:rsid w:val="002841DD"/>
    <w:rsid w:val="00286AA0"/>
    <w:rsid w:val="002907BC"/>
    <w:rsid w:val="00292425"/>
    <w:rsid w:val="002924A5"/>
    <w:rsid w:val="002948FB"/>
    <w:rsid w:val="0029490D"/>
    <w:rsid w:val="00295058"/>
    <w:rsid w:val="002A0148"/>
    <w:rsid w:val="002A133A"/>
    <w:rsid w:val="002A2CC9"/>
    <w:rsid w:val="002A3730"/>
    <w:rsid w:val="002A423F"/>
    <w:rsid w:val="002A4608"/>
    <w:rsid w:val="002A6A46"/>
    <w:rsid w:val="002B0E6E"/>
    <w:rsid w:val="002B250F"/>
    <w:rsid w:val="002B3F46"/>
    <w:rsid w:val="002B5B18"/>
    <w:rsid w:val="002B5B7D"/>
    <w:rsid w:val="002B68AE"/>
    <w:rsid w:val="002B6B23"/>
    <w:rsid w:val="002C0BD4"/>
    <w:rsid w:val="002C33D2"/>
    <w:rsid w:val="002C4A28"/>
    <w:rsid w:val="002C53B2"/>
    <w:rsid w:val="002C664E"/>
    <w:rsid w:val="002C7F40"/>
    <w:rsid w:val="002D005D"/>
    <w:rsid w:val="002D187F"/>
    <w:rsid w:val="002D1892"/>
    <w:rsid w:val="002D2517"/>
    <w:rsid w:val="002D42F5"/>
    <w:rsid w:val="002D6A6E"/>
    <w:rsid w:val="002D7220"/>
    <w:rsid w:val="002D7CF7"/>
    <w:rsid w:val="002E019F"/>
    <w:rsid w:val="002E075C"/>
    <w:rsid w:val="002E0C41"/>
    <w:rsid w:val="002E12B7"/>
    <w:rsid w:val="002E1A5C"/>
    <w:rsid w:val="002E1D0F"/>
    <w:rsid w:val="002E324C"/>
    <w:rsid w:val="002E3BF7"/>
    <w:rsid w:val="002E6296"/>
    <w:rsid w:val="002E7A80"/>
    <w:rsid w:val="002E7D2F"/>
    <w:rsid w:val="002E7F96"/>
    <w:rsid w:val="002F0CD9"/>
    <w:rsid w:val="002F0F1E"/>
    <w:rsid w:val="002F10CD"/>
    <w:rsid w:val="002F17EB"/>
    <w:rsid w:val="002F3338"/>
    <w:rsid w:val="002F3C3F"/>
    <w:rsid w:val="002F48D3"/>
    <w:rsid w:val="002F51C3"/>
    <w:rsid w:val="002F5A86"/>
    <w:rsid w:val="002F7645"/>
    <w:rsid w:val="002F77D0"/>
    <w:rsid w:val="002F786A"/>
    <w:rsid w:val="00303955"/>
    <w:rsid w:val="00305739"/>
    <w:rsid w:val="00305B4B"/>
    <w:rsid w:val="00306322"/>
    <w:rsid w:val="003063F7"/>
    <w:rsid w:val="00306C4D"/>
    <w:rsid w:val="003075DC"/>
    <w:rsid w:val="00313B55"/>
    <w:rsid w:val="00313E1B"/>
    <w:rsid w:val="00313E8B"/>
    <w:rsid w:val="00314C5A"/>
    <w:rsid w:val="0032054B"/>
    <w:rsid w:val="00320E1B"/>
    <w:rsid w:val="0032134C"/>
    <w:rsid w:val="00322460"/>
    <w:rsid w:val="00323EB1"/>
    <w:rsid w:val="0032420D"/>
    <w:rsid w:val="003257E6"/>
    <w:rsid w:val="0032668E"/>
    <w:rsid w:val="00326DA7"/>
    <w:rsid w:val="003277BA"/>
    <w:rsid w:val="003279EA"/>
    <w:rsid w:val="00327FE2"/>
    <w:rsid w:val="00331767"/>
    <w:rsid w:val="00335AC3"/>
    <w:rsid w:val="003364E2"/>
    <w:rsid w:val="00336EE2"/>
    <w:rsid w:val="00340BE7"/>
    <w:rsid w:val="00341BB0"/>
    <w:rsid w:val="00342A89"/>
    <w:rsid w:val="0034307C"/>
    <w:rsid w:val="00344524"/>
    <w:rsid w:val="00347235"/>
    <w:rsid w:val="00347BC2"/>
    <w:rsid w:val="00347C02"/>
    <w:rsid w:val="00350BF9"/>
    <w:rsid w:val="003513EC"/>
    <w:rsid w:val="0035297D"/>
    <w:rsid w:val="00356253"/>
    <w:rsid w:val="003566D2"/>
    <w:rsid w:val="00356B27"/>
    <w:rsid w:val="00356C90"/>
    <w:rsid w:val="00360F76"/>
    <w:rsid w:val="003616A2"/>
    <w:rsid w:val="00361945"/>
    <w:rsid w:val="00362001"/>
    <w:rsid w:val="00362210"/>
    <w:rsid w:val="0036414B"/>
    <w:rsid w:val="00365C66"/>
    <w:rsid w:val="003678E2"/>
    <w:rsid w:val="0037162F"/>
    <w:rsid w:val="0037216C"/>
    <w:rsid w:val="00374195"/>
    <w:rsid w:val="00374ABB"/>
    <w:rsid w:val="00375630"/>
    <w:rsid w:val="00376EE3"/>
    <w:rsid w:val="00377566"/>
    <w:rsid w:val="0038079C"/>
    <w:rsid w:val="00381AB0"/>
    <w:rsid w:val="003828FE"/>
    <w:rsid w:val="00383CF3"/>
    <w:rsid w:val="003841A1"/>
    <w:rsid w:val="003845A2"/>
    <w:rsid w:val="00386D63"/>
    <w:rsid w:val="00387CA1"/>
    <w:rsid w:val="00390563"/>
    <w:rsid w:val="003907C9"/>
    <w:rsid w:val="00390A66"/>
    <w:rsid w:val="00392274"/>
    <w:rsid w:val="00392279"/>
    <w:rsid w:val="0039287E"/>
    <w:rsid w:val="00392B22"/>
    <w:rsid w:val="003947B0"/>
    <w:rsid w:val="00394C6C"/>
    <w:rsid w:val="003957D2"/>
    <w:rsid w:val="003959D1"/>
    <w:rsid w:val="00395AAF"/>
    <w:rsid w:val="00397F86"/>
    <w:rsid w:val="003A139A"/>
    <w:rsid w:val="003A1D6B"/>
    <w:rsid w:val="003A2022"/>
    <w:rsid w:val="003A2326"/>
    <w:rsid w:val="003A5D88"/>
    <w:rsid w:val="003A67A5"/>
    <w:rsid w:val="003A6F5A"/>
    <w:rsid w:val="003B13E2"/>
    <w:rsid w:val="003B17DC"/>
    <w:rsid w:val="003B1FAD"/>
    <w:rsid w:val="003B4BEB"/>
    <w:rsid w:val="003B60A3"/>
    <w:rsid w:val="003B7608"/>
    <w:rsid w:val="003C05ED"/>
    <w:rsid w:val="003C0F84"/>
    <w:rsid w:val="003C3C9E"/>
    <w:rsid w:val="003C46DC"/>
    <w:rsid w:val="003C5402"/>
    <w:rsid w:val="003C6458"/>
    <w:rsid w:val="003C6F13"/>
    <w:rsid w:val="003C7798"/>
    <w:rsid w:val="003C7F6A"/>
    <w:rsid w:val="003D12BF"/>
    <w:rsid w:val="003D198D"/>
    <w:rsid w:val="003D2DB6"/>
    <w:rsid w:val="003D3356"/>
    <w:rsid w:val="003D4FC7"/>
    <w:rsid w:val="003D709A"/>
    <w:rsid w:val="003D7A6E"/>
    <w:rsid w:val="003E08E0"/>
    <w:rsid w:val="003E13A7"/>
    <w:rsid w:val="003E192B"/>
    <w:rsid w:val="003E2E79"/>
    <w:rsid w:val="003E43B1"/>
    <w:rsid w:val="003E50C7"/>
    <w:rsid w:val="003E62C9"/>
    <w:rsid w:val="003E639D"/>
    <w:rsid w:val="003E6657"/>
    <w:rsid w:val="003F0AA9"/>
    <w:rsid w:val="003F3D08"/>
    <w:rsid w:val="003F44D9"/>
    <w:rsid w:val="003F4809"/>
    <w:rsid w:val="003F4E2F"/>
    <w:rsid w:val="003F516B"/>
    <w:rsid w:val="003F5CEB"/>
    <w:rsid w:val="003F72BE"/>
    <w:rsid w:val="003F7C76"/>
    <w:rsid w:val="003F7FA6"/>
    <w:rsid w:val="004013CD"/>
    <w:rsid w:val="0040181E"/>
    <w:rsid w:val="00401A9B"/>
    <w:rsid w:val="00401C4D"/>
    <w:rsid w:val="00403453"/>
    <w:rsid w:val="00403734"/>
    <w:rsid w:val="00403D28"/>
    <w:rsid w:val="004070DF"/>
    <w:rsid w:val="0041139E"/>
    <w:rsid w:val="00411F0F"/>
    <w:rsid w:val="00412549"/>
    <w:rsid w:val="00412F5D"/>
    <w:rsid w:val="004151F8"/>
    <w:rsid w:val="00415490"/>
    <w:rsid w:val="004172DE"/>
    <w:rsid w:val="00417397"/>
    <w:rsid w:val="00420215"/>
    <w:rsid w:val="00420633"/>
    <w:rsid w:val="00420724"/>
    <w:rsid w:val="00420C03"/>
    <w:rsid w:val="00420F0C"/>
    <w:rsid w:val="00422CB2"/>
    <w:rsid w:val="004231EB"/>
    <w:rsid w:val="0043119A"/>
    <w:rsid w:val="00431619"/>
    <w:rsid w:val="004320BD"/>
    <w:rsid w:val="00432DBB"/>
    <w:rsid w:val="0043518C"/>
    <w:rsid w:val="004356A3"/>
    <w:rsid w:val="00436AB5"/>
    <w:rsid w:val="00436F34"/>
    <w:rsid w:val="00440415"/>
    <w:rsid w:val="0044167D"/>
    <w:rsid w:val="004424B9"/>
    <w:rsid w:val="00442AF1"/>
    <w:rsid w:val="00445B17"/>
    <w:rsid w:val="00446894"/>
    <w:rsid w:val="004512E3"/>
    <w:rsid w:val="0045202E"/>
    <w:rsid w:val="004574B9"/>
    <w:rsid w:val="00457645"/>
    <w:rsid w:val="004617F2"/>
    <w:rsid w:val="004625B1"/>
    <w:rsid w:val="00462844"/>
    <w:rsid w:val="00464A00"/>
    <w:rsid w:val="00464E8E"/>
    <w:rsid w:val="00466080"/>
    <w:rsid w:val="004676C4"/>
    <w:rsid w:val="00471598"/>
    <w:rsid w:val="004748EB"/>
    <w:rsid w:val="00474B3D"/>
    <w:rsid w:val="00475E9B"/>
    <w:rsid w:val="004761EA"/>
    <w:rsid w:val="00476253"/>
    <w:rsid w:val="004778CE"/>
    <w:rsid w:val="00477D7C"/>
    <w:rsid w:val="0048093E"/>
    <w:rsid w:val="0048118A"/>
    <w:rsid w:val="00481436"/>
    <w:rsid w:val="00481612"/>
    <w:rsid w:val="00481B2E"/>
    <w:rsid w:val="00482821"/>
    <w:rsid w:val="004849C1"/>
    <w:rsid w:val="00486886"/>
    <w:rsid w:val="00491BA2"/>
    <w:rsid w:val="0049636C"/>
    <w:rsid w:val="004975BE"/>
    <w:rsid w:val="004A1048"/>
    <w:rsid w:val="004A1423"/>
    <w:rsid w:val="004A1D76"/>
    <w:rsid w:val="004A40A4"/>
    <w:rsid w:val="004A4214"/>
    <w:rsid w:val="004A44B1"/>
    <w:rsid w:val="004A5E3A"/>
    <w:rsid w:val="004A6D92"/>
    <w:rsid w:val="004A7F97"/>
    <w:rsid w:val="004B2DDB"/>
    <w:rsid w:val="004B5270"/>
    <w:rsid w:val="004B59DC"/>
    <w:rsid w:val="004B64B6"/>
    <w:rsid w:val="004B7322"/>
    <w:rsid w:val="004C121E"/>
    <w:rsid w:val="004C20C7"/>
    <w:rsid w:val="004C6392"/>
    <w:rsid w:val="004C6F64"/>
    <w:rsid w:val="004C7F3C"/>
    <w:rsid w:val="004D0A2D"/>
    <w:rsid w:val="004D0A7A"/>
    <w:rsid w:val="004D3744"/>
    <w:rsid w:val="004D6440"/>
    <w:rsid w:val="004E10DA"/>
    <w:rsid w:val="004E1EB2"/>
    <w:rsid w:val="004E2873"/>
    <w:rsid w:val="004E4920"/>
    <w:rsid w:val="004E746C"/>
    <w:rsid w:val="004F3B60"/>
    <w:rsid w:val="004F4BE4"/>
    <w:rsid w:val="004F5C51"/>
    <w:rsid w:val="004F6FD1"/>
    <w:rsid w:val="004F7984"/>
    <w:rsid w:val="00504BAC"/>
    <w:rsid w:val="00504FE6"/>
    <w:rsid w:val="00510E93"/>
    <w:rsid w:val="0051246A"/>
    <w:rsid w:val="00513175"/>
    <w:rsid w:val="00513184"/>
    <w:rsid w:val="00516836"/>
    <w:rsid w:val="0052029E"/>
    <w:rsid w:val="00521FBF"/>
    <w:rsid w:val="00522A72"/>
    <w:rsid w:val="00522F32"/>
    <w:rsid w:val="0052332E"/>
    <w:rsid w:val="00523459"/>
    <w:rsid w:val="00523A1A"/>
    <w:rsid w:val="00523E53"/>
    <w:rsid w:val="00525116"/>
    <w:rsid w:val="00525B61"/>
    <w:rsid w:val="005262CF"/>
    <w:rsid w:val="00530F7C"/>
    <w:rsid w:val="005312C2"/>
    <w:rsid w:val="00531B24"/>
    <w:rsid w:val="00531C4E"/>
    <w:rsid w:val="00531EE5"/>
    <w:rsid w:val="005326F9"/>
    <w:rsid w:val="00532710"/>
    <w:rsid w:val="00532DC5"/>
    <w:rsid w:val="00533939"/>
    <w:rsid w:val="00533E90"/>
    <w:rsid w:val="00536FBE"/>
    <w:rsid w:val="0053766E"/>
    <w:rsid w:val="00537D90"/>
    <w:rsid w:val="0054010A"/>
    <w:rsid w:val="00544CA2"/>
    <w:rsid w:val="0054637F"/>
    <w:rsid w:val="00547448"/>
    <w:rsid w:val="00547B3A"/>
    <w:rsid w:val="005506B7"/>
    <w:rsid w:val="00552E6E"/>
    <w:rsid w:val="005534CF"/>
    <w:rsid w:val="00553DEF"/>
    <w:rsid w:val="005569B4"/>
    <w:rsid w:val="00557E15"/>
    <w:rsid w:val="00561A8F"/>
    <w:rsid w:val="0056242A"/>
    <w:rsid w:val="00563EAC"/>
    <w:rsid w:val="00565365"/>
    <w:rsid w:val="00565A0C"/>
    <w:rsid w:val="00567526"/>
    <w:rsid w:val="00567AF7"/>
    <w:rsid w:val="00571750"/>
    <w:rsid w:val="005723D6"/>
    <w:rsid w:val="00572875"/>
    <w:rsid w:val="0057478B"/>
    <w:rsid w:val="0057576C"/>
    <w:rsid w:val="0057661F"/>
    <w:rsid w:val="005801BD"/>
    <w:rsid w:val="00580D0A"/>
    <w:rsid w:val="00582ADF"/>
    <w:rsid w:val="0058305E"/>
    <w:rsid w:val="005869C5"/>
    <w:rsid w:val="00590E28"/>
    <w:rsid w:val="005921D4"/>
    <w:rsid w:val="005943EB"/>
    <w:rsid w:val="0059799F"/>
    <w:rsid w:val="005A0834"/>
    <w:rsid w:val="005A0FB4"/>
    <w:rsid w:val="005A1481"/>
    <w:rsid w:val="005A4501"/>
    <w:rsid w:val="005A5C42"/>
    <w:rsid w:val="005A6336"/>
    <w:rsid w:val="005B04F2"/>
    <w:rsid w:val="005B2D5F"/>
    <w:rsid w:val="005B3E30"/>
    <w:rsid w:val="005B47D9"/>
    <w:rsid w:val="005B6B0A"/>
    <w:rsid w:val="005C04E2"/>
    <w:rsid w:val="005C15F8"/>
    <w:rsid w:val="005C1AE6"/>
    <w:rsid w:val="005C23DA"/>
    <w:rsid w:val="005C4F33"/>
    <w:rsid w:val="005C53F5"/>
    <w:rsid w:val="005C55AB"/>
    <w:rsid w:val="005C571A"/>
    <w:rsid w:val="005D17FA"/>
    <w:rsid w:val="005D1B45"/>
    <w:rsid w:val="005D2805"/>
    <w:rsid w:val="005D39FD"/>
    <w:rsid w:val="005D67A8"/>
    <w:rsid w:val="005D68EB"/>
    <w:rsid w:val="005E010B"/>
    <w:rsid w:val="005E0739"/>
    <w:rsid w:val="005E1860"/>
    <w:rsid w:val="005E1B58"/>
    <w:rsid w:val="005E2497"/>
    <w:rsid w:val="005E34ED"/>
    <w:rsid w:val="005E5502"/>
    <w:rsid w:val="005E5AA2"/>
    <w:rsid w:val="005E5C13"/>
    <w:rsid w:val="005E6CDD"/>
    <w:rsid w:val="005E718E"/>
    <w:rsid w:val="005E7404"/>
    <w:rsid w:val="005F135C"/>
    <w:rsid w:val="005F1E84"/>
    <w:rsid w:val="005F21AE"/>
    <w:rsid w:val="005F2C87"/>
    <w:rsid w:val="005F3D02"/>
    <w:rsid w:val="005F3E06"/>
    <w:rsid w:val="005F63B6"/>
    <w:rsid w:val="00601443"/>
    <w:rsid w:val="006021E2"/>
    <w:rsid w:val="00602DDB"/>
    <w:rsid w:val="00604060"/>
    <w:rsid w:val="0060428B"/>
    <w:rsid w:val="00606044"/>
    <w:rsid w:val="00611324"/>
    <w:rsid w:val="0061169C"/>
    <w:rsid w:val="00611FD4"/>
    <w:rsid w:val="00613D6D"/>
    <w:rsid w:val="00614924"/>
    <w:rsid w:val="0061633C"/>
    <w:rsid w:val="006216DB"/>
    <w:rsid w:val="00621D17"/>
    <w:rsid w:val="00623280"/>
    <w:rsid w:val="0062501C"/>
    <w:rsid w:val="00625139"/>
    <w:rsid w:val="0062556C"/>
    <w:rsid w:val="00626AD0"/>
    <w:rsid w:val="00627DB0"/>
    <w:rsid w:val="0063176B"/>
    <w:rsid w:val="0063292D"/>
    <w:rsid w:val="0063363B"/>
    <w:rsid w:val="006365DC"/>
    <w:rsid w:val="00636828"/>
    <w:rsid w:val="00636FFD"/>
    <w:rsid w:val="00637589"/>
    <w:rsid w:val="006378BE"/>
    <w:rsid w:val="006401C1"/>
    <w:rsid w:val="00640D43"/>
    <w:rsid w:val="00641755"/>
    <w:rsid w:val="006418D3"/>
    <w:rsid w:val="00641DEB"/>
    <w:rsid w:val="00642A43"/>
    <w:rsid w:val="006436F1"/>
    <w:rsid w:val="00645866"/>
    <w:rsid w:val="00650922"/>
    <w:rsid w:val="006519D3"/>
    <w:rsid w:val="006555EC"/>
    <w:rsid w:val="00660B4B"/>
    <w:rsid w:val="0066156D"/>
    <w:rsid w:val="0066694F"/>
    <w:rsid w:val="006672BD"/>
    <w:rsid w:val="00670ABD"/>
    <w:rsid w:val="00671AA7"/>
    <w:rsid w:val="00674525"/>
    <w:rsid w:val="006753C5"/>
    <w:rsid w:val="00677C46"/>
    <w:rsid w:val="006810EF"/>
    <w:rsid w:val="00681F83"/>
    <w:rsid w:val="00684496"/>
    <w:rsid w:val="0068585E"/>
    <w:rsid w:val="00685E7A"/>
    <w:rsid w:val="006860DA"/>
    <w:rsid w:val="00687871"/>
    <w:rsid w:val="006878B9"/>
    <w:rsid w:val="00690393"/>
    <w:rsid w:val="006912CE"/>
    <w:rsid w:val="00692181"/>
    <w:rsid w:val="00692529"/>
    <w:rsid w:val="00692A30"/>
    <w:rsid w:val="00692EFE"/>
    <w:rsid w:val="00693618"/>
    <w:rsid w:val="006941E6"/>
    <w:rsid w:val="00696049"/>
    <w:rsid w:val="006968F1"/>
    <w:rsid w:val="00696DBB"/>
    <w:rsid w:val="006974CE"/>
    <w:rsid w:val="006A017F"/>
    <w:rsid w:val="006A0C17"/>
    <w:rsid w:val="006A17A0"/>
    <w:rsid w:val="006A3C37"/>
    <w:rsid w:val="006A546F"/>
    <w:rsid w:val="006A5A0C"/>
    <w:rsid w:val="006B0F97"/>
    <w:rsid w:val="006B1971"/>
    <w:rsid w:val="006B2B5E"/>
    <w:rsid w:val="006B4804"/>
    <w:rsid w:val="006B4C34"/>
    <w:rsid w:val="006B63D5"/>
    <w:rsid w:val="006C017E"/>
    <w:rsid w:val="006C05FC"/>
    <w:rsid w:val="006C0875"/>
    <w:rsid w:val="006C2AA5"/>
    <w:rsid w:val="006C3C53"/>
    <w:rsid w:val="006C578F"/>
    <w:rsid w:val="006C616D"/>
    <w:rsid w:val="006C71F6"/>
    <w:rsid w:val="006D1AB5"/>
    <w:rsid w:val="006D32B5"/>
    <w:rsid w:val="006D5B2F"/>
    <w:rsid w:val="006D6A46"/>
    <w:rsid w:val="006D7AD9"/>
    <w:rsid w:val="006E379C"/>
    <w:rsid w:val="006E3F4C"/>
    <w:rsid w:val="006E4465"/>
    <w:rsid w:val="006E4DE0"/>
    <w:rsid w:val="006E4E69"/>
    <w:rsid w:val="006E50F8"/>
    <w:rsid w:val="006E5D3A"/>
    <w:rsid w:val="006E66F7"/>
    <w:rsid w:val="006F1976"/>
    <w:rsid w:val="006F20F0"/>
    <w:rsid w:val="006F3334"/>
    <w:rsid w:val="006F3833"/>
    <w:rsid w:val="006F6A5D"/>
    <w:rsid w:val="00701E8D"/>
    <w:rsid w:val="00703A6A"/>
    <w:rsid w:val="00703D8B"/>
    <w:rsid w:val="0070438A"/>
    <w:rsid w:val="00704793"/>
    <w:rsid w:val="00705DA5"/>
    <w:rsid w:val="007075CD"/>
    <w:rsid w:val="007100ED"/>
    <w:rsid w:val="007128B6"/>
    <w:rsid w:val="0071435D"/>
    <w:rsid w:val="00715955"/>
    <w:rsid w:val="0071652E"/>
    <w:rsid w:val="00720442"/>
    <w:rsid w:val="00720DF4"/>
    <w:rsid w:val="007219B3"/>
    <w:rsid w:val="00725479"/>
    <w:rsid w:val="007263C0"/>
    <w:rsid w:val="00726CD9"/>
    <w:rsid w:val="00731B1B"/>
    <w:rsid w:val="00733894"/>
    <w:rsid w:val="00733FB4"/>
    <w:rsid w:val="007347EA"/>
    <w:rsid w:val="00735D47"/>
    <w:rsid w:val="00736613"/>
    <w:rsid w:val="00736EFD"/>
    <w:rsid w:val="00737943"/>
    <w:rsid w:val="00737C7B"/>
    <w:rsid w:val="0074086E"/>
    <w:rsid w:val="007411EF"/>
    <w:rsid w:val="00742EAC"/>
    <w:rsid w:val="00743930"/>
    <w:rsid w:val="00743F24"/>
    <w:rsid w:val="0074438D"/>
    <w:rsid w:val="007503B2"/>
    <w:rsid w:val="00750C78"/>
    <w:rsid w:val="00751C13"/>
    <w:rsid w:val="00751D25"/>
    <w:rsid w:val="007521DD"/>
    <w:rsid w:val="0075261B"/>
    <w:rsid w:val="00753138"/>
    <w:rsid w:val="007541F9"/>
    <w:rsid w:val="00754373"/>
    <w:rsid w:val="00754DFE"/>
    <w:rsid w:val="0075673F"/>
    <w:rsid w:val="00764744"/>
    <w:rsid w:val="007650EC"/>
    <w:rsid w:val="007653F8"/>
    <w:rsid w:val="007666EA"/>
    <w:rsid w:val="00770267"/>
    <w:rsid w:val="007750B5"/>
    <w:rsid w:val="007753B0"/>
    <w:rsid w:val="0077566F"/>
    <w:rsid w:val="00775CC8"/>
    <w:rsid w:val="00777AB7"/>
    <w:rsid w:val="00777F10"/>
    <w:rsid w:val="00777F38"/>
    <w:rsid w:val="00780DC3"/>
    <w:rsid w:val="00781CE7"/>
    <w:rsid w:val="007825A4"/>
    <w:rsid w:val="0078281D"/>
    <w:rsid w:val="00782E0D"/>
    <w:rsid w:val="007845D0"/>
    <w:rsid w:val="007865A8"/>
    <w:rsid w:val="00786E53"/>
    <w:rsid w:val="00790E12"/>
    <w:rsid w:val="0079135D"/>
    <w:rsid w:val="00791B24"/>
    <w:rsid w:val="00792730"/>
    <w:rsid w:val="0079389D"/>
    <w:rsid w:val="00794697"/>
    <w:rsid w:val="007955A4"/>
    <w:rsid w:val="0079743A"/>
    <w:rsid w:val="007A3C37"/>
    <w:rsid w:val="007A3CFE"/>
    <w:rsid w:val="007A63D0"/>
    <w:rsid w:val="007A658C"/>
    <w:rsid w:val="007A7A4F"/>
    <w:rsid w:val="007B1A80"/>
    <w:rsid w:val="007B1D93"/>
    <w:rsid w:val="007B1E5F"/>
    <w:rsid w:val="007B20E2"/>
    <w:rsid w:val="007B3CB2"/>
    <w:rsid w:val="007B4369"/>
    <w:rsid w:val="007B5C7E"/>
    <w:rsid w:val="007B6865"/>
    <w:rsid w:val="007C004D"/>
    <w:rsid w:val="007C1D69"/>
    <w:rsid w:val="007C36AA"/>
    <w:rsid w:val="007C3877"/>
    <w:rsid w:val="007C429E"/>
    <w:rsid w:val="007C52A4"/>
    <w:rsid w:val="007C53EC"/>
    <w:rsid w:val="007C53F4"/>
    <w:rsid w:val="007C79F9"/>
    <w:rsid w:val="007D0383"/>
    <w:rsid w:val="007D0D08"/>
    <w:rsid w:val="007D2A31"/>
    <w:rsid w:val="007D3ECF"/>
    <w:rsid w:val="007D4123"/>
    <w:rsid w:val="007D5624"/>
    <w:rsid w:val="007D69FB"/>
    <w:rsid w:val="007E0AC6"/>
    <w:rsid w:val="007E0DA5"/>
    <w:rsid w:val="007E10B1"/>
    <w:rsid w:val="007E2EEF"/>
    <w:rsid w:val="007E3EF8"/>
    <w:rsid w:val="007F0CD8"/>
    <w:rsid w:val="007F24A2"/>
    <w:rsid w:val="007F4973"/>
    <w:rsid w:val="007F54C8"/>
    <w:rsid w:val="007F5F97"/>
    <w:rsid w:val="007F5FA7"/>
    <w:rsid w:val="007F68B2"/>
    <w:rsid w:val="007F68E4"/>
    <w:rsid w:val="007F71AD"/>
    <w:rsid w:val="007F75F0"/>
    <w:rsid w:val="0080030C"/>
    <w:rsid w:val="00801763"/>
    <w:rsid w:val="00801BEF"/>
    <w:rsid w:val="008020E0"/>
    <w:rsid w:val="00803798"/>
    <w:rsid w:val="00805C9B"/>
    <w:rsid w:val="00805E37"/>
    <w:rsid w:val="008063C1"/>
    <w:rsid w:val="008065A5"/>
    <w:rsid w:val="0080689A"/>
    <w:rsid w:val="00807770"/>
    <w:rsid w:val="0081293B"/>
    <w:rsid w:val="00812D54"/>
    <w:rsid w:val="008136F8"/>
    <w:rsid w:val="008138AA"/>
    <w:rsid w:val="0081644F"/>
    <w:rsid w:val="00817D68"/>
    <w:rsid w:val="0082178F"/>
    <w:rsid w:val="00821B42"/>
    <w:rsid w:val="008305FD"/>
    <w:rsid w:val="008307A6"/>
    <w:rsid w:val="00831B51"/>
    <w:rsid w:val="0083768A"/>
    <w:rsid w:val="008424C7"/>
    <w:rsid w:val="008454D1"/>
    <w:rsid w:val="00845AB3"/>
    <w:rsid w:val="008474E1"/>
    <w:rsid w:val="00850860"/>
    <w:rsid w:val="00850D62"/>
    <w:rsid w:val="00850FCC"/>
    <w:rsid w:val="008517D6"/>
    <w:rsid w:val="00851E45"/>
    <w:rsid w:val="00852F09"/>
    <w:rsid w:val="008530D1"/>
    <w:rsid w:val="00853F47"/>
    <w:rsid w:val="00854836"/>
    <w:rsid w:val="00854A0E"/>
    <w:rsid w:val="0085581D"/>
    <w:rsid w:val="00855E69"/>
    <w:rsid w:val="0085705C"/>
    <w:rsid w:val="008611E2"/>
    <w:rsid w:val="0086225A"/>
    <w:rsid w:val="00863C00"/>
    <w:rsid w:val="00865569"/>
    <w:rsid w:val="00870176"/>
    <w:rsid w:val="00872D73"/>
    <w:rsid w:val="00872E97"/>
    <w:rsid w:val="00875BEC"/>
    <w:rsid w:val="00877545"/>
    <w:rsid w:val="008809FF"/>
    <w:rsid w:val="00883667"/>
    <w:rsid w:val="00884AEA"/>
    <w:rsid w:val="00886304"/>
    <w:rsid w:val="00886734"/>
    <w:rsid w:val="00887668"/>
    <w:rsid w:val="008912C3"/>
    <w:rsid w:val="00893ABA"/>
    <w:rsid w:val="008940D4"/>
    <w:rsid w:val="008949F3"/>
    <w:rsid w:val="00896C8A"/>
    <w:rsid w:val="00896FB4"/>
    <w:rsid w:val="008970E7"/>
    <w:rsid w:val="008A0328"/>
    <w:rsid w:val="008A083A"/>
    <w:rsid w:val="008A1ED8"/>
    <w:rsid w:val="008A20DD"/>
    <w:rsid w:val="008A2E85"/>
    <w:rsid w:val="008A3EF4"/>
    <w:rsid w:val="008A4A8C"/>
    <w:rsid w:val="008A6C80"/>
    <w:rsid w:val="008A75CB"/>
    <w:rsid w:val="008A7C50"/>
    <w:rsid w:val="008A7E35"/>
    <w:rsid w:val="008B04C3"/>
    <w:rsid w:val="008B39A2"/>
    <w:rsid w:val="008B449B"/>
    <w:rsid w:val="008B5545"/>
    <w:rsid w:val="008B71F9"/>
    <w:rsid w:val="008B770F"/>
    <w:rsid w:val="008C448A"/>
    <w:rsid w:val="008C7D0C"/>
    <w:rsid w:val="008D2063"/>
    <w:rsid w:val="008D2E01"/>
    <w:rsid w:val="008D4884"/>
    <w:rsid w:val="008D7447"/>
    <w:rsid w:val="008E3998"/>
    <w:rsid w:val="008E4959"/>
    <w:rsid w:val="008E5289"/>
    <w:rsid w:val="008E537D"/>
    <w:rsid w:val="008E75DB"/>
    <w:rsid w:val="008F63E0"/>
    <w:rsid w:val="008F7787"/>
    <w:rsid w:val="009013B3"/>
    <w:rsid w:val="00904718"/>
    <w:rsid w:val="009047F7"/>
    <w:rsid w:val="00904818"/>
    <w:rsid w:val="0090561F"/>
    <w:rsid w:val="00905E1E"/>
    <w:rsid w:val="00910BED"/>
    <w:rsid w:val="00913D4D"/>
    <w:rsid w:val="00915413"/>
    <w:rsid w:val="00923ABB"/>
    <w:rsid w:val="00924170"/>
    <w:rsid w:val="00924427"/>
    <w:rsid w:val="00924B0B"/>
    <w:rsid w:val="009252AE"/>
    <w:rsid w:val="00925864"/>
    <w:rsid w:val="009270BE"/>
    <w:rsid w:val="009277D5"/>
    <w:rsid w:val="00930625"/>
    <w:rsid w:val="0093250B"/>
    <w:rsid w:val="00933A1A"/>
    <w:rsid w:val="00934761"/>
    <w:rsid w:val="00935695"/>
    <w:rsid w:val="009365AE"/>
    <w:rsid w:val="009411F0"/>
    <w:rsid w:val="009424E4"/>
    <w:rsid w:val="0094434A"/>
    <w:rsid w:val="0094619D"/>
    <w:rsid w:val="0094629A"/>
    <w:rsid w:val="009473FD"/>
    <w:rsid w:val="00947FAD"/>
    <w:rsid w:val="00950227"/>
    <w:rsid w:val="00952789"/>
    <w:rsid w:val="009546DA"/>
    <w:rsid w:val="00954D78"/>
    <w:rsid w:val="00954FC7"/>
    <w:rsid w:val="00955D22"/>
    <w:rsid w:val="00956524"/>
    <w:rsid w:val="00960B3F"/>
    <w:rsid w:val="00960CAB"/>
    <w:rsid w:val="00960E9D"/>
    <w:rsid w:val="00961279"/>
    <w:rsid w:val="00961F5A"/>
    <w:rsid w:val="00962446"/>
    <w:rsid w:val="00963416"/>
    <w:rsid w:val="00963779"/>
    <w:rsid w:val="00965C9E"/>
    <w:rsid w:val="00965E4A"/>
    <w:rsid w:val="00966A1D"/>
    <w:rsid w:val="00966B4B"/>
    <w:rsid w:val="00970208"/>
    <w:rsid w:val="00972A47"/>
    <w:rsid w:val="00972CD0"/>
    <w:rsid w:val="009739EA"/>
    <w:rsid w:val="00973A40"/>
    <w:rsid w:val="009754B3"/>
    <w:rsid w:val="00975942"/>
    <w:rsid w:val="00977B14"/>
    <w:rsid w:val="00977FB3"/>
    <w:rsid w:val="00981DCE"/>
    <w:rsid w:val="009823FF"/>
    <w:rsid w:val="00982D9A"/>
    <w:rsid w:val="00985A21"/>
    <w:rsid w:val="00987136"/>
    <w:rsid w:val="00991F2A"/>
    <w:rsid w:val="009951D1"/>
    <w:rsid w:val="00995FEA"/>
    <w:rsid w:val="009961DA"/>
    <w:rsid w:val="009961E1"/>
    <w:rsid w:val="009A0A0B"/>
    <w:rsid w:val="009A1E41"/>
    <w:rsid w:val="009A2928"/>
    <w:rsid w:val="009A2C41"/>
    <w:rsid w:val="009A2CAF"/>
    <w:rsid w:val="009A3749"/>
    <w:rsid w:val="009A5560"/>
    <w:rsid w:val="009A6C8F"/>
    <w:rsid w:val="009B17B7"/>
    <w:rsid w:val="009B19AD"/>
    <w:rsid w:val="009B2767"/>
    <w:rsid w:val="009B44EF"/>
    <w:rsid w:val="009B49D0"/>
    <w:rsid w:val="009B4AE3"/>
    <w:rsid w:val="009B4B0F"/>
    <w:rsid w:val="009B4DDB"/>
    <w:rsid w:val="009B4F9C"/>
    <w:rsid w:val="009B6098"/>
    <w:rsid w:val="009C0978"/>
    <w:rsid w:val="009C2BA4"/>
    <w:rsid w:val="009C3FF4"/>
    <w:rsid w:val="009D0117"/>
    <w:rsid w:val="009D3767"/>
    <w:rsid w:val="009D474C"/>
    <w:rsid w:val="009D6798"/>
    <w:rsid w:val="009D6CC7"/>
    <w:rsid w:val="009D70A1"/>
    <w:rsid w:val="009E011C"/>
    <w:rsid w:val="009E1D53"/>
    <w:rsid w:val="009E2F90"/>
    <w:rsid w:val="009E4379"/>
    <w:rsid w:val="009E463A"/>
    <w:rsid w:val="009E577E"/>
    <w:rsid w:val="009F0622"/>
    <w:rsid w:val="009F0BCC"/>
    <w:rsid w:val="009F2307"/>
    <w:rsid w:val="009F326A"/>
    <w:rsid w:val="009F47BB"/>
    <w:rsid w:val="009F6321"/>
    <w:rsid w:val="009F6F2A"/>
    <w:rsid w:val="009F7FF6"/>
    <w:rsid w:val="00A0087B"/>
    <w:rsid w:val="00A028EE"/>
    <w:rsid w:val="00A02BFB"/>
    <w:rsid w:val="00A040CD"/>
    <w:rsid w:val="00A04874"/>
    <w:rsid w:val="00A04B97"/>
    <w:rsid w:val="00A05A95"/>
    <w:rsid w:val="00A07CBE"/>
    <w:rsid w:val="00A10E4F"/>
    <w:rsid w:val="00A11467"/>
    <w:rsid w:val="00A12109"/>
    <w:rsid w:val="00A12642"/>
    <w:rsid w:val="00A12836"/>
    <w:rsid w:val="00A12D3D"/>
    <w:rsid w:val="00A1348C"/>
    <w:rsid w:val="00A15A28"/>
    <w:rsid w:val="00A16772"/>
    <w:rsid w:val="00A16CD0"/>
    <w:rsid w:val="00A2267B"/>
    <w:rsid w:val="00A234C8"/>
    <w:rsid w:val="00A262BA"/>
    <w:rsid w:val="00A27482"/>
    <w:rsid w:val="00A27DFA"/>
    <w:rsid w:val="00A30B8F"/>
    <w:rsid w:val="00A30D4D"/>
    <w:rsid w:val="00A317FA"/>
    <w:rsid w:val="00A333CE"/>
    <w:rsid w:val="00A33D35"/>
    <w:rsid w:val="00A344E2"/>
    <w:rsid w:val="00A34AFA"/>
    <w:rsid w:val="00A3605D"/>
    <w:rsid w:val="00A36935"/>
    <w:rsid w:val="00A36FAF"/>
    <w:rsid w:val="00A37D73"/>
    <w:rsid w:val="00A40767"/>
    <w:rsid w:val="00A40A48"/>
    <w:rsid w:val="00A40DE4"/>
    <w:rsid w:val="00A40FE8"/>
    <w:rsid w:val="00A42275"/>
    <w:rsid w:val="00A43D98"/>
    <w:rsid w:val="00A4561E"/>
    <w:rsid w:val="00A46D20"/>
    <w:rsid w:val="00A474FD"/>
    <w:rsid w:val="00A50B96"/>
    <w:rsid w:val="00A51442"/>
    <w:rsid w:val="00A52FA9"/>
    <w:rsid w:val="00A53791"/>
    <w:rsid w:val="00A544E7"/>
    <w:rsid w:val="00A54574"/>
    <w:rsid w:val="00A54588"/>
    <w:rsid w:val="00A54BB9"/>
    <w:rsid w:val="00A55805"/>
    <w:rsid w:val="00A568C0"/>
    <w:rsid w:val="00A5742D"/>
    <w:rsid w:val="00A57481"/>
    <w:rsid w:val="00A57B1F"/>
    <w:rsid w:val="00A57CC4"/>
    <w:rsid w:val="00A60F39"/>
    <w:rsid w:val="00A61372"/>
    <w:rsid w:val="00A62D36"/>
    <w:rsid w:val="00A63025"/>
    <w:rsid w:val="00A63A3D"/>
    <w:rsid w:val="00A63F6E"/>
    <w:rsid w:val="00A643B8"/>
    <w:rsid w:val="00A64896"/>
    <w:rsid w:val="00A64A17"/>
    <w:rsid w:val="00A673D4"/>
    <w:rsid w:val="00A67974"/>
    <w:rsid w:val="00A67CED"/>
    <w:rsid w:val="00A67F61"/>
    <w:rsid w:val="00A7024B"/>
    <w:rsid w:val="00A73993"/>
    <w:rsid w:val="00A7466A"/>
    <w:rsid w:val="00A75422"/>
    <w:rsid w:val="00A75E84"/>
    <w:rsid w:val="00A76BF9"/>
    <w:rsid w:val="00A76C3B"/>
    <w:rsid w:val="00A77117"/>
    <w:rsid w:val="00A80371"/>
    <w:rsid w:val="00A81D08"/>
    <w:rsid w:val="00A823CF"/>
    <w:rsid w:val="00A83CBC"/>
    <w:rsid w:val="00A8437E"/>
    <w:rsid w:val="00A8446E"/>
    <w:rsid w:val="00A85444"/>
    <w:rsid w:val="00A85D8D"/>
    <w:rsid w:val="00A86C36"/>
    <w:rsid w:val="00A87E19"/>
    <w:rsid w:val="00A924F1"/>
    <w:rsid w:val="00A931CC"/>
    <w:rsid w:val="00A94E30"/>
    <w:rsid w:val="00A950DF"/>
    <w:rsid w:val="00A972A7"/>
    <w:rsid w:val="00AA0AA9"/>
    <w:rsid w:val="00AA19A6"/>
    <w:rsid w:val="00AA289A"/>
    <w:rsid w:val="00AA3DBD"/>
    <w:rsid w:val="00AA60F6"/>
    <w:rsid w:val="00AA6F0F"/>
    <w:rsid w:val="00AB1460"/>
    <w:rsid w:val="00AB1659"/>
    <w:rsid w:val="00AB2C3D"/>
    <w:rsid w:val="00AB37BA"/>
    <w:rsid w:val="00AB3B53"/>
    <w:rsid w:val="00AB4878"/>
    <w:rsid w:val="00AB49C1"/>
    <w:rsid w:val="00AB5D38"/>
    <w:rsid w:val="00AB752F"/>
    <w:rsid w:val="00AC065C"/>
    <w:rsid w:val="00AC35E5"/>
    <w:rsid w:val="00AC3CDD"/>
    <w:rsid w:val="00AC555F"/>
    <w:rsid w:val="00AC65AC"/>
    <w:rsid w:val="00AD1108"/>
    <w:rsid w:val="00AD1655"/>
    <w:rsid w:val="00AD3DDC"/>
    <w:rsid w:val="00AD49E8"/>
    <w:rsid w:val="00AD5B63"/>
    <w:rsid w:val="00AD6553"/>
    <w:rsid w:val="00AD66F6"/>
    <w:rsid w:val="00AD707C"/>
    <w:rsid w:val="00AD70D7"/>
    <w:rsid w:val="00AD7112"/>
    <w:rsid w:val="00AD7B95"/>
    <w:rsid w:val="00AD7FD6"/>
    <w:rsid w:val="00AE0563"/>
    <w:rsid w:val="00AE2743"/>
    <w:rsid w:val="00AE295A"/>
    <w:rsid w:val="00AE3B57"/>
    <w:rsid w:val="00AE5F1C"/>
    <w:rsid w:val="00AE6D33"/>
    <w:rsid w:val="00AE74CA"/>
    <w:rsid w:val="00AE7563"/>
    <w:rsid w:val="00AF0C54"/>
    <w:rsid w:val="00AF1DD9"/>
    <w:rsid w:val="00AF244C"/>
    <w:rsid w:val="00AF365D"/>
    <w:rsid w:val="00AF5ADC"/>
    <w:rsid w:val="00B01356"/>
    <w:rsid w:val="00B01A6B"/>
    <w:rsid w:val="00B01C04"/>
    <w:rsid w:val="00B01E79"/>
    <w:rsid w:val="00B01F92"/>
    <w:rsid w:val="00B01F95"/>
    <w:rsid w:val="00B04543"/>
    <w:rsid w:val="00B05CAC"/>
    <w:rsid w:val="00B062FD"/>
    <w:rsid w:val="00B0774B"/>
    <w:rsid w:val="00B07F10"/>
    <w:rsid w:val="00B10C34"/>
    <w:rsid w:val="00B12325"/>
    <w:rsid w:val="00B12D86"/>
    <w:rsid w:val="00B12F12"/>
    <w:rsid w:val="00B13D34"/>
    <w:rsid w:val="00B149AA"/>
    <w:rsid w:val="00B14D64"/>
    <w:rsid w:val="00B16473"/>
    <w:rsid w:val="00B16FBF"/>
    <w:rsid w:val="00B170CE"/>
    <w:rsid w:val="00B176AC"/>
    <w:rsid w:val="00B20957"/>
    <w:rsid w:val="00B20E15"/>
    <w:rsid w:val="00B22CAB"/>
    <w:rsid w:val="00B23042"/>
    <w:rsid w:val="00B231C8"/>
    <w:rsid w:val="00B23820"/>
    <w:rsid w:val="00B24B8D"/>
    <w:rsid w:val="00B24BD7"/>
    <w:rsid w:val="00B24DA2"/>
    <w:rsid w:val="00B25417"/>
    <w:rsid w:val="00B25C8C"/>
    <w:rsid w:val="00B30C54"/>
    <w:rsid w:val="00B30CAA"/>
    <w:rsid w:val="00B30D13"/>
    <w:rsid w:val="00B31C22"/>
    <w:rsid w:val="00B337D9"/>
    <w:rsid w:val="00B337F3"/>
    <w:rsid w:val="00B35055"/>
    <w:rsid w:val="00B360DC"/>
    <w:rsid w:val="00B366B7"/>
    <w:rsid w:val="00B37E10"/>
    <w:rsid w:val="00B40067"/>
    <w:rsid w:val="00B40BC9"/>
    <w:rsid w:val="00B412A0"/>
    <w:rsid w:val="00B41F85"/>
    <w:rsid w:val="00B42D9E"/>
    <w:rsid w:val="00B4531B"/>
    <w:rsid w:val="00B46934"/>
    <w:rsid w:val="00B473F5"/>
    <w:rsid w:val="00B47C45"/>
    <w:rsid w:val="00B51777"/>
    <w:rsid w:val="00B51E6F"/>
    <w:rsid w:val="00B52F91"/>
    <w:rsid w:val="00B53BBE"/>
    <w:rsid w:val="00B5402F"/>
    <w:rsid w:val="00B545C6"/>
    <w:rsid w:val="00B56AD0"/>
    <w:rsid w:val="00B572C1"/>
    <w:rsid w:val="00B5749D"/>
    <w:rsid w:val="00B60175"/>
    <w:rsid w:val="00B6038F"/>
    <w:rsid w:val="00B60723"/>
    <w:rsid w:val="00B60AEC"/>
    <w:rsid w:val="00B618B3"/>
    <w:rsid w:val="00B622F0"/>
    <w:rsid w:val="00B62E23"/>
    <w:rsid w:val="00B677D1"/>
    <w:rsid w:val="00B67B84"/>
    <w:rsid w:val="00B71D94"/>
    <w:rsid w:val="00B7204C"/>
    <w:rsid w:val="00B72497"/>
    <w:rsid w:val="00B73B0D"/>
    <w:rsid w:val="00B7659A"/>
    <w:rsid w:val="00B80137"/>
    <w:rsid w:val="00B80D46"/>
    <w:rsid w:val="00B8154D"/>
    <w:rsid w:val="00B81781"/>
    <w:rsid w:val="00B82529"/>
    <w:rsid w:val="00B830F2"/>
    <w:rsid w:val="00B84B75"/>
    <w:rsid w:val="00B84C82"/>
    <w:rsid w:val="00B85B16"/>
    <w:rsid w:val="00B85ED9"/>
    <w:rsid w:val="00B90446"/>
    <w:rsid w:val="00B94E5F"/>
    <w:rsid w:val="00B973DC"/>
    <w:rsid w:val="00BA0242"/>
    <w:rsid w:val="00BA2309"/>
    <w:rsid w:val="00BA549C"/>
    <w:rsid w:val="00BA5CFE"/>
    <w:rsid w:val="00BA5E1C"/>
    <w:rsid w:val="00BB156C"/>
    <w:rsid w:val="00BB28E7"/>
    <w:rsid w:val="00BB3483"/>
    <w:rsid w:val="00BB4187"/>
    <w:rsid w:val="00BB59C7"/>
    <w:rsid w:val="00BB5E59"/>
    <w:rsid w:val="00BB638E"/>
    <w:rsid w:val="00BC0856"/>
    <w:rsid w:val="00BC0ECE"/>
    <w:rsid w:val="00BC1A46"/>
    <w:rsid w:val="00BC1DB7"/>
    <w:rsid w:val="00BC22EE"/>
    <w:rsid w:val="00BC2581"/>
    <w:rsid w:val="00BC3A82"/>
    <w:rsid w:val="00BC4384"/>
    <w:rsid w:val="00BC5FC9"/>
    <w:rsid w:val="00BC6D99"/>
    <w:rsid w:val="00BC7025"/>
    <w:rsid w:val="00BC771C"/>
    <w:rsid w:val="00BC7755"/>
    <w:rsid w:val="00BC7C84"/>
    <w:rsid w:val="00BD152D"/>
    <w:rsid w:val="00BD1DD9"/>
    <w:rsid w:val="00BD2D21"/>
    <w:rsid w:val="00BD3AF6"/>
    <w:rsid w:val="00BD6343"/>
    <w:rsid w:val="00BD78DE"/>
    <w:rsid w:val="00BE0057"/>
    <w:rsid w:val="00BE335F"/>
    <w:rsid w:val="00BE3D7E"/>
    <w:rsid w:val="00BE53CF"/>
    <w:rsid w:val="00BE5981"/>
    <w:rsid w:val="00BE7459"/>
    <w:rsid w:val="00BE76E5"/>
    <w:rsid w:val="00BF0249"/>
    <w:rsid w:val="00BF082F"/>
    <w:rsid w:val="00BF0946"/>
    <w:rsid w:val="00BF1CF9"/>
    <w:rsid w:val="00BF251C"/>
    <w:rsid w:val="00BF2E33"/>
    <w:rsid w:val="00BF3FF4"/>
    <w:rsid w:val="00BF4BA4"/>
    <w:rsid w:val="00BF5F06"/>
    <w:rsid w:val="00BF629D"/>
    <w:rsid w:val="00BF7159"/>
    <w:rsid w:val="00BF7256"/>
    <w:rsid w:val="00C00114"/>
    <w:rsid w:val="00C002F9"/>
    <w:rsid w:val="00C007C8"/>
    <w:rsid w:val="00C01120"/>
    <w:rsid w:val="00C0193C"/>
    <w:rsid w:val="00C041D1"/>
    <w:rsid w:val="00C045C8"/>
    <w:rsid w:val="00C0460E"/>
    <w:rsid w:val="00C04ADC"/>
    <w:rsid w:val="00C06732"/>
    <w:rsid w:val="00C06BA4"/>
    <w:rsid w:val="00C114AC"/>
    <w:rsid w:val="00C145FA"/>
    <w:rsid w:val="00C14931"/>
    <w:rsid w:val="00C16BB1"/>
    <w:rsid w:val="00C174AE"/>
    <w:rsid w:val="00C20811"/>
    <w:rsid w:val="00C22B6E"/>
    <w:rsid w:val="00C23021"/>
    <w:rsid w:val="00C23408"/>
    <w:rsid w:val="00C238EF"/>
    <w:rsid w:val="00C239EB"/>
    <w:rsid w:val="00C23C1C"/>
    <w:rsid w:val="00C26663"/>
    <w:rsid w:val="00C3000C"/>
    <w:rsid w:val="00C327DE"/>
    <w:rsid w:val="00C32CE0"/>
    <w:rsid w:val="00C32FAF"/>
    <w:rsid w:val="00C333C1"/>
    <w:rsid w:val="00C4028C"/>
    <w:rsid w:val="00C4033D"/>
    <w:rsid w:val="00C4144A"/>
    <w:rsid w:val="00C42CFF"/>
    <w:rsid w:val="00C430D0"/>
    <w:rsid w:val="00C45834"/>
    <w:rsid w:val="00C467C8"/>
    <w:rsid w:val="00C47594"/>
    <w:rsid w:val="00C475B1"/>
    <w:rsid w:val="00C477FE"/>
    <w:rsid w:val="00C51255"/>
    <w:rsid w:val="00C5388E"/>
    <w:rsid w:val="00C5407D"/>
    <w:rsid w:val="00C54A9E"/>
    <w:rsid w:val="00C55314"/>
    <w:rsid w:val="00C575D1"/>
    <w:rsid w:val="00C5769B"/>
    <w:rsid w:val="00C5780C"/>
    <w:rsid w:val="00C57A1F"/>
    <w:rsid w:val="00C611DE"/>
    <w:rsid w:val="00C61396"/>
    <w:rsid w:val="00C61844"/>
    <w:rsid w:val="00C623CD"/>
    <w:rsid w:val="00C635FF"/>
    <w:rsid w:val="00C70E1D"/>
    <w:rsid w:val="00C71E2A"/>
    <w:rsid w:val="00C72975"/>
    <w:rsid w:val="00C74528"/>
    <w:rsid w:val="00C74CA7"/>
    <w:rsid w:val="00C75521"/>
    <w:rsid w:val="00C76445"/>
    <w:rsid w:val="00C76604"/>
    <w:rsid w:val="00C7745F"/>
    <w:rsid w:val="00C775D0"/>
    <w:rsid w:val="00C779FD"/>
    <w:rsid w:val="00C816AE"/>
    <w:rsid w:val="00C834D8"/>
    <w:rsid w:val="00C83B74"/>
    <w:rsid w:val="00C851E3"/>
    <w:rsid w:val="00C85602"/>
    <w:rsid w:val="00C86B3A"/>
    <w:rsid w:val="00C86EA7"/>
    <w:rsid w:val="00C879D8"/>
    <w:rsid w:val="00C93AB0"/>
    <w:rsid w:val="00C96812"/>
    <w:rsid w:val="00C96E9A"/>
    <w:rsid w:val="00C9702A"/>
    <w:rsid w:val="00CA0E6B"/>
    <w:rsid w:val="00CA1A99"/>
    <w:rsid w:val="00CA2779"/>
    <w:rsid w:val="00CA5761"/>
    <w:rsid w:val="00CA6A00"/>
    <w:rsid w:val="00CA77B3"/>
    <w:rsid w:val="00CB11EB"/>
    <w:rsid w:val="00CB4A4D"/>
    <w:rsid w:val="00CB5FA6"/>
    <w:rsid w:val="00CB60DA"/>
    <w:rsid w:val="00CB6958"/>
    <w:rsid w:val="00CB6DC4"/>
    <w:rsid w:val="00CB6F3B"/>
    <w:rsid w:val="00CB73B4"/>
    <w:rsid w:val="00CC0FD5"/>
    <w:rsid w:val="00CC349F"/>
    <w:rsid w:val="00CC3BAC"/>
    <w:rsid w:val="00CC4729"/>
    <w:rsid w:val="00CC6F28"/>
    <w:rsid w:val="00CC7004"/>
    <w:rsid w:val="00CD2265"/>
    <w:rsid w:val="00CD52A1"/>
    <w:rsid w:val="00CD61EC"/>
    <w:rsid w:val="00CD643C"/>
    <w:rsid w:val="00CD770C"/>
    <w:rsid w:val="00CE03FA"/>
    <w:rsid w:val="00CE1643"/>
    <w:rsid w:val="00CE2C34"/>
    <w:rsid w:val="00CE3802"/>
    <w:rsid w:val="00CE40DA"/>
    <w:rsid w:val="00CE40FB"/>
    <w:rsid w:val="00CE425C"/>
    <w:rsid w:val="00CE5201"/>
    <w:rsid w:val="00CE7988"/>
    <w:rsid w:val="00CF0B5E"/>
    <w:rsid w:val="00CF33FD"/>
    <w:rsid w:val="00CF514D"/>
    <w:rsid w:val="00D02D70"/>
    <w:rsid w:val="00D03E54"/>
    <w:rsid w:val="00D10195"/>
    <w:rsid w:val="00D110D5"/>
    <w:rsid w:val="00D11443"/>
    <w:rsid w:val="00D1220B"/>
    <w:rsid w:val="00D12FD1"/>
    <w:rsid w:val="00D15054"/>
    <w:rsid w:val="00D15397"/>
    <w:rsid w:val="00D17896"/>
    <w:rsid w:val="00D200AF"/>
    <w:rsid w:val="00D20C04"/>
    <w:rsid w:val="00D213BD"/>
    <w:rsid w:val="00D219E4"/>
    <w:rsid w:val="00D22B92"/>
    <w:rsid w:val="00D24CE4"/>
    <w:rsid w:val="00D26077"/>
    <w:rsid w:val="00D27436"/>
    <w:rsid w:val="00D27AC1"/>
    <w:rsid w:val="00D3064C"/>
    <w:rsid w:val="00D3267C"/>
    <w:rsid w:val="00D33455"/>
    <w:rsid w:val="00D33F1D"/>
    <w:rsid w:val="00D37689"/>
    <w:rsid w:val="00D41B7B"/>
    <w:rsid w:val="00D41CFB"/>
    <w:rsid w:val="00D4210D"/>
    <w:rsid w:val="00D44DA6"/>
    <w:rsid w:val="00D46D5E"/>
    <w:rsid w:val="00D47B8F"/>
    <w:rsid w:val="00D50D24"/>
    <w:rsid w:val="00D5190C"/>
    <w:rsid w:val="00D519A4"/>
    <w:rsid w:val="00D53836"/>
    <w:rsid w:val="00D54B27"/>
    <w:rsid w:val="00D57EAA"/>
    <w:rsid w:val="00D60D90"/>
    <w:rsid w:val="00D610BC"/>
    <w:rsid w:val="00D6124D"/>
    <w:rsid w:val="00D627AE"/>
    <w:rsid w:val="00D666B6"/>
    <w:rsid w:val="00D66AF4"/>
    <w:rsid w:val="00D71B22"/>
    <w:rsid w:val="00D74646"/>
    <w:rsid w:val="00D7594D"/>
    <w:rsid w:val="00D772C1"/>
    <w:rsid w:val="00D77515"/>
    <w:rsid w:val="00D81ED3"/>
    <w:rsid w:val="00D8214B"/>
    <w:rsid w:val="00D821C4"/>
    <w:rsid w:val="00D850FD"/>
    <w:rsid w:val="00D87B7D"/>
    <w:rsid w:val="00D87E32"/>
    <w:rsid w:val="00D91F7B"/>
    <w:rsid w:val="00D94053"/>
    <w:rsid w:val="00D94F01"/>
    <w:rsid w:val="00D96E0F"/>
    <w:rsid w:val="00D97467"/>
    <w:rsid w:val="00DA010A"/>
    <w:rsid w:val="00DA1F23"/>
    <w:rsid w:val="00DA30FD"/>
    <w:rsid w:val="00DA4AA6"/>
    <w:rsid w:val="00DA58E0"/>
    <w:rsid w:val="00DA72F1"/>
    <w:rsid w:val="00DB14F8"/>
    <w:rsid w:val="00DB452F"/>
    <w:rsid w:val="00DB4C29"/>
    <w:rsid w:val="00DB6BD6"/>
    <w:rsid w:val="00DC0DD5"/>
    <w:rsid w:val="00DC2A4F"/>
    <w:rsid w:val="00DC2E3F"/>
    <w:rsid w:val="00DC538C"/>
    <w:rsid w:val="00DC5528"/>
    <w:rsid w:val="00DD2719"/>
    <w:rsid w:val="00DD2BAD"/>
    <w:rsid w:val="00DD54A0"/>
    <w:rsid w:val="00DD563A"/>
    <w:rsid w:val="00DD59AC"/>
    <w:rsid w:val="00DD6B8E"/>
    <w:rsid w:val="00DD71F4"/>
    <w:rsid w:val="00DE1663"/>
    <w:rsid w:val="00DE1954"/>
    <w:rsid w:val="00DE7186"/>
    <w:rsid w:val="00DF00B2"/>
    <w:rsid w:val="00DF23B3"/>
    <w:rsid w:val="00DF3805"/>
    <w:rsid w:val="00DF3E7F"/>
    <w:rsid w:val="00DF4972"/>
    <w:rsid w:val="00DF594E"/>
    <w:rsid w:val="00DF5D1A"/>
    <w:rsid w:val="00DF660C"/>
    <w:rsid w:val="00DF6794"/>
    <w:rsid w:val="00DF68C2"/>
    <w:rsid w:val="00E000B2"/>
    <w:rsid w:val="00E008DB"/>
    <w:rsid w:val="00E00AD2"/>
    <w:rsid w:val="00E021A4"/>
    <w:rsid w:val="00E02516"/>
    <w:rsid w:val="00E02519"/>
    <w:rsid w:val="00E03A8C"/>
    <w:rsid w:val="00E05F54"/>
    <w:rsid w:val="00E07D06"/>
    <w:rsid w:val="00E07D5E"/>
    <w:rsid w:val="00E07DBB"/>
    <w:rsid w:val="00E106AA"/>
    <w:rsid w:val="00E10FAA"/>
    <w:rsid w:val="00E1209A"/>
    <w:rsid w:val="00E13523"/>
    <w:rsid w:val="00E136AC"/>
    <w:rsid w:val="00E13762"/>
    <w:rsid w:val="00E14EF1"/>
    <w:rsid w:val="00E1672C"/>
    <w:rsid w:val="00E16D59"/>
    <w:rsid w:val="00E218EE"/>
    <w:rsid w:val="00E228E3"/>
    <w:rsid w:val="00E22AD5"/>
    <w:rsid w:val="00E22EF5"/>
    <w:rsid w:val="00E22FB6"/>
    <w:rsid w:val="00E25E95"/>
    <w:rsid w:val="00E261CF"/>
    <w:rsid w:val="00E30D39"/>
    <w:rsid w:val="00E32382"/>
    <w:rsid w:val="00E32840"/>
    <w:rsid w:val="00E33246"/>
    <w:rsid w:val="00E33AD4"/>
    <w:rsid w:val="00E353F3"/>
    <w:rsid w:val="00E35E5F"/>
    <w:rsid w:val="00E35F01"/>
    <w:rsid w:val="00E36B38"/>
    <w:rsid w:val="00E36CE4"/>
    <w:rsid w:val="00E44239"/>
    <w:rsid w:val="00E448DA"/>
    <w:rsid w:val="00E456A4"/>
    <w:rsid w:val="00E460EF"/>
    <w:rsid w:val="00E46880"/>
    <w:rsid w:val="00E52FE8"/>
    <w:rsid w:val="00E53091"/>
    <w:rsid w:val="00E531BF"/>
    <w:rsid w:val="00E53CA0"/>
    <w:rsid w:val="00E54772"/>
    <w:rsid w:val="00E54D8F"/>
    <w:rsid w:val="00E5578B"/>
    <w:rsid w:val="00E56516"/>
    <w:rsid w:val="00E566EB"/>
    <w:rsid w:val="00E56754"/>
    <w:rsid w:val="00E57483"/>
    <w:rsid w:val="00E6046E"/>
    <w:rsid w:val="00E62EAD"/>
    <w:rsid w:val="00E63302"/>
    <w:rsid w:val="00E64662"/>
    <w:rsid w:val="00E64A1E"/>
    <w:rsid w:val="00E64C7D"/>
    <w:rsid w:val="00E64E2E"/>
    <w:rsid w:val="00E6525F"/>
    <w:rsid w:val="00E65378"/>
    <w:rsid w:val="00E659FC"/>
    <w:rsid w:val="00E679A3"/>
    <w:rsid w:val="00E67B73"/>
    <w:rsid w:val="00E7217D"/>
    <w:rsid w:val="00E72D22"/>
    <w:rsid w:val="00E74ACB"/>
    <w:rsid w:val="00E75873"/>
    <w:rsid w:val="00E770BA"/>
    <w:rsid w:val="00E77CE2"/>
    <w:rsid w:val="00E8254C"/>
    <w:rsid w:val="00E85A3C"/>
    <w:rsid w:val="00E915A5"/>
    <w:rsid w:val="00E929AB"/>
    <w:rsid w:val="00E92E56"/>
    <w:rsid w:val="00E9645E"/>
    <w:rsid w:val="00E97436"/>
    <w:rsid w:val="00E97E8C"/>
    <w:rsid w:val="00EA01BF"/>
    <w:rsid w:val="00EA10D5"/>
    <w:rsid w:val="00EA19DF"/>
    <w:rsid w:val="00EA2D84"/>
    <w:rsid w:val="00EA7268"/>
    <w:rsid w:val="00EB3399"/>
    <w:rsid w:val="00EB4231"/>
    <w:rsid w:val="00EB429A"/>
    <w:rsid w:val="00EB6187"/>
    <w:rsid w:val="00EB6F2B"/>
    <w:rsid w:val="00EB75B8"/>
    <w:rsid w:val="00ED08B5"/>
    <w:rsid w:val="00ED0E3B"/>
    <w:rsid w:val="00ED15DF"/>
    <w:rsid w:val="00ED2606"/>
    <w:rsid w:val="00ED322A"/>
    <w:rsid w:val="00ED34CC"/>
    <w:rsid w:val="00ED3591"/>
    <w:rsid w:val="00ED5506"/>
    <w:rsid w:val="00ED5690"/>
    <w:rsid w:val="00ED5A7C"/>
    <w:rsid w:val="00ED5E33"/>
    <w:rsid w:val="00ED6400"/>
    <w:rsid w:val="00ED68D8"/>
    <w:rsid w:val="00ED6E9A"/>
    <w:rsid w:val="00EE0E53"/>
    <w:rsid w:val="00EE5174"/>
    <w:rsid w:val="00EE6FAE"/>
    <w:rsid w:val="00EE7231"/>
    <w:rsid w:val="00EF0109"/>
    <w:rsid w:val="00EF0A13"/>
    <w:rsid w:val="00EF0FF6"/>
    <w:rsid w:val="00EF2789"/>
    <w:rsid w:val="00EF73D8"/>
    <w:rsid w:val="00F00B25"/>
    <w:rsid w:val="00F01A9E"/>
    <w:rsid w:val="00F02B8A"/>
    <w:rsid w:val="00F04A1E"/>
    <w:rsid w:val="00F05132"/>
    <w:rsid w:val="00F062C7"/>
    <w:rsid w:val="00F06B16"/>
    <w:rsid w:val="00F07A71"/>
    <w:rsid w:val="00F10D86"/>
    <w:rsid w:val="00F158E7"/>
    <w:rsid w:val="00F1703B"/>
    <w:rsid w:val="00F172B9"/>
    <w:rsid w:val="00F17524"/>
    <w:rsid w:val="00F20457"/>
    <w:rsid w:val="00F20714"/>
    <w:rsid w:val="00F2330C"/>
    <w:rsid w:val="00F24250"/>
    <w:rsid w:val="00F25BFB"/>
    <w:rsid w:val="00F26505"/>
    <w:rsid w:val="00F2742E"/>
    <w:rsid w:val="00F30442"/>
    <w:rsid w:val="00F30662"/>
    <w:rsid w:val="00F30E20"/>
    <w:rsid w:val="00F31092"/>
    <w:rsid w:val="00F35151"/>
    <w:rsid w:val="00F35305"/>
    <w:rsid w:val="00F359A8"/>
    <w:rsid w:val="00F35AC2"/>
    <w:rsid w:val="00F37FF0"/>
    <w:rsid w:val="00F412A3"/>
    <w:rsid w:val="00F437C4"/>
    <w:rsid w:val="00F43D69"/>
    <w:rsid w:val="00F44AE2"/>
    <w:rsid w:val="00F45BFF"/>
    <w:rsid w:val="00F46CD5"/>
    <w:rsid w:val="00F51616"/>
    <w:rsid w:val="00F517F5"/>
    <w:rsid w:val="00F51F5A"/>
    <w:rsid w:val="00F55E3D"/>
    <w:rsid w:val="00F5703E"/>
    <w:rsid w:val="00F6112F"/>
    <w:rsid w:val="00F61331"/>
    <w:rsid w:val="00F61B5A"/>
    <w:rsid w:val="00F6339B"/>
    <w:rsid w:val="00F66711"/>
    <w:rsid w:val="00F71DC0"/>
    <w:rsid w:val="00F72B2B"/>
    <w:rsid w:val="00F74D16"/>
    <w:rsid w:val="00F770C6"/>
    <w:rsid w:val="00F77756"/>
    <w:rsid w:val="00F87CA1"/>
    <w:rsid w:val="00F91503"/>
    <w:rsid w:val="00F93B41"/>
    <w:rsid w:val="00F94240"/>
    <w:rsid w:val="00F961A8"/>
    <w:rsid w:val="00F96B11"/>
    <w:rsid w:val="00FA07D3"/>
    <w:rsid w:val="00FA0800"/>
    <w:rsid w:val="00FA2300"/>
    <w:rsid w:val="00FA2DCD"/>
    <w:rsid w:val="00FA30DA"/>
    <w:rsid w:val="00FA49CF"/>
    <w:rsid w:val="00FA4BB5"/>
    <w:rsid w:val="00FA5EE3"/>
    <w:rsid w:val="00FA6BA0"/>
    <w:rsid w:val="00FB00E6"/>
    <w:rsid w:val="00FB0719"/>
    <w:rsid w:val="00FB3EDA"/>
    <w:rsid w:val="00FB46E2"/>
    <w:rsid w:val="00FB49B4"/>
    <w:rsid w:val="00FB7B1C"/>
    <w:rsid w:val="00FC0561"/>
    <w:rsid w:val="00FC0F4A"/>
    <w:rsid w:val="00FC1820"/>
    <w:rsid w:val="00FC1AEF"/>
    <w:rsid w:val="00FC272B"/>
    <w:rsid w:val="00FC2F15"/>
    <w:rsid w:val="00FC3E97"/>
    <w:rsid w:val="00FC58B1"/>
    <w:rsid w:val="00FC65B6"/>
    <w:rsid w:val="00FC65EC"/>
    <w:rsid w:val="00FC6936"/>
    <w:rsid w:val="00FC78F8"/>
    <w:rsid w:val="00FD0CD6"/>
    <w:rsid w:val="00FD16CB"/>
    <w:rsid w:val="00FD581E"/>
    <w:rsid w:val="00FD6062"/>
    <w:rsid w:val="00FD687A"/>
    <w:rsid w:val="00FE128E"/>
    <w:rsid w:val="00FE1813"/>
    <w:rsid w:val="00FE2A0F"/>
    <w:rsid w:val="00FE3F5B"/>
    <w:rsid w:val="00FE4210"/>
    <w:rsid w:val="00FE5BC5"/>
    <w:rsid w:val="00FE75FE"/>
    <w:rsid w:val="00FF03F9"/>
    <w:rsid w:val="00FF060C"/>
    <w:rsid w:val="00FF0C7D"/>
    <w:rsid w:val="00FF31BF"/>
    <w:rsid w:val="00FF3BC2"/>
    <w:rsid w:val="00FF62E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D2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igCity Grotesque Pro Book" w:eastAsiaTheme="minorHAnsi" w:hAnsi="BigCity Grotesque Pro Book"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04A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4A1E"/>
    <w:rPr>
      <w:rFonts w:asciiTheme="majorHAnsi" w:eastAsiaTheme="majorEastAsia" w:hAnsiTheme="majorHAnsi" w:cstheme="majorBidi"/>
      <w:color w:val="2E74B5" w:themeColor="accent1" w:themeShade="BF"/>
      <w:sz w:val="32"/>
      <w:szCs w:val="32"/>
    </w:rPr>
  </w:style>
  <w:style w:type="paragraph" w:customStyle="1" w:styleId="ConsPlusNormal">
    <w:name w:val="ConsPlusNormal"/>
    <w:rsid w:val="00BF5F06"/>
    <w:pPr>
      <w:widowControl w:val="0"/>
      <w:autoSpaceDE w:val="0"/>
      <w:autoSpaceDN w:val="0"/>
      <w:spacing w:after="0" w:line="240" w:lineRule="auto"/>
    </w:pPr>
    <w:rPr>
      <w:rFonts w:eastAsia="Times New Roman" w:cs="BigCity Grotesque Pro Book"/>
      <w:szCs w:val="20"/>
      <w:lang w:eastAsia="ru-RU"/>
    </w:rPr>
  </w:style>
  <w:style w:type="table" w:styleId="a3">
    <w:name w:val="Table Grid"/>
    <w:basedOn w:val="a1"/>
    <w:uiPriority w:val="39"/>
    <w:rsid w:val="00B40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2F3338"/>
    <w:pPr>
      <w:overflowPunct w:val="0"/>
      <w:autoSpaceDE w:val="0"/>
      <w:autoSpaceDN w:val="0"/>
      <w:spacing w:after="0" w:line="240" w:lineRule="auto"/>
      <w:ind w:left="708"/>
    </w:pPr>
    <w:rPr>
      <w:rFonts w:ascii="Times New Roman" w:hAnsi="Times New Roman" w:cs="Times New Roman"/>
      <w:sz w:val="20"/>
      <w:szCs w:val="20"/>
    </w:rPr>
  </w:style>
  <w:style w:type="character" w:customStyle="1" w:styleId="a5">
    <w:name w:val="Абзац списка Знак"/>
    <w:link w:val="a4"/>
    <w:uiPriority w:val="34"/>
    <w:locked/>
    <w:rsid w:val="0049636C"/>
    <w:rPr>
      <w:rFonts w:ascii="Times New Roman" w:hAnsi="Times New Roman" w:cs="Times New Roman"/>
      <w:sz w:val="20"/>
      <w:szCs w:val="20"/>
    </w:rPr>
  </w:style>
  <w:style w:type="character" w:styleId="a6">
    <w:name w:val="annotation reference"/>
    <w:basedOn w:val="a0"/>
    <w:uiPriority w:val="99"/>
    <w:semiHidden/>
    <w:unhideWhenUsed/>
    <w:rsid w:val="00390563"/>
    <w:rPr>
      <w:sz w:val="16"/>
      <w:szCs w:val="16"/>
    </w:rPr>
  </w:style>
  <w:style w:type="paragraph" w:styleId="a7">
    <w:name w:val="annotation text"/>
    <w:basedOn w:val="a"/>
    <w:link w:val="a8"/>
    <w:uiPriority w:val="99"/>
    <w:unhideWhenUsed/>
    <w:rsid w:val="00390563"/>
    <w:pPr>
      <w:spacing w:line="240" w:lineRule="auto"/>
    </w:pPr>
    <w:rPr>
      <w:sz w:val="20"/>
      <w:szCs w:val="20"/>
    </w:rPr>
  </w:style>
  <w:style w:type="character" w:customStyle="1" w:styleId="a8">
    <w:name w:val="Текст примечания Знак"/>
    <w:basedOn w:val="a0"/>
    <w:link w:val="a7"/>
    <w:uiPriority w:val="99"/>
    <w:rsid w:val="00390563"/>
    <w:rPr>
      <w:sz w:val="20"/>
      <w:szCs w:val="20"/>
    </w:rPr>
  </w:style>
  <w:style w:type="paragraph" w:styleId="a9">
    <w:name w:val="annotation subject"/>
    <w:basedOn w:val="a7"/>
    <w:next w:val="a7"/>
    <w:link w:val="aa"/>
    <w:uiPriority w:val="99"/>
    <w:semiHidden/>
    <w:unhideWhenUsed/>
    <w:rsid w:val="00390563"/>
    <w:rPr>
      <w:b/>
      <w:bCs/>
    </w:rPr>
  </w:style>
  <w:style w:type="character" w:customStyle="1" w:styleId="aa">
    <w:name w:val="Тема примечания Знак"/>
    <w:basedOn w:val="a8"/>
    <w:link w:val="a9"/>
    <w:uiPriority w:val="99"/>
    <w:semiHidden/>
    <w:rsid w:val="00390563"/>
    <w:rPr>
      <w:b/>
      <w:bCs/>
      <w:sz w:val="20"/>
      <w:szCs w:val="20"/>
    </w:rPr>
  </w:style>
  <w:style w:type="paragraph" w:styleId="ab">
    <w:name w:val="Balloon Text"/>
    <w:basedOn w:val="a"/>
    <w:link w:val="ac"/>
    <w:uiPriority w:val="99"/>
    <w:semiHidden/>
    <w:unhideWhenUsed/>
    <w:rsid w:val="00390563"/>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390563"/>
    <w:rPr>
      <w:rFonts w:ascii="Segoe UI" w:hAnsi="Segoe UI" w:cs="Segoe UI"/>
      <w:sz w:val="18"/>
      <w:szCs w:val="18"/>
    </w:rPr>
  </w:style>
  <w:style w:type="paragraph" w:customStyle="1" w:styleId="wText">
    <w:name w:val="wText"/>
    <w:basedOn w:val="a"/>
    <w:link w:val="wTextChar"/>
    <w:uiPriority w:val="1"/>
    <w:qFormat/>
    <w:rsid w:val="00482821"/>
    <w:pPr>
      <w:spacing w:after="180" w:line="240" w:lineRule="auto"/>
      <w:jc w:val="both"/>
    </w:pPr>
    <w:rPr>
      <w:rFonts w:ascii="Times New Roman" w:eastAsia="MS Mincho" w:hAnsi="Times New Roman" w:cs="Times New Roman"/>
    </w:rPr>
  </w:style>
  <w:style w:type="character" w:customStyle="1" w:styleId="wTextChar">
    <w:name w:val="wText Char"/>
    <w:basedOn w:val="a0"/>
    <w:link w:val="wText"/>
    <w:uiPriority w:val="1"/>
    <w:rsid w:val="00482821"/>
    <w:rPr>
      <w:rFonts w:ascii="Times New Roman" w:eastAsia="MS Mincho" w:hAnsi="Times New Roman" w:cs="Times New Roman"/>
    </w:rPr>
  </w:style>
  <w:style w:type="table" w:customStyle="1" w:styleId="11">
    <w:name w:val="Сетка таблицы1"/>
    <w:basedOn w:val="a1"/>
    <w:next w:val="a3"/>
    <w:uiPriority w:val="59"/>
    <w:rsid w:val="00B40BC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F04A1E"/>
    <w:pPr>
      <w:outlineLvl w:val="9"/>
    </w:pPr>
    <w:rPr>
      <w:lang w:eastAsia="ru-RU"/>
    </w:rPr>
  </w:style>
  <w:style w:type="paragraph" w:styleId="12">
    <w:name w:val="toc 1"/>
    <w:basedOn w:val="a"/>
    <w:next w:val="a"/>
    <w:autoRedefine/>
    <w:uiPriority w:val="39"/>
    <w:unhideWhenUsed/>
    <w:rsid w:val="00FD581E"/>
    <w:pPr>
      <w:tabs>
        <w:tab w:val="right" w:leader="dot" w:pos="9345"/>
      </w:tabs>
      <w:spacing w:after="100"/>
      <w:ind w:left="426"/>
    </w:pPr>
  </w:style>
  <w:style w:type="paragraph" w:styleId="2">
    <w:name w:val="toc 2"/>
    <w:basedOn w:val="a"/>
    <w:next w:val="a"/>
    <w:autoRedefine/>
    <w:uiPriority w:val="39"/>
    <w:unhideWhenUsed/>
    <w:rsid w:val="00E33246"/>
    <w:pPr>
      <w:tabs>
        <w:tab w:val="right" w:leader="dot" w:pos="9639"/>
      </w:tabs>
      <w:spacing w:after="100" w:line="240" w:lineRule="auto"/>
      <w:ind w:left="426"/>
      <w:jc w:val="both"/>
    </w:pPr>
  </w:style>
  <w:style w:type="paragraph" w:styleId="3">
    <w:name w:val="toc 3"/>
    <w:basedOn w:val="a"/>
    <w:next w:val="a"/>
    <w:autoRedefine/>
    <w:uiPriority w:val="39"/>
    <w:unhideWhenUsed/>
    <w:rsid w:val="009F0BCC"/>
    <w:pPr>
      <w:tabs>
        <w:tab w:val="right" w:leader="dot" w:pos="9345"/>
      </w:tabs>
      <w:spacing w:after="100"/>
      <w:ind w:left="440"/>
    </w:pPr>
  </w:style>
  <w:style w:type="paragraph" w:styleId="4">
    <w:name w:val="toc 4"/>
    <w:basedOn w:val="a"/>
    <w:next w:val="a"/>
    <w:autoRedefine/>
    <w:uiPriority w:val="39"/>
    <w:unhideWhenUsed/>
    <w:rsid w:val="00F04A1E"/>
    <w:pPr>
      <w:spacing w:after="100"/>
      <w:ind w:left="660"/>
    </w:pPr>
    <w:rPr>
      <w:rFonts w:asciiTheme="minorHAnsi" w:eastAsiaTheme="minorEastAsia" w:hAnsiTheme="minorHAnsi"/>
      <w:lang w:eastAsia="ru-RU"/>
    </w:rPr>
  </w:style>
  <w:style w:type="paragraph" w:styleId="5">
    <w:name w:val="toc 5"/>
    <w:basedOn w:val="a"/>
    <w:next w:val="a"/>
    <w:autoRedefine/>
    <w:uiPriority w:val="39"/>
    <w:unhideWhenUsed/>
    <w:rsid w:val="00F04A1E"/>
    <w:pPr>
      <w:spacing w:after="100"/>
      <w:ind w:left="880"/>
    </w:pPr>
    <w:rPr>
      <w:rFonts w:asciiTheme="minorHAnsi" w:eastAsiaTheme="minorEastAsia" w:hAnsiTheme="minorHAnsi"/>
      <w:lang w:eastAsia="ru-RU"/>
    </w:rPr>
  </w:style>
  <w:style w:type="paragraph" w:styleId="6">
    <w:name w:val="toc 6"/>
    <w:basedOn w:val="a"/>
    <w:next w:val="a"/>
    <w:autoRedefine/>
    <w:uiPriority w:val="39"/>
    <w:unhideWhenUsed/>
    <w:rsid w:val="00F04A1E"/>
    <w:pPr>
      <w:spacing w:after="100"/>
      <w:ind w:left="1100"/>
    </w:pPr>
    <w:rPr>
      <w:rFonts w:asciiTheme="minorHAnsi" w:eastAsiaTheme="minorEastAsia" w:hAnsiTheme="minorHAnsi"/>
      <w:lang w:eastAsia="ru-RU"/>
    </w:rPr>
  </w:style>
  <w:style w:type="paragraph" w:styleId="7">
    <w:name w:val="toc 7"/>
    <w:basedOn w:val="a"/>
    <w:next w:val="a"/>
    <w:autoRedefine/>
    <w:uiPriority w:val="39"/>
    <w:unhideWhenUsed/>
    <w:rsid w:val="00F04A1E"/>
    <w:pPr>
      <w:spacing w:after="100"/>
      <w:ind w:left="1320"/>
    </w:pPr>
    <w:rPr>
      <w:rFonts w:asciiTheme="minorHAnsi" w:eastAsiaTheme="minorEastAsia" w:hAnsiTheme="minorHAnsi"/>
      <w:lang w:eastAsia="ru-RU"/>
    </w:rPr>
  </w:style>
  <w:style w:type="paragraph" w:styleId="8">
    <w:name w:val="toc 8"/>
    <w:basedOn w:val="a"/>
    <w:next w:val="a"/>
    <w:autoRedefine/>
    <w:uiPriority w:val="39"/>
    <w:unhideWhenUsed/>
    <w:rsid w:val="00F04A1E"/>
    <w:pPr>
      <w:spacing w:after="100"/>
      <w:ind w:left="1540"/>
    </w:pPr>
    <w:rPr>
      <w:rFonts w:asciiTheme="minorHAnsi" w:eastAsiaTheme="minorEastAsia" w:hAnsiTheme="minorHAnsi"/>
      <w:lang w:eastAsia="ru-RU"/>
    </w:rPr>
  </w:style>
  <w:style w:type="paragraph" w:styleId="9">
    <w:name w:val="toc 9"/>
    <w:basedOn w:val="a"/>
    <w:next w:val="a"/>
    <w:autoRedefine/>
    <w:uiPriority w:val="39"/>
    <w:unhideWhenUsed/>
    <w:rsid w:val="00F04A1E"/>
    <w:pPr>
      <w:spacing w:after="100"/>
      <w:ind w:left="1760"/>
    </w:pPr>
    <w:rPr>
      <w:rFonts w:asciiTheme="minorHAnsi" w:eastAsiaTheme="minorEastAsia" w:hAnsiTheme="minorHAnsi"/>
      <w:lang w:eastAsia="ru-RU"/>
    </w:rPr>
  </w:style>
  <w:style w:type="character" w:styleId="ae">
    <w:name w:val="Hyperlink"/>
    <w:basedOn w:val="a0"/>
    <w:uiPriority w:val="99"/>
    <w:unhideWhenUsed/>
    <w:rsid w:val="00F04A1E"/>
    <w:rPr>
      <w:color w:val="0563C1" w:themeColor="hyperlink"/>
      <w:u w:val="single"/>
    </w:rPr>
  </w:style>
  <w:style w:type="character" w:customStyle="1" w:styleId="ms-rtethemebackcolor-1-0">
    <w:name w:val="ms-rtethemebackcolor-1-0"/>
    <w:basedOn w:val="a0"/>
    <w:rsid w:val="004676C4"/>
  </w:style>
  <w:style w:type="paragraph" w:styleId="af">
    <w:name w:val="Body Text"/>
    <w:basedOn w:val="a"/>
    <w:link w:val="af0"/>
    <w:qFormat/>
    <w:rsid w:val="00701E8D"/>
    <w:pPr>
      <w:spacing w:after="240" w:line="240" w:lineRule="auto"/>
      <w:jc w:val="both"/>
    </w:pPr>
    <w:rPr>
      <w:rFonts w:ascii="Times New Roman" w:eastAsia="Times New Roman" w:hAnsi="Times New Roman" w:cs="Times New Roman"/>
      <w:sz w:val="20"/>
      <w:lang w:val="en-GB" w:eastAsia="zh-CN"/>
    </w:rPr>
  </w:style>
  <w:style w:type="character" w:customStyle="1" w:styleId="af0">
    <w:name w:val="Основной текст Знак"/>
    <w:basedOn w:val="a0"/>
    <w:link w:val="af"/>
    <w:rsid w:val="00701E8D"/>
    <w:rPr>
      <w:rFonts w:ascii="Times New Roman" w:eastAsia="Times New Roman" w:hAnsi="Times New Roman" w:cs="Times New Roman"/>
      <w:sz w:val="20"/>
      <w:lang w:val="en-GB" w:eastAsia="zh-CN"/>
    </w:rPr>
  </w:style>
  <w:style w:type="paragraph" w:styleId="af1">
    <w:name w:val="header"/>
    <w:basedOn w:val="a"/>
    <w:link w:val="af2"/>
    <w:uiPriority w:val="99"/>
    <w:unhideWhenUsed/>
    <w:rsid w:val="00394C6C"/>
    <w:pPr>
      <w:tabs>
        <w:tab w:val="center" w:pos="4677"/>
        <w:tab w:val="right" w:pos="9355"/>
      </w:tabs>
      <w:spacing w:after="0" w:line="240" w:lineRule="auto"/>
    </w:pPr>
    <w:rPr>
      <w:rFonts w:ascii="Times New Roman" w:eastAsia="Times New Roman" w:hAnsi="Times New Roman" w:cs="Courier New"/>
      <w:sz w:val="24"/>
      <w:szCs w:val="24"/>
      <w:lang w:eastAsia="ru-RU"/>
    </w:rPr>
  </w:style>
  <w:style w:type="character" w:customStyle="1" w:styleId="af2">
    <w:name w:val="Верхний колонтитул Знак"/>
    <w:basedOn w:val="a0"/>
    <w:link w:val="af1"/>
    <w:uiPriority w:val="99"/>
    <w:rsid w:val="00394C6C"/>
    <w:rPr>
      <w:rFonts w:ascii="Times New Roman" w:eastAsia="Times New Roman" w:hAnsi="Times New Roman" w:cs="Courier New"/>
      <w:sz w:val="24"/>
      <w:szCs w:val="24"/>
      <w:lang w:eastAsia="ru-RU"/>
    </w:rPr>
  </w:style>
  <w:style w:type="paragraph" w:customStyle="1" w:styleId="13">
    <w:name w:val="Текст сноски1"/>
    <w:basedOn w:val="a"/>
    <w:next w:val="af3"/>
    <w:link w:val="af4"/>
    <w:uiPriority w:val="99"/>
    <w:rsid w:val="00BB3483"/>
    <w:pPr>
      <w:autoSpaceDE w:val="0"/>
      <w:autoSpaceDN w:val="0"/>
      <w:spacing w:after="0" w:line="240" w:lineRule="auto"/>
    </w:pPr>
    <w:rPr>
      <w:rFonts w:ascii="Times New Roman" w:hAnsi="Times New Roman" w:cs="Times New Roman"/>
      <w:sz w:val="20"/>
      <w:szCs w:val="20"/>
    </w:rPr>
  </w:style>
  <w:style w:type="paragraph" w:styleId="af3">
    <w:name w:val="footnote text"/>
    <w:basedOn w:val="a"/>
    <w:link w:val="14"/>
    <w:uiPriority w:val="99"/>
    <w:semiHidden/>
    <w:unhideWhenUsed/>
    <w:rsid w:val="00BB3483"/>
    <w:pPr>
      <w:spacing w:after="0" w:line="240" w:lineRule="auto"/>
    </w:pPr>
    <w:rPr>
      <w:sz w:val="20"/>
      <w:szCs w:val="20"/>
    </w:rPr>
  </w:style>
  <w:style w:type="character" w:customStyle="1" w:styleId="14">
    <w:name w:val="Текст сноски Знак1"/>
    <w:basedOn w:val="a0"/>
    <w:link w:val="af3"/>
    <w:uiPriority w:val="99"/>
    <w:semiHidden/>
    <w:rsid w:val="00BB3483"/>
    <w:rPr>
      <w:sz w:val="20"/>
      <w:szCs w:val="20"/>
    </w:rPr>
  </w:style>
  <w:style w:type="character" w:customStyle="1" w:styleId="af4">
    <w:name w:val="Текст сноски Знак"/>
    <w:basedOn w:val="a0"/>
    <w:link w:val="13"/>
    <w:uiPriority w:val="99"/>
    <w:semiHidden/>
    <w:rsid w:val="00BB3483"/>
    <w:rPr>
      <w:rFonts w:ascii="Times New Roman" w:hAnsi="Times New Roman" w:cs="Times New Roman"/>
      <w:sz w:val="20"/>
      <w:szCs w:val="20"/>
    </w:rPr>
  </w:style>
  <w:style w:type="character" w:styleId="af5">
    <w:name w:val="footnote reference"/>
    <w:basedOn w:val="a0"/>
    <w:uiPriority w:val="99"/>
    <w:rsid w:val="00BB3483"/>
    <w:rPr>
      <w:vertAlign w:val="superscript"/>
    </w:rPr>
  </w:style>
  <w:style w:type="paragraph" w:styleId="af6">
    <w:name w:val="footer"/>
    <w:basedOn w:val="a"/>
    <w:link w:val="af7"/>
    <w:uiPriority w:val="99"/>
    <w:unhideWhenUsed/>
    <w:rsid w:val="00061897"/>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061897"/>
  </w:style>
  <w:style w:type="paragraph" w:styleId="af8">
    <w:name w:val="Revision"/>
    <w:hidden/>
    <w:uiPriority w:val="99"/>
    <w:semiHidden/>
    <w:rsid w:val="004D3744"/>
    <w:pPr>
      <w:spacing w:after="0" w:line="240" w:lineRule="auto"/>
    </w:pPr>
  </w:style>
  <w:style w:type="character" w:styleId="af9">
    <w:name w:val="FollowedHyperlink"/>
    <w:basedOn w:val="a0"/>
    <w:uiPriority w:val="99"/>
    <w:semiHidden/>
    <w:unhideWhenUsed/>
    <w:rsid w:val="004B7322"/>
    <w:rPr>
      <w:color w:val="800080"/>
      <w:u w:val="single"/>
    </w:rPr>
  </w:style>
  <w:style w:type="paragraph" w:customStyle="1" w:styleId="xl65">
    <w:name w:val="xl65"/>
    <w:basedOn w:val="a"/>
    <w:rsid w:val="004B732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rsid w:val="004B7322"/>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7">
    <w:name w:val="xl67"/>
    <w:basedOn w:val="a"/>
    <w:rsid w:val="004B7322"/>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8">
    <w:name w:val="xl68"/>
    <w:basedOn w:val="a"/>
    <w:rsid w:val="004B732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9">
    <w:name w:val="xl69"/>
    <w:basedOn w:val="a"/>
    <w:rsid w:val="004B7322"/>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
    <w:rsid w:val="004B7322"/>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1">
    <w:name w:val="xl71"/>
    <w:basedOn w:val="a"/>
    <w:rsid w:val="004B7322"/>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2">
    <w:name w:val="xl72"/>
    <w:basedOn w:val="a"/>
    <w:rsid w:val="004B7322"/>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73">
    <w:name w:val="xl73"/>
    <w:basedOn w:val="a"/>
    <w:rsid w:val="004B7322"/>
    <w:pP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74">
    <w:name w:val="xl74"/>
    <w:basedOn w:val="a"/>
    <w:rsid w:val="004B7322"/>
    <w:pP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75">
    <w:name w:val="xl75"/>
    <w:basedOn w:val="a"/>
    <w:rsid w:val="004B7322"/>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6">
    <w:name w:val="xl76"/>
    <w:basedOn w:val="a"/>
    <w:rsid w:val="004B732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7">
    <w:name w:val="xl77"/>
    <w:basedOn w:val="a"/>
    <w:rsid w:val="004B7322"/>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8">
    <w:name w:val="xl78"/>
    <w:basedOn w:val="a"/>
    <w:rsid w:val="004B7322"/>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
    <w:name w:val="xl79"/>
    <w:basedOn w:val="a"/>
    <w:rsid w:val="004B7322"/>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0">
    <w:name w:val="xl80"/>
    <w:basedOn w:val="a"/>
    <w:rsid w:val="004B7322"/>
    <w:pPr>
      <w:pBdr>
        <w:bottom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
    <w:name w:val="xl81"/>
    <w:basedOn w:val="a"/>
    <w:rsid w:val="004B732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82">
    <w:name w:val="xl82"/>
    <w:basedOn w:val="a"/>
    <w:rsid w:val="004B73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83">
    <w:name w:val="xl83"/>
    <w:basedOn w:val="a"/>
    <w:rsid w:val="004B73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4">
    <w:name w:val="xl84"/>
    <w:basedOn w:val="a"/>
    <w:rsid w:val="004B7322"/>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5">
    <w:name w:val="xl85"/>
    <w:basedOn w:val="a"/>
    <w:rsid w:val="004B7322"/>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rsid w:val="004B7322"/>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7">
    <w:name w:val="xl87"/>
    <w:basedOn w:val="a"/>
    <w:rsid w:val="004B7322"/>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4B7322"/>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4B73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0">
    <w:name w:val="xl90"/>
    <w:basedOn w:val="a"/>
    <w:rsid w:val="004B73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1">
    <w:name w:val="xl91"/>
    <w:basedOn w:val="a"/>
    <w:rsid w:val="004B73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2">
    <w:name w:val="xl92"/>
    <w:basedOn w:val="a"/>
    <w:rsid w:val="004B73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3">
    <w:name w:val="xl93"/>
    <w:basedOn w:val="a"/>
    <w:rsid w:val="004B73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
    <w:rsid w:val="004B73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5">
    <w:name w:val="xl95"/>
    <w:basedOn w:val="a"/>
    <w:rsid w:val="004B73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6">
    <w:name w:val="xl96"/>
    <w:basedOn w:val="a"/>
    <w:rsid w:val="004B73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7">
    <w:name w:val="xl97"/>
    <w:basedOn w:val="a"/>
    <w:rsid w:val="004B732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8">
    <w:name w:val="xl98"/>
    <w:basedOn w:val="a"/>
    <w:rsid w:val="004B732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9">
    <w:name w:val="xl99"/>
    <w:basedOn w:val="a"/>
    <w:rsid w:val="004B7322"/>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0">
    <w:name w:val="xl100"/>
    <w:basedOn w:val="a"/>
    <w:rsid w:val="004B732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table" w:customStyle="1" w:styleId="55">
    <w:name w:val="Сетка таблицы55"/>
    <w:basedOn w:val="a1"/>
    <w:next w:val="a3"/>
    <w:uiPriority w:val="59"/>
    <w:rsid w:val="00A333CE"/>
    <w:pPr>
      <w:spacing w:after="0" w:line="240" w:lineRule="auto"/>
    </w:pPr>
    <w:rPr>
      <w:rFonts w:ascii="Times New Roman" w:eastAsia="MS Mincho" w:hAnsi="Times New Roman" w:cs="Times New Roman"/>
      <w:szCs w:val="28"/>
      <w:lang w:val="en-GB" w:eastAsia="zh-CN"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Неразрешенное упоминание1"/>
    <w:basedOn w:val="a0"/>
    <w:uiPriority w:val="99"/>
    <w:semiHidden/>
    <w:unhideWhenUsed/>
    <w:rsid w:val="003A1D6B"/>
    <w:rPr>
      <w:color w:val="605E5C"/>
      <w:shd w:val="clear" w:color="auto" w:fill="E1DFDD"/>
    </w:rPr>
  </w:style>
  <w:style w:type="table" w:customStyle="1" w:styleId="20">
    <w:name w:val="Сетка таблицы2"/>
    <w:basedOn w:val="a1"/>
    <w:next w:val="a3"/>
    <w:uiPriority w:val="39"/>
    <w:rsid w:val="00475E9B"/>
    <w:pPr>
      <w:spacing w:after="0" w:line="240" w:lineRule="auto"/>
    </w:pPr>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3"/>
    <w:uiPriority w:val="39"/>
    <w:rsid w:val="00283E8C"/>
    <w:pPr>
      <w:spacing w:after="0" w:line="240" w:lineRule="auto"/>
    </w:pPr>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3"/>
    <w:uiPriority w:val="39"/>
    <w:rsid w:val="00283E8C"/>
    <w:pPr>
      <w:spacing w:after="0" w:line="240" w:lineRule="auto"/>
    </w:pPr>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3"/>
    <w:uiPriority w:val="39"/>
    <w:rsid w:val="00E85A3C"/>
    <w:pPr>
      <w:spacing w:after="0" w:line="240" w:lineRule="auto"/>
    </w:pPr>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
    <w:next w:val="a2"/>
    <w:uiPriority w:val="99"/>
    <w:semiHidden/>
    <w:unhideWhenUsed/>
    <w:rsid w:val="00A36FAF"/>
  </w:style>
  <w:style w:type="table" w:customStyle="1" w:styleId="60">
    <w:name w:val="Сетка таблицы6"/>
    <w:basedOn w:val="a1"/>
    <w:next w:val="a3"/>
    <w:uiPriority w:val="39"/>
    <w:rsid w:val="00A36FA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3"/>
    <w:uiPriority w:val="39"/>
    <w:rsid w:val="005653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еразрешенное упоминание2"/>
    <w:basedOn w:val="a0"/>
    <w:uiPriority w:val="99"/>
    <w:semiHidden/>
    <w:unhideWhenUsed/>
    <w:rsid w:val="00F31092"/>
    <w:rPr>
      <w:color w:val="605E5C"/>
      <w:shd w:val="clear" w:color="auto" w:fill="E1DFDD"/>
    </w:rPr>
  </w:style>
  <w:style w:type="character" w:customStyle="1" w:styleId="31">
    <w:name w:val="Неразрешенное упоминание3"/>
    <w:basedOn w:val="a0"/>
    <w:uiPriority w:val="99"/>
    <w:semiHidden/>
    <w:unhideWhenUsed/>
    <w:rsid w:val="0079389D"/>
    <w:rPr>
      <w:color w:val="605E5C"/>
      <w:shd w:val="clear" w:color="auto" w:fill="E1DFDD"/>
    </w:rPr>
  </w:style>
  <w:style w:type="character" w:customStyle="1" w:styleId="currentdocdiv">
    <w:name w:val="currentdocdiv"/>
    <w:basedOn w:val="a0"/>
    <w:rsid w:val="005F21AE"/>
  </w:style>
  <w:style w:type="character" w:customStyle="1" w:styleId="41">
    <w:name w:val="Неразрешенное упоминание4"/>
    <w:basedOn w:val="a0"/>
    <w:uiPriority w:val="99"/>
    <w:semiHidden/>
    <w:unhideWhenUsed/>
    <w:rsid w:val="0032420D"/>
    <w:rPr>
      <w:color w:val="605E5C"/>
      <w:shd w:val="clear" w:color="auto" w:fill="E1DFDD"/>
    </w:rPr>
  </w:style>
  <w:style w:type="paragraph" w:customStyle="1" w:styleId="Default">
    <w:name w:val="Default"/>
    <w:rsid w:val="00C5388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a0"/>
    <w:uiPriority w:val="99"/>
    <w:semiHidden/>
    <w:unhideWhenUsed/>
    <w:rsid w:val="002B5B18"/>
    <w:rPr>
      <w:color w:val="605E5C"/>
      <w:shd w:val="clear" w:color="auto" w:fill="E1DFDD"/>
    </w:rPr>
  </w:style>
  <w:style w:type="paragraph" w:styleId="afa">
    <w:name w:val="Normal (Web)"/>
    <w:basedOn w:val="a"/>
    <w:uiPriority w:val="99"/>
    <w:semiHidden/>
    <w:unhideWhenUsed/>
    <w:rsid w:val="002B5B1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16568">
      <w:bodyDiv w:val="1"/>
      <w:marLeft w:val="0"/>
      <w:marRight w:val="0"/>
      <w:marTop w:val="0"/>
      <w:marBottom w:val="0"/>
      <w:divBdr>
        <w:top w:val="none" w:sz="0" w:space="0" w:color="auto"/>
        <w:left w:val="none" w:sz="0" w:space="0" w:color="auto"/>
        <w:bottom w:val="none" w:sz="0" w:space="0" w:color="auto"/>
        <w:right w:val="none" w:sz="0" w:space="0" w:color="auto"/>
      </w:divBdr>
    </w:div>
    <w:div w:id="165050087">
      <w:bodyDiv w:val="1"/>
      <w:marLeft w:val="0"/>
      <w:marRight w:val="0"/>
      <w:marTop w:val="0"/>
      <w:marBottom w:val="0"/>
      <w:divBdr>
        <w:top w:val="none" w:sz="0" w:space="0" w:color="auto"/>
        <w:left w:val="none" w:sz="0" w:space="0" w:color="auto"/>
        <w:bottom w:val="none" w:sz="0" w:space="0" w:color="auto"/>
        <w:right w:val="none" w:sz="0" w:space="0" w:color="auto"/>
      </w:divBdr>
    </w:div>
    <w:div w:id="377320280">
      <w:bodyDiv w:val="1"/>
      <w:marLeft w:val="0"/>
      <w:marRight w:val="0"/>
      <w:marTop w:val="0"/>
      <w:marBottom w:val="0"/>
      <w:divBdr>
        <w:top w:val="none" w:sz="0" w:space="0" w:color="auto"/>
        <w:left w:val="none" w:sz="0" w:space="0" w:color="auto"/>
        <w:bottom w:val="none" w:sz="0" w:space="0" w:color="auto"/>
        <w:right w:val="none" w:sz="0" w:space="0" w:color="auto"/>
      </w:divBdr>
    </w:div>
    <w:div w:id="517542308">
      <w:bodyDiv w:val="1"/>
      <w:marLeft w:val="0"/>
      <w:marRight w:val="0"/>
      <w:marTop w:val="0"/>
      <w:marBottom w:val="0"/>
      <w:divBdr>
        <w:top w:val="none" w:sz="0" w:space="0" w:color="auto"/>
        <w:left w:val="none" w:sz="0" w:space="0" w:color="auto"/>
        <w:bottom w:val="none" w:sz="0" w:space="0" w:color="auto"/>
        <w:right w:val="none" w:sz="0" w:space="0" w:color="auto"/>
      </w:divBdr>
    </w:div>
    <w:div w:id="549927782">
      <w:bodyDiv w:val="1"/>
      <w:marLeft w:val="0"/>
      <w:marRight w:val="0"/>
      <w:marTop w:val="0"/>
      <w:marBottom w:val="0"/>
      <w:divBdr>
        <w:top w:val="none" w:sz="0" w:space="0" w:color="auto"/>
        <w:left w:val="none" w:sz="0" w:space="0" w:color="auto"/>
        <w:bottom w:val="none" w:sz="0" w:space="0" w:color="auto"/>
        <w:right w:val="none" w:sz="0" w:space="0" w:color="auto"/>
      </w:divBdr>
    </w:div>
    <w:div w:id="555161728">
      <w:bodyDiv w:val="1"/>
      <w:marLeft w:val="0"/>
      <w:marRight w:val="0"/>
      <w:marTop w:val="0"/>
      <w:marBottom w:val="0"/>
      <w:divBdr>
        <w:top w:val="none" w:sz="0" w:space="0" w:color="auto"/>
        <w:left w:val="none" w:sz="0" w:space="0" w:color="auto"/>
        <w:bottom w:val="none" w:sz="0" w:space="0" w:color="auto"/>
        <w:right w:val="none" w:sz="0" w:space="0" w:color="auto"/>
      </w:divBdr>
    </w:div>
    <w:div w:id="571043948">
      <w:bodyDiv w:val="1"/>
      <w:marLeft w:val="0"/>
      <w:marRight w:val="0"/>
      <w:marTop w:val="0"/>
      <w:marBottom w:val="0"/>
      <w:divBdr>
        <w:top w:val="none" w:sz="0" w:space="0" w:color="auto"/>
        <w:left w:val="none" w:sz="0" w:space="0" w:color="auto"/>
        <w:bottom w:val="none" w:sz="0" w:space="0" w:color="auto"/>
        <w:right w:val="none" w:sz="0" w:space="0" w:color="auto"/>
      </w:divBdr>
    </w:div>
    <w:div w:id="589046448">
      <w:bodyDiv w:val="1"/>
      <w:marLeft w:val="0"/>
      <w:marRight w:val="0"/>
      <w:marTop w:val="0"/>
      <w:marBottom w:val="0"/>
      <w:divBdr>
        <w:top w:val="none" w:sz="0" w:space="0" w:color="auto"/>
        <w:left w:val="none" w:sz="0" w:space="0" w:color="auto"/>
        <w:bottom w:val="none" w:sz="0" w:space="0" w:color="auto"/>
        <w:right w:val="none" w:sz="0" w:space="0" w:color="auto"/>
      </w:divBdr>
    </w:div>
    <w:div w:id="668605723">
      <w:bodyDiv w:val="1"/>
      <w:marLeft w:val="0"/>
      <w:marRight w:val="0"/>
      <w:marTop w:val="0"/>
      <w:marBottom w:val="0"/>
      <w:divBdr>
        <w:top w:val="none" w:sz="0" w:space="0" w:color="auto"/>
        <w:left w:val="none" w:sz="0" w:space="0" w:color="auto"/>
        <w:bottom w:val="none" w:sz="0" w:space="0" w:color="auto"/>
        <w:right w:val="none" w:sz="0" w:space="0" w:color="auto"/>
      </w:divBdr>
    </w:div>
    <w:div w:id="733547681">
      <w:bodyDiv w:val="1"/>
      <w:marLeft w:val="0"/>
      <w:marRight w:val="0"/>
      <w:marTop w:val="0"/>
      <w:marBottom w:val="0"/>
      <w:divBdr>
        <w:top w:val="none" w:sz="0" w:space="0" w:color="auto"/>
        <w:left w:val="none" w:sz="0" w:space="0" w:color="auto"/>
        <w:bottom w:val="none" w:sz="0" w:space="0" w:color="auto"/>
        <w:right w:val="none" w:sz="0" w:space="0" w:color="auto"/>
      </w:divBdr>
    </w:div>
    <w:div w:id="777604164">
      <w:bodyDiv w:val="1"/>
      <w:marLeft w:val="0"/>
      <w:marRight w:val="0"/>
      <w:marTop w:val="0"/>
      <w:marBottom w:val="0"/>
      <w:divBdr>
        <w:top w:val="none" w:sz="0" w:space="0" w:color="auto"/>
        <w:left w:val="none" w:sz="0" w:space="0" w:color="auto"/>
        <w:bottom w:val="none" w:sz="0" w:space="0" w:color="auto"/>
        <w:right w:val="none" w:sz="0" w:space="0" w:color="auto"/>
      </w:divBdr>
    </w:div>
    <w:div w:id="887649878">
      <w:bodyDiv w:val="1"/>
      <w:marLeft w:val="0"/>
      <w:marRight w:val="0"/>
      <w:marTop w:val="0"/>
      <w:marBottom w:val="0"/>
      <w:divBdr>
        <w:top w:val="none" w:sz="0" w:space="0" w:color="auto"/>
        <w:left w:val="none" w:sz="0" w:space="0" w:color="auto"/>
        <w:bottom w:val="none" w:sz="0" w:space="0" w:color="auto"/>
        <w:right w:val="none" w:sz="0" w:space="0" w:color="auto"/>
      </w:divBdr>
    </w:div>
    <w:div w:id="1057168156">
      <w:bodyDiv w:val="1"/>
      <w:marLeft w:val="0"/>
      <w:marRight w:val="0"/>
      <w:marTop w:val="0"/>
      <w:marBottom w:val="0"/>
      <w:divBdr>
        <w:top w:val="none" w:sz="0" w:space="0" w:color="auto"/>
        <w:left w:val="none" w:sz="0" w:space="0" w:color="auto"/>
        <w:bottom w:val="none" w:sz="0" w:space="0" w:color="auto"/>
        <w:right w:val="none" w:sz="0" w:space="0" w:color="auto"/>
      </w:divBdr>
    </w:div>
    <w:div w:id="1088845260">
      <w:bodyDiv w:val="1"/>
      <w:marLeft w:val="0"/>
      <w:marRight w:val="0"/>
      <w:marTop w:val="0"/>
      <w:marBottom w:val="0"/>
      <w:divBdr>
        <w:top w:val="none" w:sz="0" w:space="0" w:color="auto"/>
        <w:left w:val="none" w:sz="0" w:space="0" w:color="auto"/>
        <w:bottom w:val="none" w:sz="0" w:space="0" w:color="auto"/>
        <w:right w:val="none" w:sz="0" w:space="0" w:color="auto"/>
      </w:divBdr>
    </w:div>
    <w:div w:id="1117917486">
      <w:bodyDiv w:val="1"/>
      <w:marLeft w:val="0"/>
      <w:marRight w:val="0"/>
      <w:marTop w:val="0"/>
      <w:marBottom w:val="0"/>
      <w:divBdr>
        <w:top w:val="none" w:sz="0" w:space="0" w:color="auto"/>
        <w:left w:val="none" w:sz="0" w:space="0" w:color="auto"/>
        <w:bottom w:val="none" w:sz="0" w:space="0" w:color="auto"/>
        <w:right w:val="none" w:sz="0" w:space="0" w:color="auto"/>
      </w:divBdr>
    </w:div>
    <w:div w:id="1265260033">
      <w:bodyDiv w:val="1"/>
      <w:marLeft w:val="0"/>
      <w:marRight w:val="0"/>
      <w:marTop w:val="0"/>
      <w:marBottom w:val="0"/>
      <w:divBdr>
        <w:top w:val="none" w:sz="0" w:space="0" w:color="auto"/>
        <w:left w:val="none" w:sz="0" w:space="0" w:color="auto"/>
        <w:bottom w:val="none" w:sz="0" w:space="0" w:color="auto"/>
        <w:right w:val="none" w:sz="0" w:space="0" w:color="auto"/>
      </w:divBdr>
    </w:div>
    <w:div w:id="1294019415">
      <w:bodyDiv w:val="1"/>
      <w:marLeft w:val="0"/>
      <w:marRight w:val="0"/>
      <w:marTop w:val="0"/>
      <w:marBottom w:val="0"/>
      <w:divBdr>
        <w:top w:val="none" w:sz="0" w:space="0" w:color="auto"/>
        <w:left w:val="none" w:sz="0" w:space="0" w:color="auto"/>
        <w:bottom w:val="none" w:sz="0" w:space="0" w:color="auto"/>
        <w:right w:val="none" w:sz="0" w:space="0" w:color="auto"/>
      </w:divBdr>
    </w:div>
    <w:div w:id="1315573692">
      <w:bodyDiv w:val="1"/>
      <w:marLeft w:val="0"/>
      <w:marRight w:val="0"/>
      <w:marTop w:val="0"/>
      <w:marBottom w:val="0"/>
      <w:divBdr>
        <w:top w:val="none" w:sz="0" w:space="0" w:color="auto"/>
        <w:left w:val="none" w:sz="0" w:space="0" w:color="auto"/>
        <w:bottom w:val="none" w:sz="0" w:space="0" w:color="auto"/>
        <w:right w:val="none" w:sz="0" w:space="0" w:color="auto"/>
      </w:divBdr>
    </w:div>
    <w:div w:id="1356273175">
      <w:bodyDiv w:val="1"/>
      <w:marLeft w:val="0"/>
      <w:marRight w:val="0"/>
      <w:marTop w:val="0"/>
      <w:marBottom w:val="0"/>
      <w:divBdr>
        <w:top w:val="none" w:sz="0" w:space="0" w:color="auto"/>
        <w:left w:val="none" w:sz="0" w:space="0" w:color="auto"/>
        <w:bottom w:val="none" w:sz="0" w:space="0" w:color="auto"/>
        <w:right w:val="none" w:sz="0" w:space="0" w:color="auto"/>
      </w:divBdr>
    </w:div>
    <w:div w:id="1360005989">
      <w:bodyDiv w:val="1"/>
      <w:marLeft w:val="0"/>
      <w:marRight w:val="0"/>
      <w:marTop w:val="0"/>
      <w:marBottom w:val="0"/>
      <w:divBdr>
        <w:top w:val="none" w:sz="0" w:space="0" w:color="auto"/>
        <w:left w:val="none" w:sz="0" w:space="0" w:color="auto"/>
        <w:bottom w:val="none" w:sz="0" w:space="0" w:color="auto"/>
        <w:right w:val="none" w:sz="0" w:space="0" w:color="auto"/>
      </w:divBdr>
    </w:div>
    <w:div w:id="1366324879">
      <w:bodyDiv w:val="1"/>
      <w:marLeft w:val="0"/>
      <w:marRight w:val="0"/>
      <w:marTop w:val="0"/>
      <w:marBottom w:val="0"/>
      <w:divBdr>
        <w:top w:val="none" w:sz="0" w:space="0" w:color="auto"/>
        <w:left w:val="none" w:sz="0" w:space="0" w:color="auto"/>
        <w:bottom w:val="none" w:sz="0" w:space="0" w:color="auto"/>
        <w:right w:val="none" w:sz="0" w:space="0" w:color="auto"/>
      </w:divBdr>
    </w:div>
    <w:div w:id="1421876375">
      <w:bodyDiv w:val="1"/>
      <w:marLeft w:val="0"/>
      <w:marRight w:val="0"/>
      <w:marTop w:val="0"/>
      <w:marBottom w:val="0"/>
      <w:divBdr>
        <w:top w:val="none" w:sz="0" w:space="0" w:color="auto"/>
        <w:left w:val="none" w:sz="0" w:space="0" w:color="auto"/>
        <w:bottom w:val="none" w:sz="0" w:space="0" w:color="auto"/>
        <w:right w:val="none" w:sz="0" w:space="0" w:color="auto"/>
      </w:divBdr>
    </w:div>
    <w:div w:id="1465537286">
      <w:bodyDiv w:val="1"/>
      <w:marLeft w:val="0"/>
      <w:marRight w:val="0"/>
      <w:marTop w:val="0"/>
      <w:marBottom w:val="0"/>
      <w:divBdr>
        <w:top w:val="none" w:sz="0" w:space="0" w:color="auto"/>
        <w:left w:val="none" w:sz="0" w:space="0" w:color="auto"/>
        <w:bottom w:val="none" w:sz="0" w:space="0" w:color="auto"/>
        <w:right w:val="none" w:sz="0" w:space="0" w:color="auto"/>
      </w:divBdr>
    </w:div>
    <w:div w:id="1654093776">
      <w:bodyDiv w:val="1"/>
      <w:marLeft w:val="0"/>
      <w:marRight w:val="0"/>
      <w:marTop w:val="0"/>
      <w:marBottom w:val="0"/>
      <w:divBdr>
        <w:top w:val="none" w:sz="0" w:space="0" w:color="auto"/>
        <w:left w:val="none" w:sz="0" w:space="0" w:color="auto"/>
        <w:bottom w:val="none" w:sz="0" w:space="0" w:color="auto"/>
        <w:right w:val="none" w:sz="0" w:space="0" w:color="auto"/>
      </w:divBdr>
    </w:div>
    <w:div w:id="1689327052">
      <w:bodyDiv w:val="1"/>
      <w:marLeft w:val="0"/>
      <w:marRight w:val="0"/>
      <w:marTop w:val="0"/>
      <w:marBottom w:val="0"/>
      <w:divBdr>
        <w:top w:val="none" w:sz="0" w:space="0" w:color="auto"/>
        <w:left w:val="none" w:sz="0" w:space="0" w:color="auto"/>
        <w:bottom w:val="none" w:sz="0" w:space="0" w:color="auto"/>
        <w:right w:val="none" w:sz="0" w:space="0" w:color="auto"/>
      </w:divBdr>
    </w:div>
    <w:div w:id="1711026235">
      <w:bodyDiv w:val="1"/>
      <w:marLeft w:val="0"/>
      <w:marRight w:val="0"/>
      <w:marTop w:val="0"/>
      <w:marBottom w:val="0"/>
      <w:divBdr>
        <w:top w:val="none" w:sz="0" w:space="0" w:color="auto"/>
        <w:left w:val="none" w:sz="0" w:space="0" w:color="auto"/>
        <w:bottom w:val="none" w:sz="0" w:space="0" w:color="auto"/>
        <w:right w:val="none" w:sz="0" w:space="0" w:color="auto"/>
      </w:divBdr>
    </w:div>
    <w:div w:id="1718121334">
      <w:bodyDiv w:val="1"/>
      <w:marLeft w:val="0"/>
      <w:marRight w:val="0"/>
      <w:marTop w:val="0"/>
      <w:marBottom w:val="0"/>
      <w:divBdr>
        <w:top w:val="none" w:sz="0" w:space="0" w:color="auto"/>
        <w:left w:val="none" w:sz="0" w:space="0" w:color="auto"/>
        <w:bottom w:val="none" w:sz="0" w:space="0" w:color="auto"/>
        <w:right w:val="none" w:sz="0" w:space="0" w:color="auto"/>
      </w:divBdr>
    </w:div>
    <w:div w:id="1796675123">
      <w:bodyDiv w:val="1"/>
      <w:marLeft w:val="0"/>
      <w:marRight w:val="0"/>
      <w:marTop w:val="0"/>
      <w:marBottom w:val="0"/>
      <w:divBdr>
        <w:top w:val="none" w:sz="0" w:space="0" w:color="auto"/>
        <w:left w:val="none" w:sz="0" w:space="0" w:color="auto"/>
        <w:bottom w:val="none" w:sz="0" w:space="0" w:color="auto"/>
        <w:right w:val="none" w:sz="0" w:space="0" w:color="auto"/>
      </w:divBdr>
    </w:div>
    <w:div w:id="1826512903">
      <w:bodyDiv w:val="1"/>
      <w:marLeft w:val="0"/>
      <w:marRight w:val="0"/>
      <w:marTop w:val="0"/>
      <w:marBottom w:val="0"/>
      <w:divBdr>
        <w:top w:val="none" w:sz="0" w:space="0" w:color="auto"/>
        <w:left w:val="none" w:sz="0" w:space="0" w:color="auto"/>
        <w:bottom w:val="none" w:sz="0" w:space="0" w:color="auto"/>
        <w:right w:val="none" w:sz="0" w:space="0" w:color="auto"/>
      </w:divBdr>
    </w:div>
    <w:div w:id="1850244245">
      <w:bodyDiv w:val="1"/>
      <w:marLeft w:val="0"/>
      <w:marRight w:val="0"/>
      <w:marTop w:val="0"/>
      <w:marBottom w:val="0"/>
      <w:divBdr>
        <w:top w:val="none" w:sz="0" w:space="0" w:color="auto"/>
        <w:left w:val="none" w:sz="0" w:space="0" w:color="auto"/>
        <w:bottom w:val="none" w:sz="0" w:space="0" w:color="auto"/>
        <w:right w:val="none" w:sz="0" w:space="0" w:color="auto"/>
      </w:divBdr>
    </w:div>
    <w:div w:id="2051687066">
      <w:bodyDiv w:val="1"/>
      <w:marLeft w:val="0"/>
      <w:marRight w:val="0"/>
      <w:marTop w:val="0"/>
      <w:marBottom w:val="0"/>
      <w:divBdr>
        <w:top w:val="none" w:sz="0" w:space="0" w:color="auto"/>
        <w:left w:val="none" w:sz="0" w:space="0" w:color="auto"/>
        <w:bottom w:val="none" w:sz="0" w:space="0" w:color="auto"/>
        <w:right w:val="none" w:sz="0" w:space="0" w:color="auto"/>
      </w:divBdr>
    </w:div>
    <w:div w:id="2087148551">
      <w:bodyDiv w:val="1"/>
      <w:marLeft w:val="0"/>
      <w:marRight w:val="0"/>
      <w:marTop w:val="0"/>
      <w:marBottom w:val="0"/>
      <w:divBdr>
        <w:top w:val="none" w:sz="0" w:space="0" w:color="auto"/>
        <w:left w:val="none" w:sz="0" w:space="0" w:color="auto"/>
        <w:bottom w:val="none" w:sz="0" w:space="0" w:color="auto"/>
        <w:right w:val="none" w:sz="0" w:space="0" w:color="auto"/>
      </w:divBdr>
    </w:div>
    <w:div w:id="213393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yperlink" Target="mailto:su.shirbaev@minfin.gov.kz"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mailto:m.aitpysheva@minfin.gov.kz"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kenbeil@minfin.gov.kz" TargetMode="External"/><Relationship Id="rId20" Type="http://schemas.openxmlformats.org/officeDocument/2006/relationships/hyperlink" Target="http://www.minfin.gov.kz/"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minfin.gov.kz/" TargetMode="External"/><Relationship Id="rId23"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hyperlink" Target="http://www.minfin.gov.k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ministrator@minfin.gov.kz"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bd5b5c17-ff0e-4a45-8ade-b1db9e1fb804" origin="userSelected">
  <element uid="id_classification_nonbusiness" value=""/>
</sisl>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iZDViNWMxNy1mZjBlLTRhNDUtOGFkZS1iMWRiOWUxZmI4MDQiIG9yaWdpbj0idXNlclNlbGVjdGVkIj48ZWxlbWVudCB1aWQ9ImlkX2NsYXNzaWZpY2F0aW9uX25vbmJ1c2luZXNzIiB2YWx1ZT0iIiB4bWxucz0iaHR0cDovL3d3dy5ib2xkb25qYW1lcy5jb20vMjAwOC8wMS9zaWUvaW50ZXJuYWwvbGFiZWwiIC8+PC9zaXNsPjxVc2VyTmFtZT5ST1NCQU5LXHJiMDc0NjExPC9Vc2VyTmFtZT48RGF0ZVRpbWU+My8zMC8yMDIwIDg6MTU6MDQgQU08L0RhdGVUaW1lPjxMYWJlbFN0cmluZz5DMCB8IFBVQkxJQyBJTkZPUk1BVElPTjwvTGFiZWxTdHJpbmc+PC9pdGVtPjwvbGFiZWxIaXN0b3J5Pg==</Value>
</WrappedLabelHistor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1DAD1-2F72-4808-AF7F-97E8DC63F79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7A69D79-8063-4FD4-B698-68B444FDB5AB}">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1EB336E2-8C1E-4DAF-AF6B-81B33FF81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80147</Words>
  <Characters>456844</Characters>
  <Application>Microsoft Office Word</Application>
  <DocSecurity>0</DocSecurity>
  <Lines>3807</Lines>
  <Paragraphs>1071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C0 |j,llsaj12398**C0)knasdals|</dc:description>
  <cp:lastModifiedBy/>
  <cp:revision>1</cp:revision>
  <dcterms:created xsi:type="dcterms:W3CDTF">2020-09-22T15:43:00Z</dcterms:created>
  <dcterms:modified xsi:type="dcterms:W3CDTF">2020-09-22T15:43:00Z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1304693d-3bc0-4f0a-88d4-dd786375bfba</vt:lpwstr>
  </property>
  <property fmtid="{D5CDD505-2E9C-101B-9397-08002B2CF9AE}" pid="3" name="bjSaver">
    <vt:lpwstr>76h7mNdl5gMSI4ZjJiiGqq4SosZjD7ET</vt:lpwstr>
  </property>
  <property fmtid="{D5CDD505-2E9C-101B-9397-08002B2CF9AE}" pid="4" name="bjDocumentLabelXML">
    <vt:lpwstr>&lt;?xml version="1.0" encoding="us-ascii"?&gt;&lt;sisl xmlns:xsi="http://www.w3.org/2001/XMLSchema-instance" xmlns:xsd="http://www.w3.org/2001/XMLSchema" sislVersion="0" policy="bd5b5c17-ff0e-4a45-8ade-b1db9e1fb804"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C0 | PUBLIC INFORMATION</vt:lpwstr>
  </property>
  <property fmtid="{D5CDD505-2E9C-101B-9397-08002B2CF9AE}" pid="7" name="bjLabelHistoryID">
    <vt:lpwstr>{07A69D79-8063-4FD4-B698-68B444FDB5AB}</vt:lpwstr>
  </property>
</Properties>
</file>